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Attracted</w:t>
      </w:r>
      <w:r>
        <w:t xml:space="preserve"> </w:t>
      </w:r>
      <w:r>
        <w:t xml:space="preserve">by</w:t>
      </w:r>
      <w:r>
        <w:t xml:space="preserve"> </w:t>
      </w:r>
      <w:r>
        <w:t xml:space="preserve">higher</w:t>
      </w:r>
      <w:r>
        <w:t xml:space="preserve"> </w:t>
      </w:r>
      <w:r>
        <w:t xml:space="preserve">crude</w:t>
      </w:r>
      <w:r>
        <w:t xml:space="preserve"> </w:t>
      </w:r>
      <w:r>
        <w:t xml:space="preserve">protein,</w:t>
      </w:r>
      <w:r>
        <w:t xml:space="preserve"> </w:t>
      </w:r>
      <w:r>
        <w:t xml:space="preserve">grasshopper</w:t>
      </w:r>
      <w:r>
        <w:t xml:space="preserve"> </w:t>
      </w:r>
      <w:r>
        <w:t xml:space="preserve">abundance</w:t>
      </w:r>
      <w:r>
        <w:t xml:space="preserve"> </w:t>
      </w:r>
      <w:r>
        <w:t xml:space="preserve">and</w:t>
      </w:r>
      <w:r>
        <w:t xml:space="preserve"> </w:t>
      </w:r>
      <w:r>
        <w:t xml:space="preserve">offtake</w:t>
      </w:r>
      <w:r>
        <w:t xml:space="preserve"> </w:t>
      </w:r>
      <w:r>
        <w:t xml:space="preserve">increase</w:t>
      </w:r>
      <w:r>
        <w:t xml:space="preserve"> </w:t>
      </w:r>
      <w:r>
        <w:t xml:space="preserve">after</w:t>
      </w:r>
      <w:r>
        <w:t xml:space="preserve"> </w:t>
      </w:r>
      <w:r>
        <w:t xml:space="preserve">prescribed</w:t>
      </w:r>
      <w:r>
        <w:t xml:space="preserve"> </w:t>
      </w:r>
      <w:r>
        <w:t xml:space="preserve">fire</w:t>
      </w:r>
    </w:p>
    <w:p>
      <w:pPr>
        <w:pStyle w:val="Author"/>
      </w:pPr>
      <w:r>
        <w:t xml:space="preserve">Nicholas</w:t>
      </w:r>
      <w:r>
        <w:t xml:space="preserve"> </w:t>
      </w:r>
      <w:r>
        <w:t xml:space="preserve">Gregory</w:t>
      </w:r>
      <w:r>
        <w:t xml:space="preserve"> </w:t>
      </w:r>
      <w:r>
        <w:t xml:space="preserve">Heimbuch</w:t>
      </w:r>
      <w:r>
        <w:rPr>
          <w:vertAlign w:val="superscript"/>
        </w:rPr>
        <w:t xml:space="preserve">A</w:t>
      </w:r>
      <w:r>
        <w:t xml:space="preserve"> </w:t>
      </w:r>
      <m:oMath>
        <m:r>
          <m:rPr>
            <m:sty m:val="p"/>
          </m:rPr>
          <m:t>⋅</m:t>
        </m:r>
      </m:oMath>
      <w:r>
        <w:t xml:space="preserve"> </w:t>
      </w:r>
      <w:r>
        <w:t xml:space="preserve">Devan</w:t>
      </w:r>
      <w:r>
        <w:t xml:space="preserve"> </w:t>
      </w:r>
      <w:r>
        <w:t xml:space="preserve">Allen</w:t>
      </w:r>
      <w:r>
        <w:t xml:space="preserve"> </w:t>
      </w:r>
      <w:r>
        <w:t xml:space="preserve">McGranahan</w:t>
      </w:r>
      <w:r>
        <w:rPr>
          <w:vertAlign w:val="superscript"/>
        </w:rPr>
        <w:t xml:space="preserve">B,D</w:t>
      </w:r>
      <w:r>
        <w:t xml:space="preserve"> </w:t>
      </w:r>
      <m:oMath>
        <m:r>
          <m:rPr>
            <m:sty m:val="p"/>
          </m:rPr>
          <m:t>⋅</m:t>
        </m:r>
      </m:oMath>
      <w:r>
        <w:t xml:space="preserve"> </w:t>
      </w:r>
      <w:r>
        <w:t xml:space="preserve">Carissa</w:t>
      </w:r>
      <w:r>
        <w:t xml:space="preserve"> </w:t>
      </w:r>
      <w:r>
        <w:t xml:space="preserve">L.</w:t>
      </w:r>
      <w:r>
        <w:t xml:space="preserve"> </w:t>
      </w:r>
      <w:r>
        <w:t xml:space="preserve">Wonkka</w:t>
      </w:r>
      <w:r>
        <w:rPr>
          <w:vertAlign w:val="superscript"/>
        </w:rPr>
        <w:t xml:space="preserve">C</w:t>
      </w:r>
      <w:r>
        <w:t xml:space="preserve"> </w:t>
      </w:r>
      <m:oMath>
        <m:r>
          <m:rPr>
            <m:sty m:val="p"/>
          </m:rPr>
          <m:t>⋅</m:t>
        </m:r>
      </m:oMath>
      <w:r>
        <w:t xml:space="preserve"> </w:t>
      </w:r>
      <w:r>
        <w:t xml:space="preserve">Lance</w:t>
      </w:r>
      <w:r>
        <w:t xml:space="preserve"> </w:t>
      </w:r>
      <w:r>
        <w:t xml:space="preserve">Vermeire</w:t>
      </w:r>
      <w:r>
        <w:rPr>
          <w:vertAlign w:val="superscript"/>
        </w:rPr>
        <w:t xml:space="preserve">B</w:t>
      </w:r>
      <w:r>
        <w:t xml:space="preserve"> </w:t>
      </w:r>
      <m:oMath>
        <m:r>
          <m:rPr>
            <m:sty m:val="p"/>
          </m:rPr>
          <m:t>⋅</m:t>
        </m:r>
      </m:oMath>
      <w:r>
        <w:t xml:space="preserve"> </w:t>
      </w:r>
      <w:r>
        <w:t xml:space="preserve">David</w:t>
      </w:r>
      <w:r>
        <w:t xml:space="preserve"> </w:t>
      </w:r>
      <w:r>
        <w:t xml:space="preserve">Branson</w:t>
      </w:r>
      <w:r>
        <w:rPr>
          <w:vertAlign w:val="superscript"/>
        </w:rPr>
        <w:t xml:space="preserve">C</w:t>
      </w:r>
      <w:r>
        <w:t xml:space="preserve"> </w:t>
      </w:r>
      <w:r>
        <w:rPr>
          <w:vertAlign w:val="superscript"/>
        </w:rPr>
        <w:t xml:space="preserve">A</w:t>
      </w:r>
      <w:r>
        <w:t xml:space="preserve"> </w:t>
      </w:r>
      <w:r>
        <w:t xml:space="preserve">University</w:t>
      </w:r>
      <w:r>
        <w:t xml:space="preserve"> </w:t>
      </w:r>
      <w:r>
        <w:t xml:space="preserve">of</w:t>
      </w:r>
      <w:r>
        <w:t xml:space="preserve"> </w:t>
      </w:r>
      <w:r>
        <w:t xml:space="preserve">Pittsburg,</w:t>
      </w:r>
      <w:r>
        <w:t xml:space="preserve"> </w:t>
      </w:r>
      <w:r>
        <w:t xml:space="preserve">Pittsburg,</w:t>
      </w:r>
      <w:r>
        <w:t xml:space="preserve"> </w:t>
      </w:r>
      <w:r>
        <w:t xml:space="preserve">PA,</w:t>
      </w:r>
      <w:r>
        <w:t xml:space="preserve"> </w:t>
      </w:r>
      <w:r>
        <w:t xml:space="preserve">USA</w:t>
      </w:r>
      <w:r>
        <w:t xml:space="preserve"> </w:t>
      </w:r>
      <w:r>
        <w:rPr>
          <w:vertAlign w:val="superscript"/>
        </w:rPr>
        <w:t xml:space="preserve">B</w:t>
      </w:r>
      <w:r>
        <w:t xml:space="preserve"> </w:t>
      </w:r>
      <w:r>
        <w:t xml:space="preserve">USDA</w:t>
      </w:r>
      <w:r>
        <w:t xml:space="preserve"> </w:t>
      </w:r>
      <w:r>
        <w:t xml:space="preserve">Agricultural</w:t>
      </w:r>
      <w:r>
        <w:t xml:space="preserve"> </w:t>
      </w:r>
      <w:r>
        <w:t xml:space="preserve">Research</w:t>
      </w:r>
      <w:r>
        <w:t xml:space="preserve"> </w:t>
      </w:r>
      <w:r>
        <w:t xml:space="preserve">Service,</w:t>
      </w:r>
      <w:r>
        <w:t xml:space="preserve"> </w:t>
      </w:r>
      <w:r>
        <w:t xml:space="preserve">Livestock</w:t>
      </w:r>
      <w:r>
        <w:t xml:space="preserve"> </w:t>
      </w:r>
      <w:r>
        <w:t xml:space="preserve">and</w:t>
      </w:r>
      <w:r>
        <w:t xml:space="preserve"> </w:t>
      </w:r>
      <w:r>
        <w:t xml:space="preserve">Range</w:t>
      </w:r>
      <w:r>
        <w:t xml:space="preserve"> </w:t>
      </w:r>
      <w:r>
        <w:t xml:space="preserve">Research</w:t>
      </w:r>
      <w:r>
        <w:t xml:space="preserve"> </w:t>
      </w:r>
      <w:r>
        <w:t xml:space="preserve">Laboratory,</w:t>
      </w:r>
      <w:r>
        <w:t xml:space="preserve"> </w:t>
      </w:r>
      <w:r>
        <w:t xml:space="preserve">Miles</w:t>
      </w:r>
      <w:r>
        <w:t xml:space="preserve"> </w:t>
      </w:r>
      <w:r>
        <w:t xml:space="preserve">City,</w:t>
      </w:r>
      <w:r>
        <w:t xml:space="preserve"> </w:t>
      </w:r>
      <w:r>
        <w:t xml:space="preserve">MT,</w:t>
      </w:r>
      <w:r>
        <w:t xml:space="preserve"> </w:t>
      </w:r>
      <w:r>
        <w:t xml:space="preserve">USA</w:t>
      </w:r>
      <w:r>
        <w:t xml:space="preserve"> </w:t>
      </w:r>
      <w:r>
        <w:rPr>
          <w:vertAlign w:val="superscript"/>
        </w:rPr>
        <w:t xml:space="preserve">C</w:t>
      </w:r>
      <w:r>
        <w:t xml:space="preserve"> </w:t>
      </w:r>
      <w:r>
        <w:t xml:space="preserve">USDA</w:t>
      </w:r>
      <w:r>
        <w:t xml:space="preserve"> </w:t>
      </w:r>
      <w:r>
        <w:t xml:space="preserve">Agricultural</w:t>
      </w:r>
      <w:r>
        <w:t xml:space="preserve"> </w:t>
      </w:r>
      <w:r>
        <w:t xml:space="preserve">Research</w:t>
      </w:r>
      <w:r>
        <w:t xml:space="preserve"> </w:t>
      </w:r>
      <w:r>
        <w:t xml:space="preserve">Service,</w:t>
      </w:r>
      <w:r>
        <w:t xml:space="preserve"> </w:t>
      </w:r>
      <w:r>
        <w:t xml:space="preserve">Northern</w:t>
      </w:r>
      <w:r>
        <w:t xml:space="preserve"> </w:t>
      </w:r>
      <w:r>
        <w:t xml:space="preserve">Plains</w:t>
      </w:r>
      <w:r>
        <w:t xml:space="preserve"> </w:t>
      </w:r>
      <w:r>
        <w:t xml:space="preserve">Agricultural</w:t>
      </w:r>
      <w:r>
        <w:t xml:space="preserve"> </w:t>
      </w:r>
      <w:r>
        <w:t xml:space="preserve">Research</w:t>
      </w:r>
      <w:r>
        <w:t xml:space="preserve"> </w:t>
      </w:r>
      <w:r>
        <w:t xml:space="preserve">Laboratory,</w:t>
      </w:r>
      <w:r>
        <w:t xml:space="preserve"> </w:t>
      </w:r>
      <w:r>
        <w:t xml:space="preserve">Sidney,</w:t>
      </w:r>
      <w:r>
        <w:t xml:space="preserve"> </w:t>
      </w:r>
      <w:r>
        <w:t xml:space="preserve">MT,</w:t>
      </w:r>
      <w:r>
        <w:t xml:space="preserve"> </w:t>
      </w:r>
      <w:r>
        <w:t xml:space="preserve">USA</w:t>
      </w:r>
      <w:r>
        <w:t xml:space="preserve"> </w:t>
      </w:r>
      <w:r>
        <w:rPr>
          <w:vertAlign w:val="superscript"/>
        </w:rPr>
        <w:t xml:space="preserve">D</w:t>
      </w:r>
      <w:r>
        <w:t xml:space="preserve"> </w:t>
      </w:r>
      <w:r>
        <w:t xml:space="preserve">Corresponding</w:t>
      </w:r>
      <w:r>
        <w:t xml:space="preserve"> </w:t>
      </w:r>
      <w:r>
        <w:t xml:space="preserve">author.</w:t>
      </w:r>
      <w:r>
        <w:t xml:space="preserve"> </w:t>
      </w:r>
      <w:r>
        <w:t xml:space="preserve">Email:</w:t>
      </w:r>
      <w:r>
        <w:t xml:space="preserve"> </w:t>
      </w:r>
      <w:hyperlink r:id="rId20">
        <w:r>
          <w:rPr>
            <w:rStyle w:val="Hyperlink"/>
          </w:rPr>
          <w:t xml:space="preserve">Devan.McGranahan@usda.gov</w:t>
        </w:r>
      </w:hyperlink>
    </w:p>
    <w:p>
      <w:pPr>
        <w:pStyle w:val="Abstract"/>
      </w:pPr>
      <w:r>
        <w:t xml:space="preserve">Here’s</w:t>
      </w:r>
      <w:r>
        <w:t xml:space="preserve"> </w:t>
      </w:r>
      <w:r>
        <w:t xml:space="preserve">a</w:t>
      </w:r>
      <w:r>
        <w:t xml:space="preserve"> </w:t>
      </w:r>
      <w:r>
        <w:t xml:space="preserve">brief</w:t>
      </w:r>
      <w:r>
        <w:t xml:space="preserve"> </w:t>
      </w:r>
      <w:r>
        <w:t xml:space="preserve">summary</w:t>
      </w:r>
      <w:r>
        <w:t xml:space="preserve"> </w:t>
      </w:r>
      <w:r>
        <w:t xml:space="preserve">of</w:t>
      </w:r>
      <w:r>
        <w:t xml:space="preserve"> </w:t>
      </w:r>
      <w:r>
        <w:t xml:space="preserve">the</w:t>
      </w:r>
      <w:r>
        <w:t xml:space="preserve"> </w:t>
      </w:r>
      <w:r>
        <w:t xml:space="preserve">paper</w:t>
      </w:r>
    </w:p>
    <w:bookmarkStart w:id="39" w:name="introduction"/>
    <w:p>
      <w:pPr>
        <w:pStyle w:val="Heading1"/>
      </w:pPr>
      <w:r>
        <w:t xml:space="preserve">Introduction</w:t>
      </w:r>
    </w:p>
    <w:bookmarkStart w:id="30" w:name="Xb2ec2966f0abd5d13043a5140ad6fd26d309d49"/>
    <w:p>
      <w:pPr>
        <w:pStyle w:val="Heading2"/>
      </w:pPr>
      <w:r>
        <w:t xml:space="preserve">Background on wildland fire management and training</w:t>
      </w:r>
    </w:p>
    <w:p>
      <w:pPr>
        <w:pStyle w:val="FirstParagraph"/>
      </w:pPr>
      <w:r>
        <w:t xml:space="preserve">While the United States wildland fire community has long recognized the need to improve education and training in fuels, fire behavior, and management, a cohesive curriculum encompassing the science and practice of wildland fire use has yet to emerge.</w:t>
      </w:r>
      <w:r>
        <w:t xml:space="preserve"> </w:t>
      </w:r>
      <w:r>
        <w:t xml:space="preserve">On one hand, some of the original standards for fire management and research on the fire environment were developed in tandem, given the applied emphasis Harry Gisborne placed on using his seminal work on weather and fuel moisture to inform the preparation, deployment, and safety of fire control resources, beginning in the 1920s</w:t>
      </w:r>
      <w:r>
        <w:t xml:space="preserve"> </w:t>
      </w:r>
      <w:bookmarkStart w:id="21" w:name="redoc-citation-1"/>
      <w:r>
        <w:rPr>
          <w:rStyle w:val="redoc-citation-1"/>
        </w:rPr>
        <w:t xml:space="preserve">[1]</w:t>
      </w:r>
      <w:bookmarkEnd w:id="21"/>
      <w:r>
        <w:t xml:space="preserve">.</w:t>
      </w:r>
      <w:r>
        <w:t xml:space="preserve"> </w:t>
      </w:r>
      <w:r>
        <w:t xml:space="preserve">On the other hand, while theoretically applicable to using wildland fire as well as fighting it, these standards were solidly oriented within the mode of fire suppression: the US Forest Service, having effectively defeated any support of</w:t>
      </w:r>
      <w:r>
        <w:t xml:space="preserve"> </w:t>
      </w:r>
      <w:r>
        <w:t xml:space="preserve">“</w:t>
      </w:r>
      <w:r>
        <w:t xml:space="preserve">light burning</w:t>
      </w:r>
      <w:r>
        <w:t xml:space="preserve">”</w:t>
      </w:r>
      <w:r>
        <w:t xml:space="preserve"> </w:t>
      </w:r>
      <w:r>
        <w:t xml:space="preserve">or other wildland fire use, controlled fire research funding as early as 1928 and by 1935 clearly established an aggressive policy of suppression</w:t>
      </w:r>
      <w:r>
        <w:t xml:space="preserve"> </w:t>
      </w:r>
      <w:bookmarkStart w:id="24" w:name="redoc-citation-2"/>
      <w:bookmarkStart w:id="23" w:name="redoc-citation-3"/>
      <w:bookmarkStart w:id="22" w:name="redoc-citation-4"/>
      <w:r>
        <w:rPr>
          <w:rStyle w:val="redoc-citation-4"/>
        </w:rPr>
        <w:t xml:space="preserve">[2]</w:t>
      </w:r>
      <w:bookmarkEnd w:id="22"/>
      <w:bookmarkEnd w:id="23"/>
      <w:bookmarkEnd w:id="24"/>
      <w:r>
        <w:t xml:space="preserve">.</w:t>
      </w:r>
      <w:r>
        <w:t xml:space="preserve"> </w:t>
      </w:r>
      <w:r>
        <w:t xml:space="preserve">Enclaves of advocates for fire use moved their discussions beyond the reach of the anti-fire establishment, such as the Tall Timbers Fire Ecology Conference</w:t>
      </w:r>
      <w:r>
        <w:t xml:space="preserve"> </w:t>
      </w:r>
      <w:r>
        <w:t xml:space="preserve">[2]</w:t>
      </w:r>
      <w:r>
        <w:t xml:space="preserve">.</w:t>
      </w:r>
    </w:p>
    <w:p>
      <w:pPr>
        <w:pStyle w:val="BodyText"/>
      </w:pPr>
      <w:r>
        <w:t xml:space="preserve">Management agencies began to adopt prescribed burning through the latter half of the 20</w:t>
      </w:r>
      <w:r>
        <w:t xml:space="preserve"> </w:t>
      </w:r>
      <w:r>
        <w:t xml:space="preserve">century.</w:t>
      </w:r>
      <w:r>
        <w:t xml:space="preserve"> </w:t>
      </w:r>
      <w:r>
        <w:t xml:space="preserve">Legislative, bureaucratic, and even cultural changes first opened the National Park Service then the US Forest Service to prescribed fire that included both pre-planned and intentionally-set burns and natural ignitions allowed to spread through designated wilderness areas under prescribed conditions</w:t>
      </w:r>
      <w:r>
        <w:t xml:space="preserve"> </w:t>
      </w:r>
      <w:r>
        <w:t xml:space="preserve">[2]</w:t>
      </w:r>
      <w:r>
        <w:t xml:space="preserve">.</w:t>
      </w:r>
      <w:r>
        <w:t xml:space="preserve"> </w:t>
      </w:r>
      <w:r>
        <w:t xml:space="preserve">The Nature Conservancy conducted its first prescribed fire in 1962</w:t>
      </w:r>
      <w:r>
        <w:t xml:space="preserve"> </w:t>
      </w:r>
      <w:bookmarkStart w:id="25" w:name="redoc-citation-5"/>
      <w:r>
        <w:rPr>
          <w:rStyle w:val="redoc-citation-5"/>
        </w:rPr>
        <w:t xml:space="preserve">[2,3]</w:t>
      </w:r>
      <w:bookmarkEnd w:id="25"/>
      <w:r>
        <w:t xml:space="preserve">.</w:t>
      </w:r>
    </w:p>
    <w:p>
      <w:pPr>
        <w:pStyle w:val="BodyText"/>
      </w:pPr>
      <w:r>
        <w:t xml:space="preserve">Meanwhile, management of wildland fire operations developed as well, becoming more specialized as standardized command-and-control systems evolved.</w:t>
      </w:r>
      <w:r>
        <w:t xml:space="preserve"> </w:t>
      </w:r>
      <w:r>
        <w:t xml:space="preserve">Several disatrous fires in 1970 prompted two developments that became the National Wildfire Coordinating Group (NWCG) and the Incident Command System, which the NWCG in turn adopted and agencies widely employed by 1985</w:t>
      </w:r>
      <w:r>
        <w:t xml:space="preserve"> </w:t>
      </w:r>
      <w:bookmarkStart w:id="26" w:name="redoc-citation-6"/>
      <w:r>
        <w:rPr>
          <w:rStyle w:val="redoc-citation-6"/>
        </w:rPr>
        <w:t xml:space="preserve">[4,5]</w:t>
      </w:r>
      <w:bookmarkEnd w:id="26"/>
      <w:r>
        <w:t xml:space="preserve">.</w:t>
      </w:r>
      <w:r>
        <w:t xml:space="preserve"> </w:t>
      </w:r>
      <w:r>
        <w:t xml:space="preserve">The ICS has facilitated cross-boundary collaboration among agencies and jurisdictions in the US as well as among participating nations</w:t>
      </w:r>
      <w:r>
        <w:t xml:space="preserve"> </w:t>
      </w:r>
      <w:bookmarkStart w:id="27" w:name="redoc-citation-7"/>
      <w:r>
        <w:rPr>
          <w:rStyle w:val="redoc-citation-7"/>
        </w:rPr>
        <w:t xml:space="preserve">[6]</w:t>
      </w:r>
      <w:bookmarkEnd w:id="27"/>
      <w:r>
        <w:t xml:space="preserve">.</w:t>
      </w:r>
      <w:r>
        <w:t xml:space="preserve"> </w:t>
      </w:r>
      <w:r>
        <w:t xml:space="preserve">But some local fire departments bristle at the constraints of the ICS</w:t>
      </w:r>
      <w:r>
        <w:t xml:space="preserve"> </w:t>
      </w:r>
      <w:bookmarkStart w:id="28" w:name="redoc-citation-8"/>
      <w:r>
        <w:rPr>
          <w:rStyle w:val="redoc-citation-8"/>
        </w:rPr>
        <w:t xml:space="preserve">[7]</w:t>
      </w:r>
      <w:bookmarkEnd w:id="28"/>
      <w:r>
        <w:t xml:space="preserve">, and the hierarchical structure of training, certification, and qualification for positions within the ICS can create a barrier to allowing otherwise experienced personnel conduct prescribed burns.</w:t>
      </w:r>
      <w:r>
        <w:t xml:space="preserve"> </w:t>
      </w:r>
      <w:r>
        <w:t xml:space="preserve">In fact, as early as the 1980s, the US Fish and Wildlife Service condensed the content of 140 hours worth of NWCG coursework into a 36-hr course that combined principles of both prescribed fire and wildfire suppression, to reflect the changing demands on USFWS personnel</w:t>
      </w:r>
      <w:r>
        <w:t xml:space="preserve"> </w:t>
      </w:r>
      <w:bookmarkStart w:id="29" w:name="redoc-citation-9"/>
      <w:r>
        <w:rPr>
          <w:rStyle w:val="redoc-citation-9"/>
        </w:rPr>
        <w:t xml:space="preserve">[8]</w:t>
      </w:r>
      <w:bookmarkEnd w:id="29"/>
      <w:r>
        <w:t xml:space="preserve">.</w:t>
      </w:r>
    </w:p>
    <w:bookmarkEnd w:id="30"/>
    <w:bookmarkStart w:id="38" w:name="X416545223373b896db92b7cd921a70f74ccc5b9"/>
    <w:p>
      <w:pPr>
        <w:pStyle w:val="Heading2"/>
      </w:pPr>
      <w:r>
        <w:t xml:space="preserve">State of wildland fire education and training today</w:t>
      </w:r>
    </w:p>
    <w:p>
      <w:pPr>
        <w:pStyle w:val="FirstParagraph"/>
      </w:pPr>
      <w:r>
        <w:t xml:space="preserve">Value of hands-on experience with experimental fires.</w:t>
      </w:r>
    </w:p>
    <w:p>
      <w:pPr>
        <w:pStyle w:val="BodyText"/>
      </w:pPr>
      <w:r>
        <w:t xml:space="preserve">Vicarious learning</w:t>
      </w:r>
    </w:p>
    <w:p>
      <w:pPr>
        <w:pStyle w:val="BodyText"/>
      </w:pPr>
      <w:r>
        <w:t xml:space="preserve">Only a few universities offer programs in prescribed fire.</w:t>
      </w:r>
      <w:r>
        <w:t xml:space="preserve"> </w:t>
      </w:r>
      <w:r>
        <w:t xml:space="preserve">Oklahoma state University is one example that augments classroom-based courses in fire ecology with experiential learning that includes conducting prescribed fires; in a survey of</w:t>
      </w:r>
      <w:r>
        <w:t xml:space="preserve"> </w:t>
      </w:r>
      <w:r>
        <w:t xml:space="preserve">Recent initiatives in the Society for Range Management</w:t>
      </w:r>
    </w:p>
    <w:p>
      <w:pPr>
        <w:pStyle w:val="BodyText"/>
      </w:pPr>
      <w:r>
        <w:t xml:space="preserve">Despite these advancements in prescribed fire experience, there remains a paucity of fire science integration in the education and training of wildland fire and natural resource professionals.</w:t>
      </w:r>
    </w:p>
    <w:p>
      <w:pPr>
        <w:pStyle w:val="BodyText"/>
      </w:pPr>
      <w:r>
        <w:t xml:space="preserve">Although gaps between researchers and practitioners have been described in almost every professional field from health care to conservation biology</w:t>
      </w:r>
      <w:r>
        <w:t xml:space="preserve"> </w:t>
      </w:r>
      <w:bookmarkStart w:id="31" w:name="redoc-citation-10"/>
      <w:r>
        <w:rPr>
          <w:rStyle w:val="redoc-citation-10"/>
        </w:rPr>
        <w:t xml:space="preserve">[9,10]</w:t>
      </w:r>
      <w:bookmarkEnd w:id="31"/>
      <w:r>
        <w:t xml:space="preserve"> </w:t>
      </w:r>
      <w:r>
        <w:t xml:space="preserve">and across land management broadly</w:t>
      </w:r>
      <w:r>
        <w:t xml:space="preserve"> </w:t>
      </w:r>
      <w:bookmarkStart w:id="32" w:name="redoc-citation-11"/>
      <w:r>
        <w:rPr>
          <w:rStyle w:val="redoc-citation-11"/>
        </w:rPr>
        <w:t xml:space="preserve">[11]</w:t>
      </w:r>
      <w:bookmarkEnd w:id="32"/>
      <w:r>
        <w:t xml:space="preserve">, there are substantial barriers between wildland fire scientists and managers.</w:t>
      </w:r>
    </w:p>
    <w:p>
      <w:pPr>
        <w:pStyle w:val="BodyText"/>
      </w:pPr>
      <w:r>
        <w:t xml:space="preserve">Pros and cons of the ICS</w:t>
      </w:r>
      <w:r>
        <w:t xml:space="preserve"> </w:t>
      </w:r>
      <w:r>
        <w:t xml:space="preserve">A major barrier to scientist integration with wildland fire management is the training and</w:t>
      </w:r>
    </w:p>
    <w:p>
      <w:pPr>
        <w:pStyle w:val="BodyText"/>
      </w:pPr>
      <w:r>
        <w:t xml:space="preserve">TNC</w:t>
      </w:r>
      <w:r>
        <w:t xml:space="preserve"> </w:t>
      </w:r>
      <w:bookmarkStart w:id="33" w:name="redoc-citation-12"/>
      <w:r>
        <w:rPr>
          <w:rStyle w:val="redoc-citation-12"/>
        </w:rPr>
        <w:t xml:space="preserve">[3]</w:t>
      </w:r>
      <w:bookmarkEnd w:id="33"/>
    </w:p>
    <w:p>
      <w:pPr>
        <w:pStyle w:val="BodyText"/>
      </w:pPr>
      <w:r>
        <w:t xml:space="preserve">Let’s write about fire, dudes.</w:t>
      </w:r>
      <w:r>
        <w:t xml:space="preserve"> </w:t>
      </w:r>
      <w:r>
        <w:t xml:space="preserve">Actually, we started to do that here:</w:t>
      </w:r>
      <w:r>
        <w:t xml:space="preserve"> </w:t>
      </w:r>
      <w:bookmarkStart w:id="34" w:name="redoc-citation-13"/>
      <w:r>
        <w:rPr>
          <w:rStyle w:val="redoc-citation-13"/>
        </w:rPr>
        <w:t xml:space="preserve">[12]</w:t>
      </w:r>
      <w:bookmarkEnd w:id="34"/>
      <w:r>
        <w:t xml:space="preserve">.</w:t>
      </w:r>
    </w:p>
    <w:p>
      <w:pPr>
        <w:pStyle w:val="CaptionedFigure"/>
      </w:pPr>
      <w:r>
        <w:drawing>
          <wp:inline>
            <wp:extent cx="3810000" cy="2540000"/>
            <wp:effectExtent b="0" l="0" r="0" t="0"/>
            <wp:docPr descr="The wallet card figure from ." title="" id="1" name="Picture"/>
            <a:graphic>
              <a:graphicData uri="http://schemas.openxmlformats.org/drawingml/2006/picture">
                <pic:pic>
                  <pic:nvPicPr>
                    <pic:cNvPr descr="../booklet/figures/science/WalletCard.png" id="2"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wallet card figure from .</w:t>
      </w:r>
    </w:p>
    <w:bookmarkEnd w:id="38"/>
    <w:bookmarkEnd w:id="39"/>
    <w:bookmarkStart w:id="45" w:name="briefing"/>
    <w:p>
      <w:pPr>
        <w:pStyle w:val="Heading1"/>
      </w:pPr>
      <w:r>
        <w:t xml:space="preserve">Briefing</w:t>
      </w:r>
    </w:p>
    <w:bookmarkStart w:id="40" w:name="leaders-intent"/>
    <w:p>
      <w:pPr>
        <w:pStyle w:val="Heading2"/>
      </w:pPr>
      <w:r>
        <w:t xml:space="preserve">Leaders’ intent</w:t>
      </w:r>
    </w:p>
    <w:bookmarkEnd w:id="40"/>
    <w:bookmarkStart w:id="44" w:name="procedure"/>
    <w:p>
      <w:pPr>
        <w:pStyle w:val="Heading2"/>
      </w:pPr>
      <w:r>
        <w:t xml:space="preserve">Procedure</w:t>
      </w:r>
    </w:p>
    <w:p>
      <w:pPr>
        <w:pStyle w:val="FirstParagraph"/>
      </w:pPr>
      <w:r>
        <w:t xml:space="preserve">Consistent squads–not only a reality of wildland fire operations, but role in developing empathy for group problem-solving and higher-level learning.</w:t>
      </w:r>
    </w:p>
    <w:bookmarkStart w:id="41" w:name="location-and-equipment-resources"/>
    <w:p>
      <w:pPr>
        <w:pStyle w:val="Heading3"/>
      </w:pPr>
      <w:r>
        <w:t xml:space="preserve">Location and equipment resources</w:t>
      </w:r>
    </w:p>
    <w:bookmarkEnd w:id="41"/>
    <w:bookmarkStart w:id="42" w:name="personnel"/>
    <w:p>
      <w:pPr>
        <w:pStyle w:val="Heading3"/>
      </w:pPr>
      <w:r>
        <w:t xml:space="preserve">Personnel</w:t>
      </w:r>
    </w:p>
    <w:bookmarkEnd w:id="42"/>
    <w:bookmarkStart w:id="43" w:name="fire-environment"/>
    <w:p>
      <w:pPr>
        <w:pStyle w:val="Heading3"/>
      </w:pPr>
      <w:r>
        <w:t xml:space="preserve">Fire environment</w:t>
      </w:r>
    </w:p>
    <w:bookmarkEnd w:id="43"/>
    <w:bookmarkEnd w:id="44"/>
    <w:bookmarkEnd w:id="45"/>
    <w:bookmarkStart w:id="48" w:name="the-operation"/>
    <w:p>
      <w:pPr>
        <w:pStyle w:val="Heading1"/>
      </w:pPr>
      <w:r>
        <w:t xml:space="preserve">The operation</w:t>
      </w:r>
    </w:p>
    <w:bookmarkStart w:id="46" w:name="hands-on-fire-management-experience"/>
    <w:p>
      <w:pPr>
        <w:pStyle w:val="Heading2"/>
      </w:pPr>
      <w:r>
        <w:t xml:space="preserve">Hands-on fire management experience</w:t>
      </w:r>
    </w:p>
    <w:bookmarkEnd w:id="46"/>
    <w:bookmarkStart w:id="47" w:name="hands-on-fire-science-experience"/>
    <w:p>
      <w:pPr>
        <w:pStyle w:val="Heading2"/>
      </w:pPr>
      <w:r>
        <w:t xml:space="preserve">Hands-on fire science experience</w:t>
      </w:r>
    </w:p>
    <w:bookmarkEnd w:id="47"/>
    <w:bookmarkEnd w:id="48"/>
    <w:bookmarkStart w:id="49" w:name="after-action-review"/>
    <w:p>
      <w:pPr>
        <w:pStyle w:val="Heading1"/>
      </w:pPr>
      <w:r>
        <w:t xml:space="preserve">After Action Review</w:t>
      </w:r>
    </w:p>
    <w:bookmarkEnd w:id="49"/>
    <w:bookmarkStart w:id="50" w:name="conclusions-and-recommendations"/>
    <w:p>
      <w:pPr>
        <w:pStyle w:val="Heading1"/>
      </w:pPr>
      <w:r>
        <w:t xml:space="preserve">Conclusions and recommendations</w:t>
      </w:r>
    </w:p>
    <w:p>
      <w:pPr>
        <w:pStyle w:val="FirstParagraph"/>
      </w:pPr>
      <w:r>
        <w:t xml:space="preserve">Opportunities for broader incorporation of blended learning.</w:t>
      </w:r>
    </w:p>
    <w:bookmarkEnd w:id="50"/>
    <w:bookmarkStart w:id="64" w:name="references"/>
    <w:p>
      <w:pPr>
        <w:pStyle w:val="Heading1"/>
      </w:pPr>
      <w:r>
        <w:t xml:space="preserve">References</w:t>
      </w:r>
    </w:p>
    <w:bookmarkStart w:id="63" w:name="refs"/>
    <w:bookmarkStart w:id="51" w:name="ref-hardy1983"/>
    <w:p>
      <w:pPr>
        <w:pStyle w:val="Bibliography"/>
      </w:pPr>
      <w:r>
        <w:t xml:space="preserve">1.</w:t>
      </w:r>
      <w:r>
        <w:t xml:space="preserve"> </w:t>
      </w:r>
      <w:r>
        <w:t xml:space="preserve">	</w:t>
      </w:r>
      <w:r>
        <w:t xml:space="preserve">Hardy, C.E.</w:t>
      </w:r>
      <w:r>
        <w:t xml:space="preserve"> </w:t>
      </w:r>
      <w:r>
        <w:rPr>
          <w:iCs/>
          <w:i/>
        </w:rPr>
        <w:t xml:space="preserve">The Gisborne Era of Forest Fire Research: Legacy of a Pioneer</w:t>
      </w:r>
      <w:r>
        <w:t xml:space="preserve">; Northern Forest Fire Laboratory, Forest Service, US Dept. of Agriculture: Missoula, MT, 1983; p. 71;</w:t>
      </w:r>
    </w:p>
    <w:bookmarkEnd w:id="51"/>
    <w:bookmarkStart w:id="52" w:name="ref-pyne2015"/>
    <w:p>
      <w:pPr>
        <w:pStyle w:val="Bibliography"/>
      </w:pPr>
      <w:r>
        <w:t xml:space="preserve">2.</w:t>
      </w:r>
      <w:r>
        <w:t xml:space="preserve"> </w:t>
      </w:r>
      <w:r>
        <w:t xml:space="preserve">	</w:t>
      </w:r>
      <w:r>
        <w:t xml:space="preserve">Pyne, S.J.</w:t>
      </w:r>
      <w:r>
        <w:t xml:space="preserve"> </w:t>
      </w:r>
      <w:r>
        <w:rPr>
          <w:iCs/>
          <w:i/>
        </w:rPr>
        <w:t xml:space="preserve">Between Two Fires: A Fire History of Contemporary America</w:t>
      </w:r>
      <w:r>
        <w:t xml:space="preserve">; University of Arizona Press, 2015;</w:t>
      </w:r>
    </w:p>
    <w:bookmarkEnd w:id="52"/>
    <w:bookmarkStart w:id="53" w:name="ref-tnc2022"/>
    <w:p>
      <w:pPr>
        <w:pStyle w:val="Bibliography"/>
      </w:pPr>
      <w:r>
        <w:t xml:space="preserve">3.</w:t>
      </w:r>
      <w:r>
        <w:t xml:space="preserve"> </w:t>
      </w:r>
      <w:r>
        <w:t xml:space="preserve">	</w:t>
      </w:r>
      <w:r>
        <w:t xml:space="preserve">The Nature Conservancy</w:t>
      </w:r>
      <w:r>
        <w:t xml:space="preserve"> </w:t>
      </w:r>
      <w:r>
        <w:rPr>
          <w:iCs/>
          <w:i/>
        </w:rPr>
        <w:t xml:space="preserve">Why We Work with Fire</w:t>
      </w:r>
      <w:r>
        <w:t xml:space="preserve">; Available online: https://www.nature.org/en-us/what-we-do/our-priorities/protect-water-and-land/land-and-water-stories/why-we-work-with-fire/, 2022;</w:t>
      </w:r>
    </w:p>
    <w:bookmarkEnd w:id="53"/>
    <w:bookmarkStart w:id="54" w:name="ref-dague2015"/>
    <w:p>
      <w:pPr>
        <w:pStyle w:val="Bibliography"/>
      </w:pPr>
      <w:r>
        <w:t xml:space="preserve">4.</w:t>
      </w:r>
      <w:r>
        <w:t xml:space="preserve"> </w:t>
      </w:r>
      <w:r>
        <w:t xml:space="preserve">	</w:t>
      </w:r>
      <w:r>
        <w:t xml:space="preserve">Dague, D.; Hirami, P. The United States Forest Service’s Incident Command System 40 Years on: From Domestic Wildfires to International Disaster Response.</w:t>
      </w:r>
      <w:r>
        <w:t xml:space="preserve"> </w:t>
      </w:r>
      <w:r>
        <w:rPr>
          <w:iCs/>
          <w:i/>
        </w:rPr>
        <w:t xml:space="preserve">Unasylva</w:t>
      </w:r>
      <w:r>
        <w:t xml:space="preserve"> </w:t>
      </w:r>
      <w:r>
        <w:rPr>
          <w:bCs/>
          <w:b/>
        </w:rPr>
        <w:t xml:space="preserve">2015</w:t>
      </w:r>
      <w:r>
        <w:t xml:space="preserve">,</w:t>
      </w:r>
      <w:r>
        <w:t xml:space="preserve"> </w:t>
      </w:r>
      <w:r>
        <w:rPr>
          <w:iCs/>
          <w:i/>
        </w:rPr>
        <w:t xml:space="preserve">66</w:t>
      </w:r>
      <w:r>
        <w:t xml:space="preserve">, 79.</w:t>
      </w:r>
    </w:p>
    <w:bookmarkEnd w:id="54"/>
    <w:bookmarkStart w:id="55" w:name="ref-wilson1978"/>
    <w:p>
      <w:pPr>
        <w:pStyle w:val="Bibliography"/>
      </w:pPr>
      <w:r>
        <w:t xml:space="preserve">5.</w:t>
      </w:r>
      <w:r>
        <w:t xml:space="preserve"> </w:t>
      </w:r>
      <w:r>
        <w:t xml:space="preserve">	</w:t>
      </w:r>
      <w:r>
        <w:t xml:space="preserve">Wilson, J. History of</w:t>
      </w:r>
      <w:r>
        <w:t xml:space="preserve"> </w:t>
      </w:r>
      <w:r>
        <w:t xml:space="preserve">NWCG</w:t>
      </w:r>
      <w:r>
        <w:t xml:space="preserve">.</w:t>
      </w:r>
      <w:r>
        <w:t xml:space="preserve"> </w:t>
      </w:r>
      <w:r>
        <w:rPr>
          <w:iCs/>
          <w:i/>
        </w:rPr>
        <w:t xml:space="preserve">Fire Management Notes</w:t>
      </w:r>
      <w:r>
        <w:t xml:space="preserve"> </w:t>
      </w:r>
      <w:r>
        <w:rPr>
          <w:bCs/>
          <w:b/>
        </w:rPr>
        <w:t xml:space="preserve">1978</w:t>
      </w:r>
      <w:r>
        <w:t xml:space="preserve">,</w:t>
      </w:r>
      <w:r>
        <w:t xml:space="preserve"> </w:t>
      </w:r>
      <w:r>
        <w:rPr>
          <w:iCs/>
          <w:i/>
        </w:rPr>
        <w:t xml:space="preserve">Spring</w:t>
      </w:r>
      <w:r>
        <w:t xml:space="preserve">, 13–16.</w:t>
      </w:r>
    </w:p>
    <w:bookmarkEnd w:id="55"/>
    <w:bookmarkStart w:id="56" w:name="ref-goldammer2004"/>
    <w:p>
      <w:pPr>
        <w:pStyle w:val="Bibliography"/>
      </w:pPr>
      <w:r>
        <w:t xml:space="preserve">6.</w:t>
      </w:r>
      <w:r>
        <w:t xml:space="preserve"> </w:t>
      </w:r>
      <w:r>
        <w:t xml:space="preserve">	</w:t>
      </w:r>
      <w:r>
        <w:t xml:space="preserve">Goldammer, J. International Cooperation in Wildland Fire Management.</w:t>
      </w:r>
      <w:r>
        <w:t xml:space="preserve"> </w:t>
      </w:r>
      <w:r>
        <w:rPr>
          <w:iCs/>
          <w:i/>
        </w:rPr>
        <w:t xml:space="preserve">Unasylva</w:t>
      </w:r>
      <w:r>
        <w:t xml:space="preserve"> </w:t>
      </w:r>
      <w:r>
        <w:rPr>
          <w:bCs/>
          <w:b/>
        </w:rPr>
        <w:t xml:space="preserve">2004</w:t>
      </w:r>
      <w:r>
        <w:t xml:space="preserve">,</w:t>
      </w:r>
      <w:r>
        <w:t xml:space="preserve"> </w:t>
      </w:r>
      <w:r>
        <w:rPr>
          <w:iCs/>
          <w:i/>
        </w:rPr>
        <w:t xml:space="preserve">55</w:t>
      </w:r>
      <w:r>
        <w:t xml:space="preserve">, 3–8.</w:t>
      </w:r>
    </w:p>
    <w:bookmarkEnd w:id="56"/>
    <w:bookmarkStart w:id="57" w:name="ref-jensen2011"/>
    <w:p>
      <w:pPr>
        <w:pStyle w:val="Bibliography"/>
      </w:pPr>
      <w:r>
        <w:t xml:space="preserve">7.</w:t>
      </w:r>
      <w:r>
        <w:t xml:space="preserve"> </w:t>
      </w:r>
      <w:r>
        <w:t xml:space="preserve">	</w:t>
      </w:r>
      <w:r>
        <w:t xml:space="preserve">Jensen, J.A.; Yoon, D.K. Volunteer Fire Department Perceptions of ICS and NIMS.</w:t>
      </w:r>
      <w:r>
        <w:t xml:space="preserve"> </w:t>
      </w:r>
      <w:r>
        <w:rPr>
          <w:iCs/>
          <w:i/>
        </w:rPr>
        <w:t xml:space="preserve">Journal of Homeland Security and Emergency Management</w:t>
      </w:r>
      <w:r>
        <w:t xml:space="preserve"> </w:t>
      </w:r>
      <w:r>
        <w:rPr>
          <w:bCs/>
          <w:b/>
        </w:rPr>
        <w:t xml:space="preserve">2011</w:t>
      </w:r>
      <w:r>
        <w:t xml:space="preserve">,</w:t>
      </w:r>
      <w:r>
        <w:t xml:space="preserve"> </w:t>
      </w:r>
      <w:r>
        <w:rPr>
          <w:iCs/>
          <w:i/>
        </w:rPr>
        <w:t xml:space="preserve">8</w:t>
      </w:r>
      <w:r>
        <w:t xml:space="preserve">.</w:t>
      </w:r>
    </w:p>
    <w:bookmarkEnd w:id="57"/>
    <w:bookmarkStart w:id="58" w:name="ref-murphy1987"/>
    <w:p>
      <w:pPr>
        <w:pStyle w:val="Bibliography"/>
      </w:pPr>
      <w:r>
        <w:t xml:space="preserve">8.</w:t>
      </w:r>
      <w:r>
        <w:t xml:space="preserve"> </w:t>
      </w:r>
      <w:r>
        <w:t xml:space="preserve">	</w:t>
      </w:r>
      <w:r>
        <w:t xml:space="preserve">Murphy, J.L.; Cole, F.T. Prescribed Fire and Fire Suppression Training in the US Fish and Wildlife Service for the Year 2010. In Proceedings of the Proceedings of the symposium on wildland fire 2000 (april 27-30, 1987); Davis, J.B., Martin, R.E., Eds.; USDA Forest Service Pacific Southwest Forest; Range Experiment Station: Berkeley, CA; pp. 177–181.</w:t>
      </w:r>
    </w:p>
    <w:bookmarkEnd w:id="58"/>
    <w:bookmarkStart w:id="59" w:name="ref-stott2012"/>
    <w:p>
      <w:pPr>
        <w:pStyle w:val="Bibliography"/>
      </w:pPr>
      <w:r>
        <w:t xml:space="preserve">9.</w:t>
      </w:r>
      <w:r>
        <w:t xml:space="preserve"> </w:t>
      </w:r>
      <w:r>
        <w:t xml:space="preserve">	</w:t>
      </w:r>
      <w:r>
        <w:t xml:space="preserve">Stott, N.C.</w:t>
      </w:r>
      <w:r>
        <w:t xml:space="preserve"> </w:t>
      </w:r>
      <w:r>
        <w:rPr>
          <w:iCs/>
          <w:i/>
        </w:rPr>
        <w:t xml:space="preserve">Primary Health Care: Bridging the Gap Between Theory and Practice</w:t>
      </w:r>
      <w:r>
        <w:t xml:space="preserve">; Springer Science &amp; Business Media, 2012;</w:t>
      </w:r>
    </w:p>
    <w:bookmarkEnd w:id="59"/>
    <w:bookmarkStart w:id="60" w:name="ref-prendergast1999"/>
    <w:p>
      <w:pPr>
        <w:pStyle w:val="Bibliography"/>
      </w:pPr>
      <w:r>
        <w:t xml:space="preserve">10.</w:t>
      </w:r>
      <w:r>
        <w:t xml:space="preserve"> </w:t>
      </w:r>
      <w:r>
        <w:t xml:space="preserve">	</w:t>
      </w:r>
      <w:r>
        <w:t xml:space="preserve">Prendergast, J.R.; Quinn, R.M.; Lawton, J.H. The Gaps Between Theory and Practice in Selecting Nature Reserves.</w:t>
      </w:r>
      <w:r>
        <w:t xml:space="preserve"> </w:t>
      </w:r>
      <w:r>
        <w:rPr>
          <w:iCs/>
          <w:i/>
        </w:rPr>
        <w:t xml:space="preserve">Conservation Biology</w:t>
      </w:r>
      <w:r>
        <w:t xml:space="preserve"> </w:t>
      </w:r>
      <w:r>
        <w:rPr>
          <w:bCs/>
          <w:b/>
        </w:rPr>
        <w:t xml:space="preserve">1999</w:t>
      </w:r>
      <w:r>
        <w:t xml:space="preserve">,</w:t>
      </w:r>
      <w:r>
        <w:t xml:space="preserve"> </w:t>
      </w:r>
      <w:r>
        <w:rPr>
          <w:iCs/>
          <w:i/>
        </w:rPr>
        <w:t xml:space="preserve">13</w:t>
      </w:r>
      <w:r>
        <w:t xml:space="preserve">, 484–492.</w:t>
      </w:r>
    </w:p>
    <w:bookmarkEnd w:id="60"/>
    <w:bookmarkStart w:id="61" w:name="ref-carter2020"/>
    <w:p>
      <w:pPr>
        <w:pStyle w:val="Bibliography"/>
      </w:pPr>
      <w:r>
        <w:t xml:space="preserve">11.</w:t>
      </w:r>
      <w:r>
        <w:t xml:space="preserve"> </w:t>
      </w:r>
      <w:r>
        <w:t xml:space="preserve">	</w:t>
      </w:r>
      <w:r>
        <w:t xml:space="preserve">Carter, S.K.; Pilliod, D.S.; Haby, T.; Prentice, K.L.; Aldridge, C.L.; Anderson, P.J.; Bowen, Z.H.; Bradford, J.B.; Cushman, S.A.; DeVivo, J.C.; et al. Bridging the Research-Management Gap: Landscape Science in Practice on Public Lands in the Western United States.</w:t>
      </w:r>
      <w:r>
        <w:t xml:space="preserve"> </w:t>
      </w:r>
      <w:r>
        <w:rPr>
          <w:iCs/>
          <w:i/>
        </w:rPr>
        <w:t xml:space="preserve">Landscape Ecology</w:t>
      </w:r>
      <w:r>
        <w:t xml:space="preserve"> </w:t>
      </w:r>
      <w:r>
        <w:rPr>
          <w:bCs/>
          <w:b/>
        </w:rPr>
        <w:t xml:space="preserve">2020</w:t>
      </w:r>
      <w:r>
        <w:t xml:space="preserve">,</w:t>
      </w:r>
      <w:r>
        <w:t xml:space="preserve"> </w:t>
      </w:r>
      <w:r>
        <w:rPr>
          <w:iCs/>
          <w:i/>
        </w:rPr>
        <w:t xml:space="preserve">35</w:t>
      </w:r>
      <w:r>
        <w:t xml:space="preserve">, 545–560.</w:t>
      </w:r>
    </w:p>
    <w:bookmarkEnd w:id="61"/>
    <w:bookmarkStart w:id="62" w:name="ref-mcgranahan2021"/>
    <w:p>
      <w:pPr>
        <w:pStyle w:val="Bibliography"/>
      </w:pPr>
      <w:r>
        <w:t xml:space="preserve">12.</w:t>
      </w:r>
      <w:r>
        <w:t xml:space="preserve"> </w:t>
      </w:r>
      <w:r>
        <w:t xml:space="preserve">	</w:t>
      </w:r>
      <w:r>
        <w:t xml:space="preserve">McGranahan, D.A.; Wonkka, C.L.</w:t>
      </w:r>
      <w:r>
        <w:t xml:space="preserve"> </w:t>
      </w:r>
      <w:r>
        <w:rPr>
          <w:iCs/>
          <w:i/>
        </w:rPr>
        <w:t xml:space="preserve">Ecology of Fire-Dependent Ecosystems: Wildland Fire Science, Policy, and Management</w:t>
      </w:r>
      <w:r>
        <w:t xml:space="preserve">; CRC Press, 2021;</w:t>
      </w:r>
    </w:p>
    <w:bookmarkEnd w:id="62"/>
    <w:bookmarkEnd w:id="63"/>
    <w:bookmarkEnd w:id="64"/>
    <w:sectPr w:rsidR="00247478" w:rsidRPr="00057272" w:rsidSect="0073209C">
      <w:pgSz w:h="15840" w:w="12240"/>
      <w:pgMar w:bottom="1440" w:footer="0" w:gutter="0" w:header="0" w:left="1440" w:right="1440" w:top="1440"/>
      <w:lnNumType w:countBy="1" w:restart="continuous"/>
      <w:cols w:space="720"/>
      <w:formProt w:val="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w:altName w:val="Palatino Linotype"/>
    <w:charset w:val="01"/>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8F6307E"/>
    <w:lvl w:ilvl="0">
      <w:start w:val="1"/>
      <w:numFmt w:val="decimal"/>
      <w:lvlText w:val="%1."/>
      <w:lvlJc w:val="left"/>
      <w:pPr>
        <w:tabs>
          <w:tab w:pos="1800" w:val="num"/>
        </w:tabs>
        <w:ind w:hanging="360" w:left="1800"/>
      </w:pPr>
    </w:lvl>
  </w:abstractNum>
  <w:abstractNum w15:restartNumberingAfterBreak="0" w:abstractNumId="1">
    <w:nsid w:val="FFFFFF7F"/>
    <w:multiLevelType w:val="singleLevel"/>
    <w:tmpl w:val="03A2A120"/>
    <w:lvl w:ilvl="0">
      <w:start w:val="1"/>
      <w:numFmt w:val="decimal"/>
      <w:lvlText w:val="%1."/>
      <w:lvlJc w:val="left"/>
      <w:pPr>
        <w:tabs>
          <w:tab w:pos="720" w:val="num"/>
        </w:tabs>
        <w:ind w:hanging="360" w:left="7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Cs w:val="24"/>
        <w:lang w:bidi="ar-SA" w:eastAsia="en-US" w:val="en-US"/>
      </w:rPr>
    </w:rPrDefault>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1870F5"/>
    <w:pPr>
      <w:spacing w:after="180" w:before="180" w:line="360" w:lineRule="auto"/>
    </w:pPr>
    <w:rPr>
      <w:rFonts w:ascii="Arial" w:cs="Arial" w:hAnsi="Arial"/>
      <w:sz w:val="24"/>
    </w:rPr>
  </w:style>
  <w:style w:styleId="Heading1" w:type="paragraph">
    <w:name w:val="heading 1"/>
    <w:basedOn w:val="Normal"/>
    <w:uiPriority w:val="9"/>
    <w:qFormat/>
    <w:rsid w:val="00D9624B"/>
    <w:pPr>
      <w:keepNext/>
      <w:keepLines/>
      <w:spacing w:after="0" w:before="480"/>
      <w:outlineLvl w:val="0"/>
    </w:pPr>
    <w:rPr>
      <w:rFonts w:cstheme="majorBidi" w:eastAsiaTheme="majorEastAsia"/>
      <w:b/>
      <w:bCs/>
      <w:color w:themeColor="text1" w:val="000000"/>
      <w:szCs w:val="32"/>
    </w:rPr>
  </w:style>
  <w:style w:styleId="Heading2" w:type="paragraph">
    <w:name w:val="heading 2"/>
    <w:basedOn w:val="Normal"/>
    <w:uiPriority w:val="9"/>
    <w:unhideWhenUsed/>
    <w:qFormat/>
    <w:rsid w:val="00D9624B"/>
    <w:pPr>
      <w:keepNext/>
      <w:keepLines/>
      <w:spacing w:after="0" w:before="200"/>
      <w:outlineLvl w:val="1"/>
    </w:pPr>
    <w:rPr>
      <w:rFonts w:cstheme="majorBidi" w:eastAsiaTheme="majorEastAsia"/>
      <w:bCs/>
      <w:i/>
      <w:color w:themeColor="text1" w:val="000000"/>
      <w:szCs w:val="32"/>
    </w:rPr>
  </w:style>
  <w:style w:styleId="Heading3" w:type="paragraph">
    <w:name w:val="heading 3"/>
    <w:basedOn w:val="Normal"/>
    <w:uiPriority w:val="9"/>
    <w:unhideWhenUsed/>
    <w:qFormat/>
    <w:rsid w:val="00B428E4"/>
    <w:pPr>
      <w:keepNext/>
      <w:keepLines/>
      <w:spacing w:after="0" w:before="200"/>
      <w:outlineLvl w:val="2"/>
    </w:pPr>
    <w:rPr>
      <w:rFonts w:ascii="Cambria" w:cstheme="majorBidi" w:eastAsiaTheme="majorEastAsia" w:hAnsi="Cambria"/>
      <w:i/>
      <w:iCs/>
      <w:u w:val="single"/>
    </w:rPr>
  </w:style>
  <w:style w:styleId="Heading4" w:type="paragraph">
    <w:name w:val="heading 4"/>
    <w:basedOn w:val="Normal"/>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aptionChar" w:type="character">
    <w:name w:val="Caption Char"/>
    <w:basedOn w:val="DefaultParagraphFont"/>
    <w:link w:val="Caption"/>
    <w:qFormat/>
  </w:style>
  <w:style w:customStyle="1" w:styleId="VerbatimChar" w:type="character">
    <w:name w:val="Verbatim Char"/>
    <w:basedOn w:val="CaptionChar"/>
    <w:link w:val="SourceCode"/>
    <w:qFormat/>
    <w:rPr>
      <w:rFonts w:ascii="Consolas" w:hAnsi="Consolas"/>
      <w:sz w:val="22"/>
    </w:rPr>
  </w:style>
  <w:style w:customStyle="1" w:styleId="FootnoteCharacters" w:type="character">
    <w:name w:val="Footnote Characters"/>
    <w:basedOn w:val="CaptionChar"/>
    <w:qFormat/>
    <w:rPr>
      <w:vertAlign w:val="superscript"/>
    </w:rPr>
  </w:style>
  <w:style w:customStyle="1" w:styleId="FootnoteAnchor" w:type="character">
    <w:name w:val="Footnote Anchor"/>
    <w:rPr>
      <w:vertAlign w:val="superscript"/>
    </w:rPr>
  </w:style>
  <w:style w:customStyle="1" w:styleId="InternetLink" w:type="character">
    <w:name w:val="Internet Link"/>
    <w:basedOn w:val="CaptionChar"/>
    <w:rPr>
      <w:color w:themeColor="accent1" w:val="4F81BD"/>
    </w:rPr>
  </w:style>
  <w:style w:customStyle="1" w:styleId="KeywordTok" w:type="character">
    <w:name w:val="KeywordTok"/>
    <w:basedOn w:val="VerbatimChar"/>
    <w:qFormat/>
    <w:rPr>
      <w:rFonts w:ascii="Consolas" w:hAnsi="Consolas"/>
      <w:color w:val="204A87"/>
      <w:sz w:val="22"/>
      <w:shd w:color="auto" w:fill="F8F8F8" w:val="clear"/>
    </w:rPr>
  </w:style>
  <w:style w:customStyle="1" w:styleId="DataTypeTok" w:type="character">
    <w:name w:val="DataTypeTok"/>
    <w:basedOn w:val="VerbatimChar"/>
    <w:qFormat/>
    <w:rPr>
      <w:rFonts w:ascii="Consolas" w:hAnsi="Consolas"/>
      <w:color w:val="204A87"/>
      <w:sz w:val="22"/>
      <w:shd w:color="auto" w:fill="F8F8F8" w:val="clear"/>
    </w:rPr>
  </w:style>
  <w:style w:customStyle="1" w:styleId="DecValTok" w:type="character">
    <w:name w:val="DecValTok"/>
    <w:basedOn w:val="VerbatimChar"/>
    <w:qFormat/>
    <w:rPr>
      <w:rFonts w:ascii="Consolas" w:hAnsi="Consolas"/>
      <w:color w:val="0000CF"/>
      <w:sz w:val="22"/>
      <w:shd w:color="auto" w:fill="F8F8F8" w:val="clear"/>
    </w:rPr>
  </w:style>
  <w:style w:customStyle="1" w:styleId="BaseNTok" w:type="character">
    <w:name w:val="BaseNTok"/>
    <w:basedOn w:val="VerbatimChar"/>
    <w:qFormat/>
    <w:rPr>
      <w:rFonts w:ascii="Consolas" w:hAnsi="Consolas"/>
      <w:color w:val="0000CF"/>
      <w:sz w:val="22"/>
      <w:shd w:color="auto" w:fill="F8F8F8" w:val="clear"/>
    </w:rPr>
  </w:style>
  <w:style w:customStyle="1" w:styleId="FloatTok" w:type="character">
    <w:name w:val="FloatTok"/>
    <w:basedOn w:val="VerbatimChar"/>
    <w:qFormat/>
    <w:rPr>
      <w:rFonts w:ascii="Consolas" w:hAnsi="Consolas"/>
      <w:color w:val="0000CF"/>
      <w:sz w:val="22"/>
      <w:shd w:color="auto" w:fill="F8F8F8" w:val="clear"/>
    </w:rPr>
  </w:style>
  <w:style w:customStyle="1" w:styleId="ConstantTok" w:type="character">
    <w:name w:val="ConstantTok"/>
    <w:basedOn w:val="VerbatimChar"/>
    <w:qFormat/>
    <w:rPr>
      <w:rFonts w:ascii="Consolas" w:hAnsi="Consolas"/>
      <w:color w:val="000000"/>
      <w:sz w:val="22"/>
      <w:shd w:color="auto" w:fill="F8F8F8" w:val="clear"/>
    </w:rPr>
  </w:style>
  <w:style w:customStyle="1" w:styleId="CharTok" w:type="character">
    <w:name w:val="CharTok"/>
    <w:basedOn w:val="VerbatimChar"/>
    <w:qFormat/>
    <w:rPr>
      <w:rFonts w:ascii="Consolas" w:hAnsi="Consolas"/>
      <w:color w:val="4E9A06"/>
      <w:sz w:val="22"/>
      <w:shd w:color="auto" w:fill="F8F8F8" w:val="clear"/>
    </w:rPr>
  </w:style>
  <w:style w:customStyle="1" w:styleId="SpecialCharTok" w:type="character">
    <w:name w:val="SpecialCharTok"/>
    <w:basedOn w:val="VerbatimChar"/>
    <w:qFormat/>
    <w:rPr>
      <w:rFonts w:ascii="Consolas" w:hAnsi="Consolas"/>
      <w:color w:val="000000"/>
      <w:sz w:val="22"/>
      <w:shd w:color="auto" w:fill="F8F8F8" w:val="clear"/>
    </w:rPr>
  </w:style>
  <w:style w:customStyle="1" w:styleId="StringTok" w:type="character">
    <w:name w:val="StringTok"/>
    <w:basedOn w:val="VerbatimChar"/>
    <w:qFormat/>
    <w:rPr>
      <w:rFonts w:ascii="Consolas" w:hAnsi="Consolas"/>
      <w:color w:val="4E9A06"/>
      <w:sz w:val="22"/>
      <w:shd w:color="auto" w:fill="F8F8F8" w:val="clear"/>
    </w:rPr>
  </w:style>
  <w:style w:customStyle="1" w:styleId="VerbatimStringTok" w:type="character">
    <w:name w:val="VerbatimStringTok"/>
    <w:basedOn w:val="VerbatimChar"/>
    <w:qFormat/>
    <w:rPr>
      <w:rFonts w:ascii="Consolas" w:hAnsi="Consolas"/>
      <w:color w:val="4E9A06"/>
      <w:sz w:val="22"/>
      <w:shd w:color="auto" w:fill="F8F8F8" w:val="clear"/>
    </w:rPr>
  </w:style>
  <w:style w:customStyle="1" w:styleId="SpecialStringTok" w:type="character">
    <w:name w:val="SpecialStringTok"/>
    <w:basedOn w:val="VerbatimChar"/>
    <w:qFormat/>
    <w:rPr>
      <w:rFonts w:ascii="Consolas" w:hAnsi="Consolas"/>
      <w:color w:val="4E9A06"/>
      <w:sz w:val="22"/>
      <w:shd w:color="auto" w:fill="F8F8F8" w:val="clear"/>
    </w:rPr>
  </w:style>
  <w:style w:customStyle="1" w:styleId="ImportTok" w:type="character">
    <w:name w:val="ImportTok"/>
    <w:basedOn w:val="VerbatimChar"/>
    <w:qFormat/>
    <w:rPr>
      <w:rFonts w:ascii="Consolas" w:hAnsi="Consolas"/>
      <w:sz w:val="22"/>
      <w:shd w:color="auto" w:fill="F8F8F8" w:val="clear"/>
    </w:rPr>
  </w:style>
  <w:style w:customStyle="1" w:styleId="CommentTok" w:type="character">
    <w:name w:val="CommentTok"/>
    <w:basedOn w:val="VerbatimChar"/>
    <w:qFormat/>
    <w:rPr>
      <w:rFonts w:ascii="Consolas" w:hAnsi="Consolas"/>
      <w:i/>
      <w:color w:val="8F5902"/>
      <w:sz w:val="22"/>
      <w:shd w:color="auto" w:fill="F8F8F8" w:val="clear"/>
    </w:rPr>
  </w:style>
  <w:style w:customStyle="1" w:styleId="DocumentationTok" w:type="character">
    <w:name w:val="DocumentationTok"/>
    <w:basedOn w:val="VerbatimChar"/>
    <w:qFormat/>
    <w:rPr>
      <w:rFonts w:ascii="Consolas" w:hAnsi="Consolas"/>
      <w:i/>
      <w:color w:val="8F5902"/>
      <w:sz w:val="22"/>
      <w:shd w:color="auto" w:fill="F8F8F8" w:val="clear"/>
    </w:rPr>
  </w:style>
  <w:style w:customStyle="1" w:styleId="AnnotationTok" w:type="character">
    <w:name w:val="AnnotationTok"/>
    <w:basedOn w:val="VerbatimChar"/>
    <w:qFormat/>
    <w:rPr>
      <w:rFonts w:ascii="Consolas" w:hAnsi="Consolas"/>
      <w:i/>
      <w:color w:val="8F5902"/>
      <w:sz w:val="22"/>
      <w:shd w:color="auto" w:fill="F8F8F8" w:val="clear"/>
    </w:rPr>
  </w:style>
  <w:style w:customStyle="1" w:styleId="CommentVarTok" w:type="character">
    <w:name w:val="CommentVarTok"/>
    <w:basedOn w:val="VerbatimChar"/>
    <w:qFormat/>
    <w:rPr>
      <w:rFonts w:ascii="Consolas" w:hAnsi="Consolas"/>
      <w:i/>
      <w:color w:val="8F5902"/>
      <w:sz w:val="22"/>
      <w:shd w:color="auto" w:fill="F8F8F8" w:val="clear"/>
    </w:rPr>
  </w:style>
  <w:style w:customStyle="1" w:styleId="OtherTok" w:type="character">
    <w:name w:val="OtherTok"/>
    <w:basedOn w:val="VerbatimChar"/>
    <w:qFormat/>
    <w:rPr>
      <w:rFonts w:ascii="Consolas" w:hAnsi="Consolas"/>
      <w:color w:val="8F5902"/>
      <w:sz w:val="22"/>
      <w:shd w:color="auto" w:fill="F8F8F8" w:val="clear"/>
    </w:rPr>
  </w:style>
  <w:style w:customStyle="1" w:styleId="FunctionTok" w:type="character">
    <w:name w:val="FunctionTok"/>
    <w:basedOn w:val="VerbatimChar"/>
    <w:qFormat/>
    <w:rPr>
      <w:rFonts w:ascii="Consolas" w:hAnsi="Consolas"/>
      <w:color w:val="000000"/>
      <w:sz w:val="22"/>
      <w:shd w:color="auto" w:fill="F8F8F8" w:val="clear"/>
    </w:rPr>
  </w:style>
  <w:style w:customStyle="1" w:styleId="VariableTok" w:type="character">
    <w:name w:val="VariableTok"/>
    <w:basedOn w:val="VerbatimChar"/>
    <w:qFormat/>
    <w:rPr>
      <w:rFonts w:ascii="Consolas" w:hAnsi="Consolas"/>
      <w:color w:val="000000"/>
      <w:sz w:val="22"/>
      <w:shd w:color="auto" w:fill="F8F8F8" w:val="clear"/>
    </w:rPr>
  </w:style>
  <w:style w:customStyle="1" w:styleId="ControlFlowTok" w:type="character">
    <w:name w:val="ControlFlowTok"/>
    <w:basedOn w:val="VerbatimChar"/>
    <w:qFormat/>
    <w:rPr>
      <w:rFonts w:ascii="Consolas" w:hAnsi="Consolas"/>
      <w:color w:val="204A87"/>
      <w:sz w:val="22"/>
      <w:shd w:color="auto" w:fill="F8F8F8" w:val="clear"/>
    </w:rPr>
  </w:style>
  <w:style w:customStyle="1" w:styleId="OperatorTok" w:type="character">
    <w:name w:val="OperatorTok"/>
    <w:basedOn w:val="VerbatimChar"/>
    <w:qFormat/>
    <w:rPr>
      <w:rFonts w:ascii="Consolas" w:hAnsi="Consolas"/>
      <w:color w:val="CE5C00"/>
      <w:sz w:val="22"/>
      <w:shd w:color="auto" w:fill="F8F8F8" w:val="clear"/>
    </w:rPr>
  </w:style>
  <w:style w:customStyle="1" w:styleId="BuiltInTok" w:type="character">
    <w:name w:val="BuiltInTok"/>
    <w:basedOn w:val="VerbatimChar"/>
    <w:qFormat/>
    <w:rPr>
      <w:rFonts w:ascii="Consolas" w:hAnsi="Consolas"/>
      <w:sz w:val="22"/>
      <w:shd w:color="auto" w:fill="F8F8F8" w:val="clear"/>
    </w:rPr>
  </w:style>
  <w:style w:customStyle="1" w:styleId="ExtensionTok" w:type="character">
    <w:name w:val="ExtensionTok"/>
    <w:basedOn w:val="VerbatimChar"/>
    <w:qFormat/>
    <w:rPr>
      <w:rFonts w:ascii="Consolas" w:hAnsi="Consolas"/>
      <w:sz w:val="22"/>
      <w:shd w:color="auto" w:fill="F8F8F8" w:val="clear"/>
    </w:rPr>
  </w:style>
  <w:style w:customStyle="1" w:styleId="PreprocessorTok" w:type="character">
    <w:name w:val="PreprocessorTok"/>
    <w:basedOn w:val="VerbatimChar"/>
    <w:qFormat/>
    <w:rPr>
      <w:rFonts w:ascii="Consolas" w:hAnsi="Consolas"/>
      <w:i/>
      <w:color w:val="8F5902"/>
      <w:sz w:val="22"/>
      <w:shd w:color="auto" w:fill="F8F8F8" w:val="clear"/>
    </w:rPr>
  </w:style>
  <w:style w:customStyle="1" w:styleId="AttributeTok" w:type="character">
    <w:name w:val="AttributeTok"/>
    <w:basedOn w:val="VerbatimChar"/>
    <w:qFormat/>
    <w:rPr>
      <w:rFonts w:ascii="Consolas" w:hAnsi="Consolas"/>
      <w:color w:val="C4A000"/>
      <w:sz w:val="22"/>
      <w:shd w:color="auto" w:fill="F8F8F8" w:val="clear"/>
    </w:rPr>
  </w:style>
  <w:style w:customStyle="1" w:styleId="RegionMarkerTok" w:type="character">
    <w:name w:val="RegionMarkerTok"/>
    <w:basedOn w:val="VerbatimChar"/>
    <w:qFormat/>
    <w:rPr>
      <w:rFonts w:ascii="Consolas" w:hAnsi="Consolas"/>
      <w:sz w:val="22"/>
      <w:shd w:color="auto" w:fill="F8F8F8" w:val="clear"/>
    </w:rPr>
  </w:style>
  <w:style w:customStyle="1" w:styleId="InformationTok" w:type="character">
    <w:name w:val="InformationTok"/>
    <w:basedOn w:val="VerbatimChar"/>
    <w:qFormat/>
    <w:rPr>
      <w:rFonts w:ascii="Consolas" w:hAnsi="Consolas"/>
      <w:i/>
      <w:color w:val="8F5902"/>
      <w:sz w:val="22"/>
      <w:shd w:color="auto" w:fill="F8F8F8" w:val="clear"/>
    </w:rPr>
  </w:style>
  <w:style w:customStyle="1" w:styleId="WarningTok" w:type="character">
    <w:name w:val="WarningTok"/>
    <w:basedOn w:val="VerbatimChar"/>
    <w:qFormat/>
    <w:rPr>
      <w:rFonts w:ascii="Consolas" w:hAnsi="Consolas"/>
      <w:i/>
      <w:color w:val="8F5902"/>
      <w:sz w:val="22"/>
      <w:shd w:color="auto" w:fill="F8F8F8" w:val="clear"/>
    </w:rPr>
  </w:style>
  <w:style w:customStyle="1" w:styleId="AlertTok" w:type="character">
    <w:name w:val="AlertTok"/>
    <w:basedOn w:val="VerbatimChar"/>
    <w:qFormat/>
    <w:rPr>
      <w:rFonts w:ascii="Consolas" w:hAnsi="Consolas"/>
      <w:color w:val="EF2929"/>
      <w:sz w:val="22"/>
      <w:shd w:color="auto" w:fill="F8F8F8" w:val="clear"/>
    </w:rPr>
  </w:style>
  <w:style w:customStyle="1" w:styleId="ErrorTok" w:type="character">
    <w:name w:val="ErrorTok"/>
    <w:basedOn w:val="VerbatimChar"/>
    <w:qFormat/>
    <w:rPr>
      <w:rFonts w:ascii="Consolas" w:hAnsi="Consolas"/>
      <w:color w:val="A40000"/>
      <w:sz w:val="22"/>
      <w:shd w:color="auto" w:fill="F8F8F8" w:val="clear"/>
    </w:rPr>
  </w:style>
  <w:style w:customStyle="1" w:styleId="NormalTok" w:type="character">
    <w:name w:val="NormalTok"/>
    <w:basedOn w:val="VerbatimChar"/>
    <w:qFormat/>
    <w:rPr>
      <w:rFonts w:ascii="Consolas" w:hAnsi="Consolas"/>
      <w:sz w:val="22"/>
      <w:shd w:color="auto" w:fill="F8F8F8" w:val="clear"/>
    </w:rPr>
  </w:style>
  <w:style w:customStyle="1" w:styleId="BodyTextChar" w:type="character">
    <w:name w:val="Body Text Char"/>
    <w:basedOn w:val="DefaultParagraphFont"/>
    <w:link w:val="BodyText"/>
    <w:qFormat/>
    <w:rsid w:val="00B428E4"/>
    <w:rPr>
      <w:rFonts w:ascii="Palatino" w:hAnsi="Palatino"/>
      <w:sz w:val="24"/>
    </w:rPr>
  </w:style>
  <w:style w:customStyle="1" w:styleId="ListLabel1" w:type="character">
    <w:name w:val="ListLabel 1"/>
    <w:qFormat/>
    <w:rPr>
      <w:rFonts w:cs="Courier New"/>
    </w:rPr>
  </w:style>
  <w:style w:customStyle="1" w:styleId="ListLabel2" w:type="character">
    <w:name w:val="ListLabel 2"/>
    <w:qFormat/>
    <w:rPr>
      <w:rFonts w:cs="Courier New"/>
    </w:rPr>
  </w:style>
  <w:style w:customStyle="1" w:styleId="ListLabel3" w:type="character">
    <w:name w:val="ListLabel 3"/>
    <w:qFormat/>
  </w:style>
  <w:style w:customStyle="1" w:styleId="ListLabel4" w:type="character">
    <w:name w:val="ListLabel 4"/>
    <w:qFormat/>
  </w:style>
  <w:style w:customStyle="1" w:styleId="ListLabel5" w:type="character">
    <w:name w:val="ListLabel 5"/>
    <w:qFormat/>
  </w:style>
  <w:style w:customStyle="1" w:styleId="ListLabel6" w:type="character">
    <w:name w:val="ListLabel 6"/>
    <w:qFormat/>
  </w:style>
  <w:style w:customStyle="1" w:styleId="ListLabel7" w:type="character">
    <w:name w:val="ListLabel 7"/>
    <w:qFormat/>
  </w:style>
  <w:style w:customStyle="1" w:styleId="ListLabel8" w:type="character">
    <w:name w:val="ListLabel 8"/>
    <w:qFormat/>
  </w:style>
  <w:style w:customStyle="1" w:styleId="ListLabel9" w:type="character">
    <w:name w:val="ListLabel 9"/>
    <w:qFormat/>
  </w:style>
  <w:style w:customStyle="1" w:styleId="ListLabel10" w:type="character">
    <w:name w:val="ListLabel 10"/>
    <w:qFormat/>
  </w:style>
  <w:style w:customStyle="1" w:styleId="ListLabel11" w:type="character">
    <w:name w:val="ListLabel 11"/>
    <w:qFormat/>
  </w:style>
  <w:style w:customStyle="1" w:styleId="ListLabel12" w:type="character">
    <w:name w:val="ListLabel 12"/>
    <w:qFormat/>
  </w:style>
  <w:style w:customStyle="1" w:styleId="ListLabel13" w:type="character">
    <w:name w:val="ListLabel 13"/>
    <w:qFormat/>
  </w:style>
  <w:style w:customStyle="1" w:styleId="ListLabel14" w:type="character">
    <w:name w:val="ListLabel 14"/>
    <w:qFormat/>
  </w:style>
  <w:style w:customStyle="1" w:styleId="ListLabel15" w:type="character">
    <w:name w:val="ListLabel 15"/>
    <w:qFormat/>
  </w:style>
  <w:style w:customStyle="1" w:styleId="ListLabel16" w:type="character">
    <w:name w:val="ListLabel 16"/>
    <w:qFormat/>
  </w:style>
  <w:style w:customStyle="1" w:styleId="ListLabel17" w:type="character">
    <w:name w:val="ListLabel 17"/>
    <w:qFormat/>
  </w:style>
  <w:style w:customStyle="1" w:styleId="ListLabel18" w:type="character">
    <w:name w:val="ListLabel 18"/>
    <w:qFormat/>
  </w:style>
  <w:style w:customStyle="1" w:styleId="Heading" w:type="paragraph">
    <w:name w:val="Heading"/>
    <w:basedOn w:val="Normal"/>
    <w:next w:val="BodyText"/>
    <w:qFormat/>
    <w:pPr>
      <w:keepNext/>
      <w:spacing w:after="120" w:before="240"/>
    </w:pPr>
    <w:rPr>
      <w:rFonts w:ascii="Liberation Sans" w:cs="Lohit Devanagari" w:eastAsia="AR PL SungtiL GB" w:hAnsi="Liberation Sans"/>
      <w:sz w:val="28"/>
      <w:szCs w:val="28"/>
    </w:rPr>
  </w:style>
  <w:style w:styleId="BodyText" w:type="paragraph">
    <w:name w:val="Body Text"/>
    <w:basedOn w:val="Normal"/>
    <w:link w:val="BodyTextChar"/>
    <w:qFormat/>
    <w:rsid w:val="00B428E4"/>
    <w:pPr>
      <w:ind w:firstLine="360"/>
    </w:pPr>
  </w:style>
  <w:style w:styleId="List" w:type="paragraph">
    <w:name w:val="List"/>
    <w:basedOn w:val="BodyText"/>
    <w:rPr>
      <w:rFonts w:cs="Lohit Devanagari"/>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Lohit Devanagari"/>
    </w:rPr>
  </w:style>
  <w:style w:customStyle="1" w:styleId="FirstParagraph" w:type="paragraph">
    <w:name w:val="First Paragraph"/>
    <w:basedOn w:val="BodyText"/>
    <w:qFormat/>
    <w:rsid w:val="00B428E4"/>
    <w:pPr>
      <w:ind w:firstLine="0"/>
    </w:pPr>
  </w:style>
  <w:style w:customStyle="1" w:styleId="Compact" w:type="paragraph">
    <w:name w:val="Compact"/>
    <w:basedOn w:val="BodyText"/>
    <w:qFormat/>
    <w:rsid w:val="00E502CA"/>
    <w:pPr>
      <w:spacing w:after="0" w:before="0" w:line="240" w:lineRule="auto"/>
    </w:pPr>
    <w:rPr>
      <w:sz w:val="20"/>
      <w:szCs w:val="20"/>
    </w:rPr>
  </w:style>
  <w:style w:styleId="Title" w:type="paragraph">
    <w:name w:val="Title"/>
    <w:basedOn w:val="Normal"/>
    <w:qFormat/>
    <w:rsid w:val="00B428E4"/>
    <w:pPr>
      <w:keepNext/>
      <w:keepLines/>
      <w:spacing w:after="240" w:before="480"/>
      <w:jc w:val="center"/>
    </w:pPr>
    <w:rPr>
      <w:rFonts w:cstheme="majorBidi" w:eastAsiaTheme="majorEastAsia"/>
      <w:b/>
      <w:color w:themeColor="text1" w:val="000000"/>
      <w:sz w:val="28"/>
      <w:szCs w:val="28"/>
    </w:rPr>
  </w:style>
  <w:style w:styleId="Subtitle" w:type="paragraph">
    <w:name w:val="Subtitle"/>
    <w:basedOn w:val="Title"/>
    <w:qFormat/>
    <w:pPr>
      <w:spacing w:before="240"/>
    </w:pPr>
    <w:rPr>
      <w:sz w:val="30"/>
      <w:szCs w:val="30"/>
    </w:rPr>
  </w:style>
  <w:style w:customStyle="1" w:styleId="Author" w:type="paragraph">
    <w:name w:val="Author"/>
    <w:qFormat/>
    <w:rsid w:val="002C18CC"/>
    <w:pPr>
      <w:keepNext/>
      <w:keepLines/>
      <w:jc w:val="center"/>
    </w:pPr>
    <w:rPr>
      <w:rFonts w:ascii="Arial" w:hAnsi="Arial"/>
      <w:sz w:val="24"/>
    </w:rPr>
  </w:style>
  <w:style w:styleId="Date" w:type="paragraph">
    <w:name w:val="Date"/>
    <w:qFormat/>
    <w:pPr>
      <w:keepNext/>
      <w:keepLines/>
      <w:jc w:val="center"/>
    </w:pPr>
    <w:rPr>
      <w:sz w:val="24"/>
    </w:rPr>
  </w:style>
  <w:style w:customStyle="1" w:styleId="Abstract" w:type="paragraph">
    <w:name w:val="Abstract"/>
    <w:basedOn w:val="Normal"/>
    <w:qFormat/>
    <w:rsid w:val="0046534D"/>
    <w:pPr>
      <w:keepNext/>
      <w:keepLines/>
      <w:spacing w:after="300" w:before="300"/>
      <w:ind w:left="432" w:right="432"/>
    </w:pPr>
  </w:style>
  <w:style w:styleId="Bibliography" w:type="paragraph">
    <w:name w:val="Bibliography"/>
    <w:basedOn w:val="FirstParagraph"/>
    <w:qFormat/>
    <w:rsid w:val="00B428E4"/>
    <w:rPr>
      <w:sz w:val="20"/>
    </w:rPr>
  </w:style>
  <w:style w:styleId="BlockText" w:type="paragraph">
    <w:name w:val="Block Text"/>
    <w:basedOn w:val="BodyText"/>
    <w:uiPriority w:val="9"/>
    <w:unhideWhenUsed/>
    <w:qFormat/>
    <w:pPr>
      <w:spacing w:after="100" w:before="100"/>
      <w:ind w:firstLine="0" w:left="360"/>
    </w:pPr>
    <w:rPr>
      <w:rFonts w:cstheme="majorBidi" w:eastAsiaTheme="majorEastAsia"/>
      <w:bCs/>
      <w:sz w:val="22"/>
      <w:szCs w:val="20"/>
    </w:rPr>
  </w:style>
  <w:style w:styleId="FootnoteText" w:type="paragraph">
    <w:name w:val="footnote text"/>
    <w:basedOn w:val="Normal"/>
    <w:uiPriority w:val="9"/>
    <w:unhideWhenUsed/>
    <w:qFormat/>
  </w:style>
  <w:style w:customStyle="1" w:styleId="DefinitionTerm" w:type="paragraph">
    <w:name w:val="Definition Term"/>
    <w:basedOn w:val="Normal"/>
    <w:qFormat/>
    <w:pPr>
      <w:keepNext/>
      <w:keepLines/>
      <w:spacing w:after="0"/>
    </w:pPr>
    <w:rPr>
      <w:b/>
    </w:rPr>
  </w:style>
  <w:style w:customStyle="1" w:styleId="Definition" w:type="paragraph">
    <w:name w:val="Definition"/>
    <w:basedOn w:val="Normal"/>
    <w:qFormat/>
  </w:style>
  <w:style w:customStyle="1" w:styleId="TableCaption" w:type="paragraph">
    <w:name w:val="Table Caption"/>
    <w:basedOn w:val="Caption"/>
    <w:qFormat/>
    <w:rsid w:val="0049455F"/>
    <w:pPr>
      <w:keepNext/>
    </w:pPr>
    <w:rPr>
      <w:i w:val="0"/>
      <w:iCs/>
      <w:sz w:val="22"/>
      <w:szCs w:val="22"/>
    </w:rPr>
  </w:style>
  <w:style w:customStyle="1" w:styleId="ImageCaption" w:type="paragraph">
    <w:name w:val="Image Caption"/>
    <w:basedOn w:val="Caption"/>
    <w:qFormat/>
    <w:rsid w:val="00B428E4"/>
    <w:pPr>
      <w:spacing w:after="180"/>
      <w:jc w:val="center"/>
    </w:pPr>
    <w:rPr>
      <w:i w:val="0"/>
      <w:iCs/>
    </w:rPr>
  </w:style>
  <w:style w:customStyle="1" w:styleId="Figure" w:type="paragraph">
    <w:name w:val="Figure"/>
    <w:basedOn w:val="Normal"/>
    <w:qFormat/>
  </w:style>
  <w:style w:customStyle="1" w:styleId="FigurewithCaption" w:type="paragraph">
    <w:name w:val="Figure with Caption"/>
    <w:basedOn w:val="Figure"/>
    <w:qFormat/>
    <w:pPr>
      <w:keepNext/>
    </w:pPr>
  </w:style>
  <w:style w:styleId="TOCHeading" w:type="paragraph">
    <w:name w:val="TOC Heading"/>
    <w:basedOn w:val="Heading1"/>
    <w:uiPriority w:val="39"/>
    <w:unhideWhenUsed/>
    <w:qFormat/>
    <w:pPr>
      <w:spacing w:before="240" w:line="259" w:lineRule="auto"/>
    </w:pPr>
    <w:rPr>
      <w:b w:val="0"/>
      <w:bCs w:val="0"/>
      <w:color w:themeColor="accent1" w:themeShade="BF" w:val="365F91"/>
    </w:rPr>
  </w:style>
  <w:style w:customStyle="1" w:styleId="SourceCode" w:type="paragraph">
    <w:name w:val="Source Code"/>
    <w:basedOn w:val="Normal"/>
    <w:link w:val="VerbatimChar"/>
    <w:qFormat/>
    <w:pPr>
      <w:shd w:color="auto" w:fill="F8F8F8" w:val="clear"/>
    </w:pPr>
  </w:style>
  <w:style w:customStyle="1" w:styleId="Style1" w:type="paragraph">
    <w:name w:val="Style1"/>
    <w:basedOn w:val="Title"/>
    <w:qFormat/>
    <w:rsid w:val="0046359F"/>
    <w:rPr>
      <w:rFonts w:ascii="Palatino Linotype" w:hAnsi="Palatino Linotype"/>
    </w:rPr>
  </w:style>
  <w:style w:customStyle="1" w:styleId="steve-title" w:type="paragraph">
    <w:name w:val="steve-title"/>
    <w:basedOn w:val="Title"/>
    <w:qFormat/>
    <w:rsid w:val="00263D8E"/>
    <w:rPr>
      <w:b w:val="0"/>
      <w:i/>
    </w:rPr>
  </w:style>
  <w:style w:customStyle="1" w:styleId="TableContents" w:type="paragraph">
    <w:name w:val="Table Contents"/>
    <w:basedOn w:val="Normal"/>
    <w:qFormat/>
    <w:pPr>
      <w:suppressLineNumbers/>
    </w:pPr>
  </w:style>
  <w:style w:customStyle="1" w:styleId="TableHeading" w:type="paragraph">
    <w:name w:val="Table Heading"/>
    <w:basedOn w:val="TableContents"/>
    <w:qFormat/>
    <w:pPr>
      <w:jc w:val="center"/>
    </w:pPr>
    <w:rPr>
      <w:b/>
      <w:bCs/>
    </w:rPr>
  </w:style>
  <w:style w:styleId="LineNumber" w:type="character">
    <w:name w:val="line number"/>
    <w:basedOn w:val="DefaultParagraphFont"/>
    <w:semiHidden/>
    <w:unhideWhenUsed/>
    <w:rsid w:val="0073209C"/>
  </w:style>
  <w:style w:type="character" w:customStyle="1" w:styleId="redoc-citation-1">
    <w:name w:val="redoc-citation-1"/>
    <w:basedOn w:val="BodyTextChar"/>
    <w:hidden/>
  </w:style>
  <w:style w:type="character" w:customStyle="1" w:styleId="redoc-citation-10">
    <w:name w:val="redoc-citation-10"/>
    <w:basedOn w:val="BodyTextChar"/>
    <w:hidden/>
  </w:style>
  <w:style w:type="character" w:customStyle="1" w:styleId="redoc-citation-11">
    <w:name w:val="redoc-citation-11"/>
    <w:basedOn w:val="BodyTextChar"/>
    <w:hidden/>
  </w:style>
  <w:style w:type="character" w:customStyle="1" w:styleId="redoc-citation-12">
    <w:name w:val="redoc-citation-12"/>
    <w:basedOn w:val="BodyTextChar"/>
    <w:hidden/>
  </w:style>
  <w:style w:type="character" w:customStyle="1" w:styleId="redoc-citation-13">
    <w:name w:val="redoc-citation-13"/>
    <w:basedOn w:val="BodyTextChar"/>
    <w:hidden/>
  </w:style>
  <w:style w:type="character" w:customStyle="1" w:styleId="redoc-citation-2">
    <w:name w:val="redoc-citation-2"/>
    <w:basedOn w:val="BodyTextChar"/>
    <w:hidden/>
  </w:style>
  <w:style w:type="character" w:customStyle="1" w:styleId="redoc-citation-3">
    <w:name w:val="redoc-citation-3"/>
    <w:basedOn w:val="BodyTextChar"/>
    <w:hidden/>
  </w:style>
  <w:style w:type="character" w:customStyle="1" w:styleId="redoc-citation-4">
    <w:name w:val="redoc-citation-4"/>
    <w:basedOn w:val="BodyTextChar"/>
    <w:hidden/>
  </w:style>
  <w:style w:type="character" w:customStyle="1" w:styleId="redoc-citation-5">
    <w:name w:val="redoc-citation-5"/>
    <w:basedOn w:val="BodyTextChar"/>
    <w:hidden/>
  </w:style>
  <w:style w:type="character" w:customStyle="1" w:styleId="redoc-citation-6">
    <w:name w:val="redoc-citation-6"/>
    <w:basedOn w:val="BodyTextChar"/>
    <w:hidden/>
  </w:style>
  <w:style w:type="character" w:customStyle="1" w:styleId="redoc-citation-7">
    <w:name w:val="redoc-citation-7"/>
    <w:basedOn w:val="BodyTextChar"/>
    <w:hidden/>
  </w:style>
  <w:style w:type="character" w:customStyle="1" w:styleId="redoc-citation-8">
    <w:name w:val="redoc-citation-8"/>
    <w:basedOn w:val="BodyTextChar"/>
    <w:hidden/>
  </w:style>
  <w:style w:type="character" w:customStyle="1" w:styleId="redoc-citation-9">
    <w:name w:val="redoc-citation-9"/>
    <w:basedOn w:val="BodyTextChar"/>
    <w: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35" Type="http://schemas.openxmlformats.org/officeDocument/2006/relationships/image" Target="media/rId35.png"/>
<Relationship Id="rId20" Type="http://schemas.openxmlformats.org/officeDocument/2006/relationships/hyperlink" Target="mailto:Devan.McGranahan@usda.gov" TargetMode="External"/>
<Relationship Id="rId36" Type="http://schemas.openxmlformats.org/officeDocument/2006/relationships/Rmd" Target="../redoc/DunnRanchRedoc.Rmd"/>
<Relationship Id="rId37" Type="http://schemas.openxmlformats.org/officeDocument/2006/relationships/md" Target="../redoc/DunnRanchRedoc.knit.md"/>
<Relationship Id="rId38" Type="http://schemas.openxmlformats.org/officeDocument/2006/relationships/yml" Target="../redoc/DunnRanchRedoc.codelist.yml"/>
<Relationship Id="rId39" Type="http://schemas.openxmlformats.org/officeDocument/2006/relationships/Rmd" Target="../redoc/DunnRanchRedoc.preprocessed.Rmd"/>
<Relationship Id="rId40" Type="http://schemas.openxmlformats.org/officeDocument/2006/relationships/Rmd" Target="../redoc/DunnRanchRedoc.roundtrip.Rmd"/>
<Relationship Id="rId41" Type="http://schemas.openxmlformats.org/officeDocument/2006/relationships/yml" Target="../redoc/DunnRanchRedoc.diagnostics.yml"/>
</Relationships>

</file>

<file path=word/_rels/footnotes.xml.rels><?xml version="1.0" encoding="UTF-8" standalone="yes"?>

<Relationships  xmlns="http://schemas.openxmlformats.org/package/2006/relationships">
<Relationship Id="rId20" Type="http://schemas.openxmlformats.org/officeDocument/2006/relationships/hyperlink" Target="mailto:Devan.McGranahan@usd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675</Words>
  <Characters>3851</Characters>
  <Application>Microsoft Office Word</Application>
  <DocSecurity>0</DocSecurity>
  <Lines>32</Lines>
  <Paragraphs>9</Paragraphs>
  <ScaleCrop>false</ScaleCrop>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Attracted by higher crude protein, grasshopper abundance and offtake increase after prescribed fire</dc:title>
  <dc:creator>Nicholas Gregory HeimbuchA \cdot Devan Allen McGranahanB,D \cdot Carissa L. WonkkaC \cdot Lance VermeireB \cdot David BransonC A University of Pittsburg, Pittsburg, PA, USA B USDA Agricultural Research Service, Livestock and Range Research Laboratory, Miles City, MT, USA C USDA Agricultural Research Service, Northern Plains Agricultural Research Laboratory, Sidney, MT, USA D Corresponding author. Email: Devan.McGranahan@usda.gov</dc:creator>
  <cp:keywords/>
  <dcterms:created xsi:type="dcterms:W3CDTF">2022-05-26T23:00:18Z</dcterms:created>
  <dcterms:modified xsi:type="dcterms:W3CDTF">2022-05-26T17:00:24Z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Here’s a brief summary of the paper</vt:lpwstr>
  </property>
  <property fmtid="{D5CDD505-2E9C-101B-9397-08002B2CF9AE}" pid="3" name="bibliography">
    <vt:lpwstr>../booklet/FireScienceWorkshop.bib</vt:lpwstr>
  </property>
  <property fmtid="{D5CDD505-2E9C-101B-9397-08002B2CF9AE}" pid="4" name="csl">
    <vt:lpwstr>mdpi</vt:lpwstr>
  </property>
  <property fmtid="{D5CDD505-2E9C-101B-9397-08002B2CF9AE}" pid="5" name="output">
    <vt:lpwstr/>
  </property>
</Properties>
</file>