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EFAA" w14:textId="120DB4BD" w:rsidR="0062367C" w:rsidRPr="0062367C" w:rsidRDefault="0062367C" w:rsidP="0062367C">
      <w:pPr>
        <w:pStyle w:val="TableCaption"/>
        <w:jc w:val="left"/>
        <w:rPr>
          <w:i w:val="0"/>
          <w:iCs/>
        </w:rPr>
      </w:pPr>
      <w:r w:rsidRPr="0062367C">
        <w:rPr>
          <w:i w:val="0"/>
          <w:iCs/>
        </w:rPr>
        <w:t>Table 1: Seasonal deviations from historical averages in Normalized Differenced Vegetation Index (NDVI)</w:t>
      </w:r>
      <w:r w:rsidR="002874AA">
        <w:rPr>
          <w:i w:val="0"/>
          <w:iCs/>
        </w:rPr>
        <w:t xml:space="preserve">, a measure of </w:t>
      </w:r>
      <w:proofErr w:type="spellStart"/>
      <w:r w:rsidR="002874AA">
        <w:rPr>
          <w:i w:val="0"/>
          <w:iCs/>
        </w:rPr>
        <w:t>fuelbed</w:t>
      </w:r>
      <w:proofErr w:type="spellEnd"/>
      <w:r w:rsidR="002874AA">
        <w:rPr>
          <w:i w:val="0"/>
          <w:iCs/>
        </w:rPr>
        <w:t xml:space="preserve"> greenness,</w:t>
      </w:r>
      <w:r w:rsidRPr="0062367C">
        <w:rPr>
          <w:i w:val="0"/>
          <w:iCs/>
        </w:rPr>
        <w:t xml:space="preserve"> and year-to-date precipitation for spring and summer burn seasons, as presented in Fig. 2. </w:t>
      </w:r>
      <w:r w:rsidR="007319C0" w:rsidRPr="0062367C">
        <w:rPr>
          <w:i w:val="0"/>
          <w:iCs/>
        </w:rPr>
        <w:t>Anomalies</w:t>
      </w:r>
      <w:r w:rsidRPr="0062367C">
        <w:rPr>
          <w:i w:val="0"/>
          <w:iCs/>
        </w:rPr>
        <w:t xml:space="preserve"> </w:t>
      </w:r>
      <w:proofErr w:type="gramStart"/>
      <w:r w:rsidRPr="0062367C">
        <w:rPr>
          <w:i w:val="0"/>
          <w:iCs/>
        </w:rPr>
        <w:t>determined</w:t>
      </w:r>
      <w:proofErr w:type="gramEnd"/>
      <w:r w:rsidRPr="0062367C">
        <w:rPr>
          <w:i w:val="0"/>
          <w:iCs/>
        </w:rPr>
        <w:t xml:space="preserve"> by z scores (parentheses) and </w:t>
      </w:r>
      <w:r w:rsidR="007319C0" w:rsidRPr="0062367C">
        <w:rPr>
          <w:i w:val="0"/>
          <w:iCs/>
        </w:rPr>
        <w:t>categorized</w:t>
      </w:r>
      <w:r w:rsidRPr="0062367C">
        <w:rPr>
          <w:i w:val="0"/>
          <w:iCs/>
        </w:rPr>
        <w:t xml:space="preserve"> as above, below, or within 1 standard deviation of the historical average. 2018 and 2019 were the years in which no summer burns were conducted; all spring burns were conducted in all years.</w:t>
      </w:r>
    </w:p>
    <w:tbl>
      <w:tblPr>
        <w:tblW w:w="0" w:type="auto"/>
        <w:jc w:val="center"/>
        <w:tblLook w:val="0020" w:firstRow="1" w:lastRow="0" w:firstColumn="0" w:lastColumn="0" w:noHBand="0" w:noVBand="0"/>
        <w:tblCaption w:val="Table 1: Seasonal deviations from historical averages in Normalized Differenced Vegetation Index (NDVI) and year-to-date precipitation for spring and summer burn seasons, as presented in Fig. 2. Anamolies determined by z scores (parentheses) and cateogrized as above, below, or within 1 standard deviation of the historical average. 2018 and 2019 were the years in which no summer burns were conducted; all spring burns were conducted in all years."/>
      </w:tblPr>
      <w:tblGrid>
        <w:gridCol w:w="2882"/>
        <w:gridCol w:w="1066"/>
        <w:gridCol w:w="1897"/>
        <w:gridCol w:w="1897"/>
      </w:tblGrid>
      <w:tr w:rsidR="0062367C" w14:paraId="4397F9EC" w14:textId="77777777" w:rsidTr="007E6666">
        <w:trPr>
          <w:tblHeader/>
          <w:jc w:val="center"/>
        </w:trPr>
        <w:tc>
          <w:tcPr>
            <w:tcW w:w="0" w:type="auto"/>
            <w:tcBorders>
              <w:bottom w:val="single" w:sz="8" w:space="0" w:color="auto"/>
            </w:tcBorders>
          </w:tcPr>
          <w:p w14:paraId="3539118B" w14:textId="77777777" w:rsidR="0062367C" w:rsidRPr="007E6666" w:rsidRDefault="0062367C" w:rsidP="007E6666">
            <w:pPr>
              <w:pStyle w:val="Compact"/>
              <w:ind w:firstLine="0"/>
              <w:rPr>
                <w:b/>
                <w:bCs/>
              </w:rPr>
            </w:pPr>
            <w:r w:rsidRPr="007E6666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962D198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F0F94BB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Spring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3C97B9C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Summer</w:t>
            </w:r>
          </w:p>
        </w:tc>
      </w:tr>
      <w:tr w:rsidR="0062367C" w14:paraId="6A0093CA" w14:textId="77777777" w:rsidTr="007E6666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385B9BF1" w14:textId="2BFD11BD" w:rsidR="0062367C" w:rsidRDefault="002874AA" w:rsidP="007E6666">
            <w:pPr>
              <w:pStyle w:val="Compact"/>
              <w:ind w:firstLine="0"/>
            </w:pPr>
            <w:proofErr w:type="spellStart"/>
            <w:r>
              <w:t>Fuelbed</w:t>
            </w:r>
            <w:proofErr w:type="spellEnd"/>
            <w:r>
              <w:t xml:space="preserve"> Greenness (NDVI)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2D7A31C9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3D4BF91" w14:textId="77777777" w:rsidR="0062367C" w:rsidRDefault="0062367C" w:rsidP="00CE63CE">
            <w:pPr>
              <w:pStyle w:val="Compact"/>
            </w:pPr>
            <w:r>
              <w:t>Above (1.02)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53C5E575" w14:textId="77777777" w:rsidR="0062367C" w:rsidRDefault="0062367C" w:rsidP="00CE63CE">
            <w:pPr>
              <w:pStyle w:val="Compact"/>
            </w:pPr>
            <w:r>
              <w:t>Within (-0.04)</w:t>
            </w:r>
          </w:p>
        </w:tc>
      </w:tr>
      <w:tr w:rsidR="0062367C" w14:paraId="1C4E8EEA" w14:textId="77777777" w:rsidTr="007E6666">
        <w:trPr>
          <w:jc w:val="center"/>
        </w:trPr>
        <w:tc>
          <w:tcPr>
            <w:tcW w:w="0" w:type="auto"/>
          </w:tcPr>
          <w:p w14:paraId="3332A7DE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395EB050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009EBD8A" w14:textId="77777777" w:rsidR="0062367C" w:rsidRDefault="0062367C" w:rsidP="00CE63CE">
            <w:pPr>
              <w:pStyle w:val="Compact"/>
            </w:pPr>
            <w:r>
              <w:t>Within (-0.2)</w:t>
            </w:r>
          </w:p>
        </w:tc>
        <w:tc>
          <w:tcPr>
            <w:tcW w:w="0" w:type="auto"/>
          </w:tcPr>
          <w:p w14:paraId="64DA0DC1" w14:textId="77777777" w:rsidR="0062367C" w:rsidRDefault="0062367C" w:rsidP="00CE63CE">
            <w:pPr>
              <w:pStyle w:val="Compact"/>
            </w:pPr>
            <w:r>
              <w:t>Within (0.76)</w:t>
            </w:r>
          </w:p>
        </w:tc>
      </w:tr>
      <w:tr w:rsidR="0062367C" w14:paraId="28510F80" w14:textId="77777777" w:rsidTr="007E6666">
        <w:trPr>
          <w:jc w:val="center"/>
        </w:trPr>
        <w:tc>
          <w:tcPr>
            <w:tcW w:w="0" w:type="auto"/>
          </w:tcPr>
          <w:p w14:paraId="0CCD783C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418A4560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70945AD3" w14:textId="77777777" w:rsidR="0062367C" w:rsidRDefault="0062367C" w:rsidP="00CE63CE">
            <w:pPr>
              <w:pStyle w:val="Compact"/>
            </w:pPr>
            <w:r>
              <w:t>Within (-0.69)</w:t>
            </w:r>
          </w:p>
        </w:tc>
        <w:tc>
          <w:tcPr>
            <w:tcW w:w="0" w:type="auto"/>
          </w:tcPr>
          <w:p w14:paraId="066D4086" w14:textId="77777777" w:rsidR="0062367C" w:rsidRDefault="0062367C" w:rsidP="00CE63CE">
            <w:pPr>
              <w:pStyle w:val="Compact"/>
            </w:pPr>
            <w:r>
              <w:t>Above (1.52)</w:t>
            </w:r>
          </w:p>
        </w:tc>
      </w:tr>
      <w:tr w:rsidR="0062367C" w14:paraId="1CB37EDF" w14:textId="77777777" w:rsidTr="007E6666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48CC6B87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5460590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A505841" w14:textId="77777777" w:rsidR="0062367C" w:rsidRDefault="0062367C" w:rsidP="00CE63CE">
            <w:pPr>
              <w:pStyle w:val="Compact"/>
            </w:pPr>
            <w:r>
              <w:t>Above (1.1)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07568185" w14:textId="77777777" w:rsidR="0062367C" w:rsidRDefault="0062367C" w:rsidP="00CE63CE">
            <w:pPr>
              <w:pStyle w:val="Compact"/>
            </w:pPr>
            <w:r>
              <w:t>Within (0.02)</w:t>
            </w:r>
          </w:p>
        </w:tc>
      </w:tr>
      <w:tr w:rsidR="0062367C" w14:paraId="4205ADD8" w14:textId="77777777" w:rsidTr="007E6666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2D16E34A" w14:textId="77777777" w:rsidR="0062367C" w:rsidRDefault="0062367C" w:rsidP="007E6666">
            <w:pPr>
              <w:pStyle w:val="Compact"/>
              <w:ind w:firstLine="0"/>
            </w:pPr>
            <w:r>
              <w:t>Precipitation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21A6326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295A9DC5" w14:textId="77777777" w:rsidR="0062367C" w:rsidRDefault="0062367C" w:rsidP="00CE63CE">
            <w:pPr>
              <w:pStyle w:val="Compact"/>
            </w:pPr>
            <w:r>
              <w:t>Within (-0.86)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46356CD" w14:textId="77777777" w:rsidR="0062367C" w:rsidRDefault="0062367C" w:rsidP="00CE63CE">
            <w:pPr>
              <w:pStyle w:val="Compact"/>
            </w:pPr>
            <w:r>
              <w:t>Below (-1.04)</w:t>
            </w:r>
          </w:p>
        </w:tc>
      </w:tr>
      <w:tr w:rsidR="0062367C" w14:paraId="7E9EBFFE" w14:textId="77777777" w:rsidTr="007E6666">
        <w:trPr>
          <w:jc w:val="center"/>
        </w:trPr>
        <w:tc>
          <w:tcPr>
            <w:tcW w:w="0" w:type="auto"/>
          </w:tcPr>
          <w:p w14:paraId="6EEB1A39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4C59E5FB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2FD8AFF7" w14:textId="77777777" w:rsidR="0062367C" w:rsidRDefault="0062367C" w:rsidP="00CE63CE">
            <w:pPr>
              <w:pStyle w:val="Compact"/>
            </w:pPr>
            <w:r>
              <w:t>Below (-1.04)</w:t>
            </w:r>
          </w:p>
        </w:tc>
        <w:tc>
          <w:tcPr>
            <w:tcW w:w="0" w:type="auto"/>
          </w:tcPr>
          <w:p w14:paraId="26E37225" w14:textId="77777777" w:rsidR="0062367C" w:rsidRDefault="0062367C" w:rsidP="00CE63CE">
            <w:pPr>
              <w:pStyle w:val="Compact"/>
            </w:pPr>
            <w:r>
              <w:t>Above (1.6)</w:t>
            </w:r>
          </w:p>
        </w:tc>
      </w:tr>
      <w:tr w:rsidR="0062367C" w14:paraId="36A60A3A" w14:textId="77777777" w:rsidTr="007E6666">
        <w:trPr>
          <w:jc w:val="center"/>
        </w:trPr>
        <w:tc>
          <w:tcPr>
            <w:tcW w:w="0" w:type="auto"/>
          </w:tcPr>
          <w:p w14:paraId="2B386936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2E2912DC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78C55E61" w14:textId="77777777" w:rsidR="0062367C" w:rsidRDefault="0062367C" w:rsidP="00CE63CE">
            <w:pPr>
              <w:pStyle w:val="Compact"/>
            </w:pPr>
            <w:r>
              <w:t>Within (-0.36)</w:t>
            </w:r>
          </w:p>
        </w:tc>
        <w:tc>
          <w:tcPr>
            <w:tcW w:w="0" w:type="auto"/>
          </w:tcPr>
          <w:p w14:paraId="46C2B4FC" w14:textId="77777777" w:rsidR="0062367C" w:rsidRDefault="0062367C" w:rsidP="00CE63CE">
            <w:pPr>
              <w:pStyle w:val="Compact"/>
            </w:pPr>
            <w:r>
              <w:t>Within (0.8)</w:t>
            </w:r>
          </w:p>
        </w:tc>
      </w:tr>
      <w:tr w:rsidR="0062367C" w14:paraId="517CC89E" w14:textId="77777777" w:rsidTr="007E6666">
        <w:trPr>
          <w:jc w:val="center"/>
        </w:trPr>
        <w:tc>
          <w:tcPr>
            <w:tcW w:w="0" w:type="auto"/>
          </w:tcPr>
          <w:p w14:paraId="1AE33561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198389B5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66469275" w14:textId="77777777" w:rsidR="0062367C" w:rsidRDefault="0062367C" w:rsidP="00CE63CE">
            <w:pPr>
              <w:pStyle w:val="Compact"/>
            </w:pPr>
            <w:r>
              <w:t>Within (0.05)</w:t>
            </w:r>
          </w:p>
        </w:tc>
        <w:tc>
          <w:tcPr>
            <w:tcW w:w="0" w:type="auto"/>
          </w:tcPr>
          <w:p w14:paraId="3C6D8B10" w14:textId="77777777" w:rsidR="0062367C" w:rsidRDefault="0062367C" w:rsidP="00CE63CE">
            <w:pPr>
              <w:pStyle w:val="Compact"/>
            </w:pPr>
            <w:r>
              <w:t>Below (-1.3)</w:t>
            </w:r>
          </w:p>
        </w:tc>
      </w:tr>
    </w:tbl>
    <w:p w14:paraId="0C4C231A" w14:textId="77777777" w:rsidR="0062367C" w:rsidRDefault="0062367C">
      <w:pPr>
        <w:spacing w:after="160" w:line="278" w:lineRule="auto"/>
        <w:rPr>
          <w:i/>
        </w:rPr>
      </w:pPr>
      <w:r>
        <w:br w:type="page"/>
      </w:r>
    </w:p>
    <w:p w14:paraId="5FEB63C7" w14:textId="58A0FB4A" w:rsidR="0062367C" w:rsidRPr="0062367C" w:rsidRDefault="0062367C" w:rsidP="0062367C">
      <w:pPr>
        <w:pStyle w:val="TableCaption"/>
        <w:jc w:val="left"/>
        <w:rPr>
          <w:i w:val="0"/>
          <w:iCs/>
        </w:rPr>
      </w:pPr>
      <w:r w:rsidRPr="0062367C">
        <w:rPr>
          <w:i w:val="0"/>
          <w:iCs/>
        </w:rPr>
        <w:lastRenderedPageBreak/>
        <w:t xml:space="preserve">Table 2: Seasonal deviations from historical averages in four fire weather variables for spring and summer burn seasons, as presented in Fig. 3. </w:t>
      </w:r>
      <w:r w:rsidR="007319C0" w:rsidRPr="0062367C">
        <w:rPr>
          <w:i w:val="0"/>
          <w:iCs/>
        </w:rPr>
        <w:t>Anomalies</w:t>
      </w:r>
      <w:r w:rsidRPr="0062367C">
        <w:rPr>
          <w:i w:val="0"/>
          <w:iCs/>
        </w:rPr>
        <w:t xml:space="preserve"> </w:t>
      </w:r>
      <w:proofErr w:type="gramStart"/>
      <w:r w:rsidRPr="0062367C">
        <w:rPr>
          <w:i w:val="0"/>
          <w:iCs/>
        </w:rPr>
        <w:t>determined</w:t>
      </w:r>
      <w:proofErr w:type="gramEnd"/>
      <w:r w:rsidRPr="0062367C">
        <w:rPr>
          <w:i w:val="0"/>
          <w:iCs/>
        </w:rPr>
        <w:t xml:space="preserve"> by z scores (parentheses) and </w:t>
      </w:r>
      <w:r w:rsidR="007319C0" w:rsidRPr="0062367C">
        <w:rPr>
          <w:i w:val="0"/>
          <w:iCs/>
        </w:rPr>
        <w:t>categorized</w:t>
      </w:r>
      <w:r w:rsidRPr="0062367C">
        <w:rPr>
          <w:i w:val="0"/>
          <w:iCs/>
        </w:rPr>
        <w:t xml:space="preserve"> as above, below, or within 1 standard deviation of the historical average. 2018 and 2019 were the years in which no summer burns were conducted; all spring burns were conducted in all years.</w:t>
      </w:r>
    </w:p>
    <w:tbl>
      <w:tblPr>
        <w:tblW w:w="0" w:type="auto"/>
        <w:jc w:val="center"/>
        <w:tblLook w:val="0020" w:firstRow="1" w:lastRow="0" w:firstColumn="0" w:lastColumn="0" w:noHBand="0" w:noVBand="0"/>
        <w:tblCaption w:val="Table 2: Seasonal deviations from historical averages in four fire weather variables for spring and summer burn seasons, as presented in Fig. 3. Anamolies determined by z scores (parentheses) and cateogrized as above, below, or within 1 standard deviation of the historical average. 2018 and 2019 were the years in which no summer burns were conducted; all spring burns were conducted in all years."/>
      </w:tblPr>
      <w:tblGrid>
        <w:gridCol w:w="2417"/>
        <w:gridCol w:w="1066"/>
        <w:gridCol w:w="1897"/>
        <w:gridCol w:w="1897"/>
      </w:tblGrid>
      <w:tr w:rsidR="0062367C" w14:paraId="292984B3" w14:textId="77777777" w:rsidTr="007E6666">
        <w:trPr>
          <w:tblHeader/>
          <w:jc w:val="center"/>
        </w:trPr>
        <w:tc>
          <w:tcPr>
            <w:tcW w:w="0" w:type="auto"/>
            <w:tcBorders>
              <w:bottom w:val="single" w:sz="8" w:space="0" w:color="auto"/>
            </w:tcBorders>
          </w:tcPr>
          <w:p w14:paraId="645FA022" w14:textId="77777777" w:rsidR="0062367C" w:rsidRPr="007E6666" w:rsidRDefault="0062367C" w:rsidP="007E6666">
            <w:pPr>
              <w:pStyle w:val="Compact"/>
              <w:ind w:firstLine="0"/>
              <w:rPr>
                <w:b/>
                <w:bCs/>
              </w:rPr>
            </w:pPr>
            <w:r w:rsidRPr="007E6666">
              <w:rPr>
                <w:b/>
                <w:bCs/>
              </w:rPr>
              <w:t>Variable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38F2632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65B930F1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Spring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0C977328" w14:textId="77777777" w:rsidR="0062367C" w:rsidRPr="007E6666" w:rsidRDefault="0062367C" w:rsidP="00CE63CE">
            <w:pPr>
              <w:pStyle w:val="Compact"/>
              <w:rPr>
                <w:b/>
                <w:bCs/>
              </w:rPr>
            </w:pPr>
            <w:r w:rsidRPr="007E6666">
              <w:rPr>
                <w:b/>
                <w:bCs/>
              </w:rPr>
              <w:t>Summer</w:t>
            </w:r>
          </w:p>
        </w:tc>
      </w:tr>
      <w:tr w:rsidR="0062367C" w14:paraId="4D4B3943" w14:textId="77777777" w:rsidTr="007E6666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38D47F39" w14:textId="77777777" w:rsidR="0062367C" w:rsidRDefault="0062367C" w:rsidP="007E6666">
            <w:pPr>
              <w:pStyle w:val="Compact"/>
              <w:ind w:firstLine="0"/>
            </w:pPr>
            <w:r>
              <w:t>Dew Point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B219063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61AD0845" w14:textId="77777777" w:rsidR="0062367C" w:rsidRDefault="0062367C" w:rsidP="00CE63CE">
            <w:pPr>
              <w:pStyle w:val="Compact"/>
            </w:pPr>
            <w:r>
              <w:t>Within (-0.97)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462324E5" w14:textId="77777777" w:rsidR="0062367C" w:rsidRDefault="0062367C" w:rsidP="00CE63CE">
            <w:pPr>
              <w:pStyle w:val="Compact"/>
            </w:pPr>
            <w:r>
              <w:t>Below (-1.19)</w:t>
            </w:r>
          </w:p>
        </w:tc>
      </w:tr>
      <w:tr w:rsidR="0062367C" w14:paraId="46FD0FC4" w14:textId="77777777" w:rsidTr="007E6666">
        <w:trPr>
          <w:jc w:val="center"/>
        </w:trPr>
        <w:tc>
          <w:tcPr>
            <w:tcW w:w="0" w:type="auto"/>
          </w:tcPr>
          <w:p w14:paraId="59E09189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173C1894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77879724" w14:textId="77777777" w:rsidR="0062367C" w:rsidRDefault="0062367C" w:rsidP="00CE63CE">
            <w:pPr>
              <w:pStyle w:val="Compact"/>
            </w:pPr>
            <w:r>
              <w:t>Within (0.34)</w:t>
            </w:r>
          </w:p>
        </w:tc>
        <w:tc>
          <w:tcPr>
            <w:tcW w:w="0" w:type="auto"/>
          </w:tcPr>
          <w:p w14:paraId="27BE34D1" w14:textId="77777777" w:rsidR="0062367C" w:rsidRDefault="0062367C" w:rsidP="00CE63CE">
            <w:pPr>
              <w:pStyle w:val="Compact"/>
            </w:pPr>
            <w:r>
              <w:t>Within (-0.16)</w:t>
            </w:r>
          </w:p>
        </w:tc>
      </w:tr>
      <w:tr w:rsidR="0062367C" w14:paraId="56B8C738" w14:textId="77777777" w:rsidTr="007E6666">
        <w:trPr>
          <w:jc w:val="center"/>
        </w:trPr>
        <w:tc>
          <w:tcPr>
            <w:tcW w:w="0" w:type="auto"/>
          </w:tcPr>
          <w:p w14:paraId="7552A3DF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7E65A1C3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1BFBAA81" w14:textId="77777777" w:rsidR="0062367C" w:rsidRDefault="0062367C" w:rsidP="00CE63CE">
            <w:pPr>
              <w:pStyle w:val="Compact"/>
            </w:pPr>
            <w:r>
              <w:t>Within (-0.74)</w:t>
            </w:r>
          </w:p>
        </w:tc>
        <w:tc>
          <w:tcPr>
            <w:tcW w:w="0" w:type="auto"/>
          </w:tcPr>
          <w:p w14:paraId="20C8E9A9" w14:textId="77777777" w:rsidR="0062367C" w:rsidRDefault="0062367C" w:rsidP="00CE63CE">
            <w:pPr>
              <w:pStyle w:val="Compact"/>
            </w:pPr>
            <w:r>
              <w:t>Within (-0.09)</w:t>
            </w:r>
          </w:p>
        </w:tc>
      </w:tr>
      <w:tr w:rsidR="0062367C" w14:paraId="6EEA3B4D" w14:textId="77777777" w:rsidTr="007E6666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09BF8C7C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47D1C0F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1EAA28F8" w14:textId="77777777" w:rsidR="0062367C" w:rsidRDefault="0062367C" w:rsidP="00CE63CE">
            <w:pPr>
              <w:pStyle w:val="Compact"/>
            </w:pPr>
            <w:r>
              <w:t>Within (0.86)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00F26A72" w14:textId="77777777" w:rsidR="0062367C" w:rsidRDefault="0062367C" w:rsidP="00CE63CE">
            <w:pPr>
              <w:pStyle w:val="Compact"/>
            </w:pPr>
            <w:r>
              <w:t>Above (1.23)</w:t>
            </w:r>
          </w:p>
        </w:tc>
      </w:tr>
      <w:tr w:rsidR="0062367C" w14:paraId="0F0C9CC6" w14:textId="77777777" w:rsidTr="007E6666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2AF1F967" w14:textId="77777777" w:rsidR="0062367C" w:rsidRDefault="0062367C" w:rsidP="007E6666">
            <w:pPr>
              <w:pStyle w:val="Compact"/>
              <w:ind w:firstLine="0"/>
            </w:pPr>
            <w:r>
              <w:t>Relative Humidity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FF9B02C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8E853F6" w14:textId="77777777" w:rsidR="0062367C" w:rsidRDefault="0062367C" w:rsidP="00CE63CE">
            <w:pPr>
              <w:pStyle w:val="Compact"/>
            </w:pPr>
            <w:r>
              <w:t>Within (-0.7)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13E9E541" w14:textId="77777777" w:rsidR="0062367C" w:rsidRDefault="0062367C" w:rsidP="00CE63CE">
            <w:pPr>
              <w:pStyle w:val="Compact"/>
            </w:pPr>
            <w:r>
              <w:t>Within (-0.61)</w:t>
            </w:r>
          </w:p>
        </w:tc>
      </w:tr>
      <w:tr w:rsidR="0062367C" w14:paraId="5DE92DB8" w14:textId="77777777" w:rsidTr="007E6666">
        <w:trPr>
          <w:jc w:val="center"/>
        </w:trPr>
        <w:tc>
          <w:tcPr>
            <w:tcW w:w="0" w:type="auto"/>
          </w:tcPr>
          <w:p w14:paraId="71E70735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470C6DB2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2D91FCE" w14:textId="77777777" w:rsidR="0062367C" w:rsidRDefault="0062367C" w:rsidP="00CE63CE">
            <w:pPr>
              <w:pStyle w:val="Compact"/>
            </w:pPr>
            <w:r>
              <w:t>Within (-0.9)</w:t>
            </w:r>
          </w:p>
        </w:tc>
        <w:tc>
          <w:tcPr>
            <w:tcW w:w="0" w:type="auto"/>
          </w:tcPr>
          <w:p w14:paraId="1EA5E905" w14:textId="77777777" w:rsidR="0062367C" w:rsidRDefault="0062367C" w:rsidP="00CE63CE">
            <w:pPr>
              <w:pStyle w:val="Compact"/>
            </w:pPr>
            <w:r>
              <w:t>Within (-0.93)</w:t>
            </w:r>
          </w:p>
        </w:tc>
      </w:tr>
      <w:tr w:rsidR="0062367C" w14:paraId="6C3D057F" w14:textId="77777777" w:rsidTr="007E6666">
        <w:trPr>
          <w:jc w:val="center"/>
        </w:trPr>
        <w:tc>
          <w:tcPr>
            <w:tcW w:w="0" w:type="auto"/>
          </w:tcPr>
          <w:p w14:paraId="558BE1EE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72674B7D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7FC7E70D" w14:textId="77777777" w:rsidR="0062367C" w:rsidRDefault="0062367C" w:rsidP="00CE63CE">
            <w:pPr>
              <w:pStyle w:val="Compact"/>
            </w:pPr>
            <w:r>
              <w:t>Within (-0.19)</w:t>
            </w:r>
          </w:p>
        </w:tc>
        <w:tc>
          <w:tcPr>
            <w:tcW w:w="0" w:type="auto"/>
          </w:tcPr>
          <w:p w14:paraId="32F7EC9D" w14:textId="77777777" w:rsidR="0062367C" w:rsidRDefault="0062367C" w:rsidP="00CE63CE">
            <w:pPr>
              <w:pStyle w:val="Compact"/>
            </w:pPr>
            <w:r>
              <w:t>Within (0.91)</w:t>
            </w:r>
          </w:p>
        </w:tc>
      </w:tr>
      <w:tr w:rsidR="0062367C" w14:paraId="2BA48FD0" w14:textId="77777777" w:rsidTr="007E6666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7C08B765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75708B02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7991CC86" w14:textId="77777777" w:rsidR="0062367C" w:rsidRDefault="0062367C" w:rsidP="00CE63CE">
            <w:pPr>
              <w:pStyle w:val="Compact"/>
            </w:pPr>
            <w:r>
              <w:t>Within (0.99)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69603A2C" w14:textId="77777777" w:rsidR="0062367C" w:rsidRDefault="0062367C" w:rsidP="00CE63CE">
            <w:pPr>
              <w:pStyle w:val="Compact"/>
            </w:pPr>
            <w:r>
              <w:t>Within (0.48)</w:t>
            </w:r>
          </w:p>
        </w:tc>
      </w:tr>
      <w:tr w:rsidR="0062367C" w14:paraId="01CCC461" w14:textId="77777777" w:rsidTr="007E6666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632DF2A1" w14:textId="77777777" w:rsidR="0062367C" w:rsidRDefault="0062367C" w:rsidP="007E6666">
            <w:pPr>
              <w:pStyle w:val="Compact"/>
              <w:ind w:firstLine="0"/>
            </w:pPr>
            <w:r>
              <w:t>Vapor Pressure Deficit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74C2030C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1FBC72A" w14:textId="77777777" w:rsidR="0062367C" w:rsidRDefault="0062367C" w:rsidP="00CE63CE">
            <w:pPr>
              <w:pStyle w:val="Compact"/>
            </w:pPr>
            <w:r>
              <w:t>Within (0.45)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3146E00" w14:textId="77777777" w:rsidR="0062367C" w:rsidRDefault="0062367C" w:rsidP="00CE63CE">
            <w:pPr>
              <w:pStyle w:val="Compact"/>
            </w:pPr>
            <w:r>
              <w:t>Within (-0.17)</w:t>
            </w:r>
          </w:p>
        </w:tc>
      </w:tr>
      <w:tr w:rsidR="0062367C" w14:paraId="450F42CC" w14:textId="77777777" w:rsidTr="007E6666">
        <w:trPr>
          <w:jc w:val="center"/>
        </w:trPr>
        <w:tc>
          <w:tcPr>
            <w:tcW w:w="0" w:type="auto"/>
          </w:tcPr>
          <w:p w14:paraId="27967091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51692E6A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B266AC7" w14:textId="77777777" w:rsidR="0062367C" w:rsidRDefault="0062367C" w:rsidP="00CE63CE">
            <w:pPr>
              <w:pStyle w:val="Compact"/>
            </w:pPr>
            <w:r>
              <w:t>Above (1.45)</w:t>
            </w:r>
          </w:p>
        </w:tc>
        <w:tc>
          <w:tcPr>
            <w:tcW w:w="0" w:type="auto"/>
          </w:tcPr>
          <w:p w14:paraId="1BDB3F11" w14:textId="77777777" w:rsidR="0062367C" w:rsidRDefault="0062367C" w:rsidP="00CE63CE">
            <w:pPr>
              <w:pStyle w:val="Compact"/>
            </w:pPr>
            <w:r>
              <w:t>Within (0.98)</w:t>
            </w:r>
          </w:p>
        </w:tc>
      </w:tr>
      <w:tr w:rsidR="0062367C" w14:paraId="0E3EA068" w14:textId="77777777" w:rsidTr="007E6666">
        <w:trPr>
          <w:jc w:val="center"/>
        </w:trPr>
        <w:tc>
          <w:tcPr>
            <w:tcW w:w="0" w:type="auto"/>
          </w:tcPr>
          <w:p w14:paraId="75825ADB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24E48017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6D12C7FF" w14:textId="77777777" w:rsidR="0062367C" w:rsidRDefault="0062367C" w:rsidP="00CE63CE">
            <w:pPr>
              <w:pStyle w:val="Compact"/>
            </w:pPr>
            <w:r>
              <w:t>Within (-0.67)</w:t>
            </w:r>
          </w:p>
        </w:tc>
        <w:tc>
          <w:tcPr>
            <w:tcW w:w="0" w:type="auto"/>
          </w:tcPr>
          <w:p w14:paraId="048F7315" w14:textId="77777777" w:rsidR="0062367C" w:rsidRDefault="0062367C" w:rsidP="00CE63CE">
            <w:pPr>
              <w:pStyle w:val="Compact"/>
            </w:pPr>
            <w:r>
              <w:t>Below (-1.22)</w:t>
            </w:r>
          </w:p>
        </w:tc>
      </w:tr>
      <w:tr w:rsidR="0062367C" w14:paraId="59DD0DA0" w14:textId="77777777" w:rsidTr="007E6666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</w:tcPr>
          <w:p w14:paraId="139C7CF7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7572D8A2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1EDB4F0" w14:textId="77777777" w:rsidR="0062367C" w:rsidRDefault="0062367C" w:rsidP="00CE63CE">
            <w:pPr>
              <w:pStyle w:val="Compact"/>
            </w:pPr>
            <w:r>
              <w:t>Within (-0.98)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27433F38" w14:textId="77777777" w:rsidR="0062367C" w:rsidRDefault="0062367C" w:rsidP="00CE63CE">
            <w:pPr>
              <w:pStyle w:val="Compact"/>
            </w:pPr>
            <w:r>
              <w:t>Within (-0.13)</w:t>
            </w:r>
          </w:p>
        </w:tc>
      </w:tr>
      <w:tr w:rsidR="0062367C" w14:paraId="2021FAF0" w14:textId="77777777" w:rsidTr="007E6666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10609B81" w14:textId="77777777" w:rsidR="0062367C" w:rsidRDefault="0062367C" w:rsidP="007E6666">
            <w:pPr>
              <w:pStyle w:val="Compact"/>
              <w:ind w:firstLine="0"/>
            </w:pPr>
            <w:r>
              <w:t>Wind speed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653A5850" w14:textId="77777777" w:rsidR="0062367C" w:rsidRDefault="0062367C" w:rsidP="00CE63CE">
            <w:pPr>
              <w:pStyle w:val="Compact"/>
            </w:pPr>
            <w:r>
              <w:t>2017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0A5AD49A" w14:textId="77777777" w:rsidR="0062367C" w:rsidRDefault="0062367C" w:rsidP="00CE63CE">
            <w:pPr>
              <w:pStyle w:val="Compact"/>
            </w:pPr>
            <w:r>
              <w:t>Within (-0.6)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599ABBC3" w14:textId="77777777" w:rsidR="0062367C" w:rsidRDefault="0062367C" w:rsidP="00CE63CE">
            <w:pPr>
              <w:pStyle w:val="Compact"/>
            </w:pPr>
            <w:r>
              <w:t>Below (-1.38)</w:t>
            </w:r>
          </w:p>
        </w:tc>
      </w:tr>
      <w:tr w:rsidR="0062367C" w14:paraId="7463C582" w14:textId="77777777" w:rsidTr="007E6666">
        <w:trPr>
          <w:jc w:val="center"/>
        </w:trPr>
        <w:tc>
          <w:tcPr>
            <w:tcW w:w="0" w:type="auto"/>
          </w:tcPr>
          <w:p w14:paraId="52A48D85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0DD61A56" w14:textId="77777777" w:rsidR="0062367C" w:rsidRDefault="0062367C" w:rsidP="00CE63CE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69BD01BF" w14:textId="77777777" w:rsidR="0062367C" w:rsidRDefault="0062367C" w:rsidP="00CE63CE">
            <w:pPr>
              <w:pStyle w:val="Compact"/>
            </w:pPr>
            <w:r>
              <w:t>Within (-0.85)</w:t>
            </w:r>
          </w:p>
        </w:tc>
        <w:tc>
          <w:tcPr>
            <w:tcW w:w="0" w:type="auto"/>
          </w:tcPr>
          <w:p w14:paraId="12F8F88C" w14:textId="77777777" w:rsidR="0062367C" w:rsidRDefault="0062367C" w:rsidP="00CE63CE">
            <w:pPr>
              <w:pStyle w:val="Compact"/>
            </w:pPr>
            <w:r>
              <w:t>Below (-1.72)</w:t>
            </w:r>
          </w:p>
        </w:tc>
      </w:tr>
      <w:tr w:rsidR="0062367C" w14:paraId="6EBD2AED" w14:textId="77777777" w:rsidTr="007E6666">
        <w:trPr>
          <w:jc w:val="center"/>
        </w:trPr>
        <w:tc>
          <w:tcPr>
            <w:tcW w:w="0" w:type="auto"/>
          </w:tcPr>
          <w:p w14:paraId="329D0456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4CBC37AD" w14:textId="77777777" w:rsidR="0062367C" w:rsidRDefault="0062367C" w:rsidP="00CE63CE">
            <w:pPr>
              <w:pStyle w:val="Compact"/>
            </w:pPr>
            <w:r>
              <w:t>2019</w:t>
            </w:r>
          </w:p>
        </w:tc>
        <w:tc>
          <w:tcPr>
            <w:tcW w:w="0" w:type="auto"/>
          </w:tcPr>
          <w:p w14:paraId="6BB0B8EB" w14:textId="77777777" w:rsidR="0062367C" w:rsidRDefault="0062367C" w:rsidP="00CE63CE">
            <w:pPr>
              <w:pStyle w:val="Compact"/>
            </w:pPr>
            <w:r>
              <w:t>Below (-1.36)</w:t>
            </w:r>
          </w:p>
        </w:tc>
        <w:tc>
          <w:tcPr>
            <w:tcW w:w="0" w:type="auto"/>
          </w:tcPr>
          <w:p w14:paraId="75B2FDBD" w14:textId="77777777" w:rsidR="0062367C" w:rsidRDefault="0062367C" w:rsidP="00CE63CE">
            <w:pPr>
              <w:pStyle w:val="Compact"/>
            </w:pPr>
            <w:r>
              <w:t>Below (-1.02)</w:t>
            </w:r>
          </w:p>
        </w:tc>
      </w:tr>
      <w:tr w:rsidR="0062367C" w14:paraId="475EC351" w14:textId="77777777" w:rsidTr="007E6666">
        <w:trPr>
          <w:jc w:val="center"/>
        </w:trPr>
        <w:tc>
          <w:tcPr>
            <w:tcW w:w="0" w:type="auto"/>
          </w:tcPr>
          <w:p w14:paraId="6A24BC42" w14:textId="77777777" w:rsidR="0062367C" w:rsidRDefault="0062367C" w:rsidP="00CE63CE">
            <w:pPr>
              <w:pStyle w:val="Compact"/>
            </w:pPr>
          </w:p>
        </w:tc>
        <w:tc>
          <w:tcPr>
            <w:tcW w:w="0" w:type="auto"/>
          </w:tcPr>
          <w:p w14:paraId="1E571B0D" w14:textId="77777777" w:rsidR="0062367C" w:rsidRDefault="0062367C" w:rsidP="00CE63CE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0EB58ADB" w14:textId="77777777" w:rsidR="0062367C" w:rsidRDefault="0062367C" w:rsidP="00CE63CE">
            <w:pPr>
              <w:pStyle w:val="Compact"/>
            </w:pPr>
            <w:r>
              <w:t>Below (-1.09)</w:t>
            </w:r>
          </w:p>
        </w:tc>
        <w:tc>
          <w:tcPr>
            <w:tcW w:w="0" w:type="auto"/>
          </w:tcPr>
          <w:p w14:paraId="659CB1D2" w14:textId="77777777" w:rsidR="0062367C" w:rsidRDefault="0062367C" w:rsidP="00CE63CE">
            <w:pPr>
              <w:pStyle w:val="Compact"/>
            </w:pPr>
            <w:proofErr w:type="gramStart"/>
            <w:r>
              <w:t>Within (-</w:t>
            </w:r>
            <w:proofErr w:type="gramEnd"/>
            <w:r>
              <w:t>0.51)</w:t>
            </w:r>
          </w:p>
        </w:tc>
      </w:tr>
    </w:tbl>
    <w:p w14:paraId="35B58C74" w14:textId="77777777" w:rsidR="0062367C" w:rsidRDefault="0062367C" w:rsidP="0062367C">
      <w:pPr>
        <w:pStyle w:val="TableCaption"/>
        <w:jc w:val="left"/>
      </w:pPr>
    </w:p>
    <w:p w14:paraId="19D10A1E" w14:textId="77777777" w:rsidR="0062367C" w:rsidRDefault="0062367C">
      <w:pPr>
        <w:spacing w:after="160" w:line="278" w:lineRule="auto"/>
        <w:rPr>
          <w:i/>
        </w:rPr>
      </w:pPr>
      <w:r>
        <w:br w:type="page"/>
      </w:r>
    </w:p>
    <w:p w14:paraId="7311218B" w14:textId="10DA17D5" w:rsidR="0062367C" w:rsidRDefault="0062367C" w:rsidP="0062367C">
      <w:pPr>
        <w:pStyle w:val="TableCaption"/>
        <w:jc w:val="left"/>
      </w:pPr>
      <w:r w:rsidRPr="0062367C">
        <w:rPr>
          <w:i w:val="0"/>
          <w:iCs/>
        </w:rPr>
        <w:lastRenderedPageBreak/>
        <w:t xml:space="preserve">Table 3: Seasonal deviations in fuel conditions and fire weather for spring and summer burn seasons, relative to two decades (1990-1999, 2012-2022) as presented in Fig. 4. </w:t>
      </w:r>
      <w:r w:rsidRPr="0062367C">
        <w:rPr>
          <w:i w:val="0"/>
          <w:iCs/>
        </w:rPr>
        <w:t>Anomalies</w:t>
      </w:r>
      <w:r w:rsidRPr="0062367C">
        <w:rPr>
          <w:i w:val="0"/>
          <w:iCs/>
        </w:rPr>
        <w:t xml:space="preserve"> </w:t>
      </w:r>
      <w:proofErr w:type="gramStart"/>
      <w:r w:rsidRPr="0062367C">
        <w:rPr>
          <w:i w:val="0"/>
          <w:iCs/>
        </w:rPr>
        <w:t>determined</w:t>
      </w:r>
      <w:proofErr w:type="gramEnd"/>
      <w:r w:rsidRPr="0062367C">
        <w:rPr>
          <w:i w:val="0"/>
          <w:iCs/>
        </w:rPr>
        <w:t xml:space="preserve"> by z scores (parentheses) and </w:t>
      </w:r>
      <w:r w:rsidRPr="0062367C">
        <w:rPr>
          <w:i w:val="0"/>
          <w:iCs/>
        </w:rPr>
        <w:t>categorized</w:t>
      </w:r>
      <w:r w:rsidRPr="0062367C">
        <w:rPr>
          <w:i w:val="0"/>
          <w:iCs/>
        </w:rPr>
        <w:t xml:space="preserve"> as above, below, or within 1 standard deviation of the average for the given historical range. 2018 and 2019 were the years in which no summer burns were conducted; all spring burns were conducted in all years</w:t>
      </w:r>
      <w:r>
        <w:t>.</w:t>
      </w:r>
    </w:p>
    <w:tbl>
      <w:tblPr>
        <w:tblW w:w="5048" w:type="pct"/>
        <w:tblLayout w:type="fixed"/>
        <w:tblLook w:val="0020" w:firstRow="1" w:lastRow="0" w:firstColumn="0" w:lastColumn="0" w:noHBand="0" w:noVBand="0"/>
        <w:tblCaption w:val="Table 3: Seasonal deviations in fuel conditions and fire weather for spring and summer burn seasons, relative to two decades (1990-1999, 2012-2022) as presented in Fig. 4. Anamolies determined by z scores (parentheses) and cateogrized as above, below, or within 1 standard deviation of the average for the given historical range. 2018 and 2019 were the years in which no summer burns were conducted; all spring burns were conducted in all years."/>
      </w:tblPr>
      <w:tblGrid>
        <w:gridCol w:w="1349"/>
        <w:gridCol w:w="900"/>
        <w:gridCol w:w="1800"/>
        <w:gridCol w:w="1800"/>
        <w:gridCol w:w="1891"/>
        <w:gridCol w:w="1710"/>
      </w:tblGrid>
      <w:tr w:rsidR="007E6666" w14:paraId="730DF93A" w14:textId="77777777" w:rsidTr="007E6666">
        <w:tc>
          <w:tcPr>
            <w:tcW w:w="1349" w:type="dxa"/>
          </w:tcPr>
          <w:p w14:paraId="7340D7B1" w14:textId="67D4C768" w:rsidR="007E6666" w:rsidRPr="007E6666" w:rsidRDefault="007E6666" w:rsidP="00CE63CE">
            <w:pPr>
              <w:pStyle w:val="Compact"/>
              <w:ind w:firstLine="0"/>
              <w:rPr>
                <w:b/>
                <w:bCs/>
              </w:rPr>
            </w:pPr>
          </w:p>
        </w:tc>
        <w:tc>
          <w:tcPr>
            <w:tcW w:w="900" w:type="dxa"/>
          </w:tcPr>
          <w:p w14:paraId="199F876E" w14:textId="5494B446" w:rsidR="007E6666" w:rsidRPr="007E6666" w:rsidRDefault="007E6666" w:rsidP="00CE63CE">
            <w:pPr>
              <w:pStyle w:val="Compact"/>
              <w:ind w:firstLine="0"/>
              <w:rPr>
                <w:b/>
                <w:bCs/>
              </w:rPr>
            </w:pPr>
          </w:p>
        </w:tc>
        <w:tc>
          <w:tcPr>
            <w:tcW w:w="3600" w:type="dxa"/>
            <w:gridSpan w:val="2"/>
            <w:tcBorders>
              <w:bottom w:val="single" w:sz="8" w:space="0" w:color="auto"/>
            </w:tcBorders>
          </w:tcPr>
          <w:p w14:paraId="6AF08614" w14:textId="127141F6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Spring</w:t>
            </w:r>
          </w:p>
        </w:tc>
        <w:tc>
          <w:tcPr>
            <w:tcW w:w="3601" w:type="dxa"/>
            <w:gridSpan w:val="2"/>
            <w:tcBorders>
              <w:bottom w:val="single" w:sz="8" w:space="0" w:color="auto"/>
            </w:tcBorders>
          </w:tcPr>
          <w:p w14:paraId="4EE99BE1" w14:textId="237D213F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Summer</w:t>
            </w:r>
          </w:p>
        </w:tc>
      </w:tr>
      <w:tr w:rsidR="007E6666" w14:paraId="1B6E76AF" w14:textId="77777777" w:rsidTr="007E6666">
        <w:tc>
          <w:tcPr>
            <w:tcW w:w="1349" w:type="dxa"/>
            <w:tcBorders>
              <w:bottom w:val="single" w:sz="8" w:space="0" w:color="auto"/>
            </w:tcBorders>
          </w:tcPr>
          <w:p w14:paraId="2E202A31" w14:textId="51BBFB01" w:rsidR="007E6666" w:rsidRPr="007E6666" w:rsidRDefault="007E6666" w:rsidP="007E6666">
            <w:pPr>
              <w:pStyle w:val="Compact"/>
              <w:ind w:firstLine="0"/>
              <w:rPr>
                <w:b/>
                <w:bCs/>
              </w:rPr>
            </w:pPr>
            <w:r w:rsidRPr="007E6666">
              <w:rPr>
                <w:b/>
                <w:bCs/>
              </w:rPr>
              <w:t>Variable</w:t>
            </w:r>
          </w:p>
        </w:tc>
        <w:tc>
          <w:tcPr>
            <w:tcW w:w="900" w:type="dxa"/>
            <w:tcBorders>
              <w:bottom w:val="single" w:sz="8" w:space="0" w:color="auto"/>
            </w:tcBorders>
          </w:tcPr>
          <w:p w14:paraId="22FF755E" w14:textId="3399429C" w:rsidR="007E6666" w:rsidRPr="007E6666" w:rsidRDefault="007E6666" w:rsidP="007E6666">
            <w:pPr>
              <w:pStyle w:val="Compact"/>
              <w:ind w:firstLine="0"/>
              <w:rPr>
                <w:b/>
                <w:bCs/>
              </w:rPr>
            </w:pPr>
            <w:r w:rsidRPr="007E6666">
              <w:rPr>
                <w:b/>
                <w:bCs/>
              </w:rPr>
              <w:t>Year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</w:tcBorders>
          </w:tcPr>
          <w:p w14:paraId="3D464947" w14:textId="3AA183FE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1990-99</w:t>
            </w:r>
          </w:p>
        </w:tc>
        <w:tc>
          <w:tcPr>
            <w:tcW w:w="1800" w:type="dxa"/>
            <w:tcBorders>
              <w:top w:val="single" w:sz="8" w:space="0" w:color="auto"/>
              <w:bottom w:val="single" w:sz="8" w:space="0" w:color="auto"/>
            </w:tcBorders>
          </w:tcPr>
          <w:p w14:paraId="4C75F020" w14:textId="4FD01C22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2012-22</w:t>
            </w:r>
          </w:p>
        </w:tc>
        <w:tc>
          <w:tcPr>
            <w:tcW w:w="1891" w:type="dxa"/>
            <w:tcBorders>
              <w:top w:val="single" w:sz="8" w:space="0" w:color="auto"/>
              <w:bottom w:val="single" w:sz="8" w:space="0" w:color="auto"/>
            </w:tcBorders>
          </w:tcPr>
          <w:p w14:paraId="6389D277" w14:textId="4081B25C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1990-99</w:t>
            </w:r>
          </w:p>
        </w:tc>
        <w:tc>
          <w:tcPr>
            <w:tcW w:w="1710" w:type="dxa"/>
            <w:tcBorders>
              <w:top w:val="single" w:sz="8" w:space="0" w:color="auto"/>
              <w:bottom w:val="single" w:sz="8" w:space="0" w:color="auto"/>
            </w:tcBorders>
          </w:tcPr>
          <w:p w14:paraId="395C0D13" w14:textId="4AA44219" w:rsidR="007E6666" w:rsidRPr="007E6666" w:rsidRDefault="007E6666" w:rsidP="007E6666">
            <w:pPr>
              <w:pStyle w:val="Compact"/>
              <w:ind w:firstLine="0"/>
              <w:jc w:val="center"/>
              <w:rPr>
                <w:b/>
                <w:bCs/>
              </w:rPr>
            </w:pPr>
            <w:r w:rsidRPr="007E6666">
              <w:rPr>
                <w:b/>
                <w:bCs/>
              </w:rPr>
              <w:t>2012-22</w:t>
            </w:r>
          </w:p>
        </w:tc>
      </w:tr>
      <w:tr w:rsidR="007E6666" w14:paraId="568D9B86" w14:textId="77777777" w:rsidTr="007E6666">
        <w:tc>
          <w:tcPr>
            <w:tcW w:w="1349" w:type="dxa"/>
            <w:vMerge w:val="restart"/>
            <w:tcBorders>
              <w:top w:val="single" w:sz="8" w:space="0" w:color="auto"/>
            </w:tcBorders>
          </w:tcPr>
          <w:p w14:paraId="7A1F14E3" w14:textId="77777777" w:rsidR="007E6666" w:rsidRDefault="007E6666" w:rsidP="007E6666">
            <w:pPr>
              <w:pStyle w:val="Compact"/>
              <w:ind w:firstLine="0"/>
            </w:pPr>
            <w:proofErr w:type="spellStart"/>
            <w:r>
              <w:t>Fuelbed</w:t>
            </w:r>
            <w:proofErr w:type="spellEnd"/>
            <w:r>
              <w:t xml:space="preserve"> Greenness (NDVI)</w:t>
            </w:r>
          </w:p>
        </w:tc>
        <w:tc>
          <w:tcPr>
            <w:tcW w:w="900" w:type="dxa"/>
            <w:tcBorders>
              <w:top w:val="single" w:sz="8" w:space="0" w:color="auto"/>
            </w:tcBorders>
          </w:tcPr>
          <w:p w14:paraId="15713B2F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14:paraId="33F83126" w14:textId="77777777" w:rsidR="007E6666" w:rsidRDefault="007E6666" w:rsidP="007E6666">
            <w:pPr>
              <w:pStyle w:val="Compact"/>
              <w:ind w:firstLine="0"/>
            </w:pPr>
            <w:r>
              <w:t>Above (1.3)</w:t>
            </w:r>
          </w:p>
        </w:tc>
        <w:tc>
          <w:tcPr>
            <w:tcW w:w="1800" w:type="dxa"/>
            <w:tcBorders>
              <w:top w:val="single" w:sz="8" w:space="0" w:color="auto"/>
            </w:tcBorders>
          </w:tcPr>
          <w:p w14:paraId="538245B0" w14:textId="77777777" w:rsidR="007E6666" w:rsidRDefault="007E6666" w:rsidP="007E6666">
            <w:pPr>
              <w:pStyle w:val="Compact"/>
              <w:ind w:firstLine="0"/>
            </w:pPr>
            <w:r>
              <w:t>Within (0.96)</w:t>
            </w:r>
          </w:p>
        </w:tc>
        <w:tc>
          <w:tcPr>
            <w:tcW w:w="1891" w:type="dxa"/>
            <w:tcBorders>
              <w:top w:val="single" w:sz="8" w:space="0" w:color="auto"/>
            </w:tcBorders>
          </w:tcPr>
          <w:p w14:paraId="47B84455" w14:textId="77777777" w:rsidR="007E6666" w:rsidRDefault="007E6666" w:rsidP="007E6666">
            <w:pPr>
              <w:pStyle w:val="Compact"/>
              <w:ind w:firstLine="0"/>
            </w:pPr>
            <w:r>
              <w:t>Within (0.34)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03225117" w14:textId="77777777" w:rsidR="007E6666" w:rsidRDefault="007E6666" w:rsidP="007E6666">
            <w:pPr>
              <w:pStyle w:val="Compact"/>
              <w:ind w:firstLine="0"/>
            </w:pPr>
            <w:r>
              <w:t>Within (-0.05)</w:t>
            </w:r>
          </w:p>
        </w:tc>
      </w:tr>
      <w:tr w:rsidR="007E6666" w14:paraId="0465DB71" w14:textId="77777777" w:rsidTr="007E6666">
        <w:tc>
          <w:tcPr>
            <w:tcW w:w="1349" w:type="dxa"/>
            <w:vMerge/>
          </w:tcPr>
          <w:p w14:paraId="1194380E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7E37296E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253D5195" w14:textId="77777777" w:rsidR="007E6666" w:rsidRDefault="007E6666" w:rsidP="007E6666">
            <w:pPr>
              <w:pStyle w:val="Compact"/>
              <w:ind w:firstLine="0"/>
            </w:pPr>
            <w:r>
              <w:t>Within (0.15)</w:t>
            </w:r>
          </w:p>
        </w:tc>
        <w:tc>
          <w:tcPr>
            <w:tcW w:w="1800" w:type="dxa"/>
          </w:tcPr>
          <w:p w14:paraId="3C6F74E8" w14:textId="77777777" w:rsidR="007E6666" w:rsidRDefault="007E6666" w:rsidP="007E6666">
            <w:pPr>
              <w:pStyle w:val="Compact"/>
              <w:ind w:firstLine="0"/>
            </w:pPr>
            <w:r>
              <w:t>Within (-0.87)</w:t>
            </w:r>
          </w:p>
        </w:tc>
        <w:tc>
          <w:tcPr>
            <w:tcW w:w="1891" w:type="dxa"/>
          </w:tcPr>
          <w:p w14:paraId="1AE4AF77" w14:textId="77777777" w:rsidR="007E6666" w:rsidRDefault="007E6666" w:rsidP="007E6666">
            <w:pPr>
              <w:pStyle w:val="Compact"/>
              <w:ind w:firstLine="0"/>
            </w:pPr>
            <w:r>
              <w:t>Within (0.92)</w:t>
            </w:r>
          </w:p>
        </w:tc>
        <w:tc>
          <w:tcPr>
            <w:tcW w:w="1710" w:type="dxa"/>
          </w:tcPr>
          <w:p w14:paraId="522C3123" w14:textId="77777777" w:rsidR="007E6666" w:rsidRDefault="007E6666" w:rsidP="007E6666">
            <w:pPr>
              <w:pStyle w:val="Compact"/>
              <w:ind w:firstLine="0"/>
            </w:pPr>
            <w:r>
              <w:t>Within (0.64)</w:t>
            </w:r>
          </w:p>
        </w:tc>
      </w:tr>
      <w:tr w:rsidR="007E6666" w14:paraId="17DEAEF1" w14:textId="77777777" w:rsidTr="007E6666">
        <w:tc>
          <w:tcPr>
            <w:tcW w:w="1349" w:type="dxa"/>
            <w:vMerge/>
          </w:tcPr>
          <w:p w14:paraId="52A03BB7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681FC820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264D5C01" w14:textId="77777777" w:rsidR="007E6666" w:rsidRDefault="007E6666" w:rsidP="007E6666">
            <w:pPr>
              <w:pStyle w:val="Compact"/>
              <w:ind w:firstLine="0"/>
            </w:pPr>
            <w:r>
              <w:t>Within (-0.54)</w:t>
            </w:r>
          </w:p>
        </w:tc>
        <w:tc>
          <w:tcPr>
            <w:tcW w:w="1800" w:type="dxa"/>
          </w:tcPr>
          <w:p w14:paraId="00CF46D1" w14:textId="77777777" w:rsidR="007E6666" w:rsidRDefault="007E6666" w:rsidP="007E6666">
            <w:pPr>
              <w:pStyle w:val="Compact"/>
              <w:ind w:firstLine="0"/>
            </w:pPr>
            <w:r>
              <w:t>Below (-1.96)</w:t>
            </w:r>
          </w:p>
        </w:tc>
        <w:tc>
          <w:tcPr>
            <w:tcW w:w="1891" w:type="dxa"/>
          </w:tcPr>
          <w:p w14:paraId="2ADC7919" w14:textId="77777777" w:rsidR="007E6666" w:rsidRDefault="007E6666" w:rsidP="007E6666">
            <w:pPr>
              <w:pStyle w:val="Compact"/>
              <w:ind w:firstLine="0"/>
            </w:pPr>
            <w:r>
              <w:t>Above (1.67)</w:t>
            </w:r>
          </w:p>
        </w:tc>
        <w:tc>
          <w:tcPr>
            <w:tcW w:w="1710" w:type="dxa"/>
          </w:tcPr>
          <w:p w14:paraId="671E7E43" w14:textId="77777777" w:rsidR="007E6666" w:rsidRDefault="007E6666" w:rsidP="007E6666">
            <w:pPr>
              <w:pStyle w:val="Compact"/>
              <w:ind w:firstLine="0"/>
            </w:pPr>
            <w:r>
              <w:t>Above (1.51)</w:t>
            </w:r>
          </w:p>
        </w:tc>
      </w:tr>
      <w:tr w:rsidR="007E6666" w14:paraId="04EC83C5" w14:textId="77777777" w:rsidTr="007E6666">
        <w:tc>
          <w:tcPr>
            <w:tcW w:w="1349" w:type="dxa"/>
            <w:vMerge/>
            <w:tcBorders>
              <w:bottom w:val="single" w:sz="2" w:space="0" w:color="auto"/>
            </w:tcBorders>
          </w:tcPr>
          <w:p w14:paraId="54EA0035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  <w:tcBorders>
              <w:bottom w:val="single" w:sz="2" w:space="0" w:color="auto"/>
            </w:tcBorders>
          </w:tcPr>
          <w:p w14:paraId="3016D4FC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76F59851" w14:textId="77777777" w:rsidR="007E6666" w:rsidRDefault="007E6666" w:rsidP="007E6666">
            <w:pPr>
              <w:pStyle w:val="Compact"/>
              <w:ind w:firstLine="0"/>
            </w:pPr>
            <w:r>
              <w:t>Above (1)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46E15449" w14:textId="77777777" w:rsidR="007E6666" w:rsidRDefault="007E6666" w:rsidP="007E6666">
            <w:pPr>
              <w:pStyle w:val="Compact"/>
              <w:ind w:firstLine="0"/>
            </w:pPr>
            <w:r>
              <w:t>Within (0.48)</w:t>
            </w:r>
          </w:p>
        </w:tc>
        <w:tc>
          <w:tcPr>
            <w:tcW w:w="1891" w:type="dxa"/>
            <w:tcBorders>
              <w:bottom w:val="single" w:sz="2" w:space="0" w:color="auto"/>
            </w:tcBorders>
          </w:tcPr>
          <w:p w14:paraId="4D6B4DE9" w14:textId="77777777" w:rsidR="007E6666" w:rsidRDefault="007E6666" w:rsidP="007E6666">
            <w:pPr>
              <w:pStyle w:val="Compact"/>
              <w:ind w:firstLine="0"/>
            </w:pPr>
            <w:r>
              <w:t>Within (0.37)</w:t>
            </w: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14:paraId="2898B1DF" w14:textId="77777777" w:rsidR="007E6666" w:rsidRDefault="007E6666" w:rsidP="007E6666">
            <w:pPr>
              <w:pStyle w:val="Compact"/>
              <w:ind w:firstLine="0"/>
            </w:pPr>
            <w:r>
              <w:t>Within (-0.01)</w:t>
            </w:r>
          </w:p>
        </w:tc>
      </w:tr>
      <w:tr w:rsidR="007E6666" w14:paraId="75BFAC0B" w14:textId="77777777" w:rsidTr="007E6666">
        <w:tc>
          <w:tcPr>
            <w:tcW w:w="1349" w:type="dxa"/>
            <w:vMerge w:val="restart"/>
            <w:tcBorders>
              <w:top w:val="single" w:sz="2" w:space="0" w:color="auto"/>
            </w:tcBorders>
          </w:tcPr>
          <w:p w14:paraId="0087C22F" w14:textId="77777777" w:rsidR="007E6666" w:rsidRDefault="007E6666" w:rsidP="007E6666">
            <w:pPr>
              <w:pStyle w:val="Compact"/>
              <w:ind w:firstLine="0"/>
            </w:pPr>
            <w:r>
              <w:t>Cumulative rainfall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73313F97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43617EBD" w14:textId="77777777" w:rsidR="007E6666" w:rsidRDefault="007E6666" w:rsidP="007E6666">
            <w:pPr>
              <w:pStyle w:val="Compact"/>
              <w:ind w:firstLine="0"/>
            </w:pPr>
            <w:r>
              <w:t>Within (-0.63)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0E47F9D8" w14:textId="77777777" w:rsidR="007E6666" w:rsidRDefault="007E6666" w:rsidP="007E6666">
            <w:pPr>
              <w:pStyle w:val="Compact"/>
              <w:ind w:firstLine="0"/>
            </w:pPr>
            <w:r>
              <w:t>Within (-0.89)</w:t>
            </w:r>
          </w:p>
        </w:tc>
        <w:tc>
          <w:tcPr>
            <w:tcW w:w="1891" w:type="dxa"/>
            <w:tcBorders>
              <w:top w:val="single" w:sz="2" w:space="0" w:color="auto"/>
            </w:tcBorders>
          </w:tcPr>
          <w:p w14:paraId="7A489D7F" w14:textId="77777777" w:rsidR="007E6666" w:rsidRDefault="007E6666" w:rsidP="007E6666">
            <w:pPr>
              <w:pStyle w:val="Compact"/>
              <w:ind w:firstLine="0"/>
            </w:pPr>
            <w:r>
              <w:t>Within (-0.89)</w:t>
            </w:r>
          </w:p>
        </w:tc>
        <w:tc>
          <w:tcPr>
            <w:tcW w:w="1710" w:type="dxa"/>
            <w:tcBorders>
              <w:top w:val="single" w:sz="2" w:space="0" w:color="auto"/>
            </w:tcBorders>
          </w:tcPr>
          <w:p w14:paraId="4ECEFCA9" w14:textId="77777777" w:rsidR="007E6666" w:rsidRDefault="007E6666" w:rsidP="007E6666">
            <w:pPr>
              <w:pStyle w:val="Compact"/>
              <w:ind w:firstLine="0"/>
            </w:pPr>
            <w:r>
              <w:t>Within (-0.91)</w:t>
            </w:r>
          </w:p>
        </w:tc>
      </w:tr>
      <w:tr w:rsidR="007E6666" w14:paraId="5CD986AC" w14:textId="77777777" w:rsidTr="007E6666">
        <w:tc>
          <w:tcPr>
            <w:tcW w:w="1349" w:type="dxa"/>
            <w:vMerge/>
          </w:tcPr>
          <w:p w14:paraId="55381B3B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64797C60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23A555D4" w14:textId="77777777" w:rsidR="007E6666" w:rsidRDefault="007E6666" w:rsidP="007E6666">
            <w:pPr>
              <w:pStyle w:val="Compact"/>
              <w:ind w:firstLine="0"/>
            </w:pPr>
            <w:r>
              <w:t>Within (-0.76)</w:t>
            </w:r>
          </w:p>
        </w:tc>
        <w:tc>
          <w:tcPr>
            <w:tcW w:w="1800" w:type="dxa"/>
          </w:tcPr>
          <w:p w14:paraId="18DA6F86" w14:textId="77777777" w:rsidR="007E6666" w:rsidRDefault="007E6666" w:rsidP="007E6666">
            <w:pPr>
              <w:pStyle w:val="Compact"/>
              <w:ind w:firstLine="0"/>
            </w:pPr>
            <w:r>
              <w:t>Below (-1.08)</w:t>
            </w:r>
          </w:p>
        </w:tc>
        <w:tc>
          <w:tcPr>
            <w:tcW w:w="1891" w:type="dxa"/>
          </w:tcPr>
          <w:p w14:paraId="0EF5226D" w14:textId="77777777" w:rsidR="007E6666" w:rsidRDefault="007E6666" w:rsidP="007E6666">
            <w:pPr>
              <w:pStyle w:val="Compact"/>
              <w:ind w:firstLine="0"/>
            </w:pPr>
            <w:r>
              <w:t>Above (1.87)</w:t>
            </w:r>
          </w:p>
        </w:tc>
        <w:tc>
          <w:tcPr>
            <w:tcW w:w="1710" w:type="dxa"/>
          </w:tcPr>
          <w:p w14:paraId="6D3672A8" w14:textId="77777777" w:rsidR="007E6666" w:rsidRDefault="007E6666" w:rsidP="007E6666">
            <w:pPr>
              <w:pStyle w:val="Compact"/>
              <w:ind w:firstLine="0"/>
            </w:pPr>
            <w:r>
              <w:t>Above (1.38)</w:t>
            </w:r>
          </w:p>
        </w:tc>
      </w:tr>
      <w:tr w:rsidR="007E6666" w14:paraId="01193181" w14:textId="77777777" w:rsidTr="007E6666">
        <w:tc>
          <w:tcPr>
            <w:tcW w:w="1349" w:type="dxa"/>
          </w:tcPr>
          <w:p w14:paraId="20106734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3053ECE4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1EB3A6BF" w14:textId="77777777" w:rsidR="007E6666" w:rsidRDefault="007E6666" w:rsidP="007E6666">
            <w:pPr>
              <w:pStyle w:val="Compact"/>
              <w:ind w:firstLine="0"/>
            </w:pPr>
            <w:r>
              <w:t>Within (-0.27)</w:t>
            </w:r>
          </w:p>
        </w:tc>
        <w:tc>
          <w:tcPr>
            <w:tcW w:w="1800" w:type="dxa"/>
          </w:tcPr>
          <w:p w14:paraId="6D109E8A" w14:textId="77777777" w:rsidR="007E6666" w:rsidRDefault="007E6666" w:rsidP="007E6666">
            <w:pPr>
              <w:pStyle w:val="Compact"/>
              <w:ind w:firstLine="0"/>
            </w:pPr>
            <w:r>
              <w:t>Within (-0.37)</w:t>
            </w:r>
          </w:p>
        </w:tc>
        <w:tc>
          <w:tcPr>
            <w:tcW w:w="1891" w:type="dxa"/>
          </w:tcPr>
          <w:p w14:paraId="319EF3F8" w14:textId="77777777" w:rsidR="007E6666" w:rsidRDefault="007E6666" w:rsidP="007E6666">
            <w:pPr>
              <w:pStyle w:val="Compact"/>
              <w:ind w:firstLine="0"/>
            </w:pPr>
            <w:r>
              <w:t>Above (1.04)</w:t>
            </w:r>
          </w:p>
        </w:tc>
        <w:tc>
          <w:tcPr>
            <w:tcW w:w="1710" w:type="dxa"/>
          </w:tcPr>
          <w:p w14:paraId="3A0230DC" w14:textId="77777777" w:rsidR="007E6666" w:rsidRDefault="007E6666" w:rsidP="007E6666">
            <w:pPr>
              <w:pStyle w:val="Compact"/>
              <w:ind w:firstLine="0"/>
            </w:pPr>
            <w:r>
              <w:t>Within (0.69)</w:t>
            </w:r>
          </w:p>
        </w:tc>
      </w:tr>
      <w:tr w:rsidR="007E6666" w14:paraId="2EAAA24A" w14:textId="77777777" w:rsidTr="007E6666">
        <w:tc>
          <w:tcPr>
            <w:tcW w:w="1349" w:type="dxa"/>
            <w:tcBorders>
              <w:bottom w:val="single" w:sz="2" w:space="0" w:color="auto"/>
            </w:tcBorders>
          </w:tcPr>
          <w:p w14:paraId="3E8CE393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  <w:tcBorders>
              <w:bottom w:val="single" w:sz="2" w:space="0" w:color="auto"/>
            </w:tcBorders>
          </w:tcPr>
          <w:p w14:paraId="3E0363B5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2314EBE0" w14:textId="77777777" w:rsidR="007E6666" w:rsidRDefault="007E6666" w:rsidP="007E6666">
            <w:pPr>
              <w:pStyle w:val="Compact"/>
              <w:ind w:firstLine="0"/>
            </w:pPr>
            <w:r>
              <w:t>Within (0.02)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74A9B109" w14:textId="77777777" w:rsidR="007E6666" w:rsidRDefault="007E6666" w:rsidP="007E6666">
            <w:pPr>
              <w:pStyle w:val="Compact"/>
              <w:ind w:firstLine="0"/>
            </w:pPr>
            <w:r>
              <w:t>Within (0.06)</w:t>
            </w:r>
          </w:p>
        </w:tc>
        <w:tc>
          <w:tcPr>
            <w:tcW w:w="1891" w:type="dxa"/>
            <w:tcBorders>
              <w:bottom w:val="single" w:sz="2" w:space="0" w:color="auto"/>
            </w:tcBorders>
          </w:tcPr>
          <w:p w14:paraId="2CF99D1B" w14:textId="77777777" w:rsidR="007E6666" w:rsidRDefault="007E6666" w:rsidP="007E6666">
            <w:pPr>
              <w:pStyle w:val="Compact"/>
              <w:ind w:firstLine="0"/>
            </w:pPr>
            <w:r>
              <w:t>Below (-1.16)</w:t>
            </w: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14:paraId="7F0CF1F1" w14:textId="77777777" w:rsidR="007E6666" w:rsidRDefault="007E6666" w:rsidP="007E6666">
            <w:pPr>
              <w:pStyle w:val="Compact"/>
              <w:ind w:firstLine="0"/>
            </w:pPr>
            <w:r>
              <w:t>Below (-1.13)</w:t>
            </w:r>
          </w:p>
        </w:tc>
      </w:tr>
      <w:tr w:rsidR="007E6666" w14:paraId="79AC3A70" w14:textId="77777777" w:rsidTr="007E6666">
        <w:tc>
          <w:tcPr>
            <w:tcW w:w="1349" w:type="dxa"/>
            <w:tcBorders>
              <w:top w:val="single" w:sz="2" w:space="0" w:color="auto"/>
            </w:tcBorders>
          </w:tcPr>
          <w:p w14:paraId="6320AE8C" w14:textId="77777777" w:rsidR="007E6666" w:rsidRDefault="007E6666" w:rsidP="007E6666">
            <w:pPr>
              <w:pStyle w:val="Compact"/>
              <w:ind w:firstLine="0"/>
            </w:pPr>
            <w:r>
              <w:t>Dew Point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77D51D81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45D9C63D" w14:textId="77777777" w:rsidR="007E6666" w:rsidRDefault="007E6666" w:rsidP="007E6666">
            <w:pPr>
              <w:pStyle w:val="Compact"/>
              <w:ind w:firstLine="0"/>
            </w:pPr>
            <w:r>
              <w:t>Below (-1.21)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4E96ED0C" w14:textId="77777777" w:rsidR="007E6666" w:rsidRDefault="007E6666" w:rsidP="007E6666">
            <w:pPr>
              <w:pStyle w:val="Compact"/>
              <w:ind w:firstLine="0"/>
            </w:pPr>
            <w:r>
              <w:t>Within (-0.98)</w:t>
            </w:r>
          </w:p>
        </w:tc>
        <w:tc>
          <w:tcPr>
            <w:tcW w:w="1891" w:type="dxa"/>
            <w:tcBorders>
              <w:top w:val="single" w:sz="2" w:space="0" w:color="auto"/>
            </w:tcBorders>
          </w:tcPr>
          <w:p w14:paraId="0F10CBDD" w14:textId="77777777" w:rsidR="007E6666" w:rsidRDefault="007E6666" w:rsidP="007E6666">
            <w:pPr>
              <w:pStyle w:val="Compact"/>
              <w:ind w:firstLine="0"/>
            </w:pPr>
            <w:r>
              <w:t>Below (-1.15)</w:t>
            </w:r>
          </w:p>
        </w:tc>
        <w:tc>
          <w:tcPr>
            <w:tcW w:w="1710" w:type="dxa"/>
            <w:tcBorders>
              <w:top w:val="single" w:sz="2" w:space="0" w:color="auto"/>
            </w:tcBorders>
          </w:tcPr>
          <w:p w14:paraId="1269A359" w14:textId="77777777" w:rsidR="007E6666" w:rsidRDefault="007E6666" w:rsidP="007E6666">
            <w:pPr>
              <w:pStyle w:val="Compact"/>
              <w:ind w:firstLine="0"/>
            </w:pPr>
            <w:r>
              <w:t>Below (-1.07)</w:t>
            </w:r>
          </w:p>
        </w:tc>
      </w:tr>
      <w:tr w:rsidR="007E6666" w14:paraId="67C337D4" w14:textId="77777777" w:rsidTr="007E6666">
        <w:tc>
          <w:tcPr>
            <w:tcW w:w="1349" w:type="dxa"/>
          </w:tcPr>
          <w:p w14:paraId="5F4AC1DD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51FC19C5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4F757647" w14:textId="77777777" w:rsidR="007E6666" w:rsidRDefault="007E6666" w:rsidP="007E6666">
            <w:pPr>
              <w:pStyle w:val="Compact"/>
              <w:ind w:firstLine="0"/>
            </w:pPr>
            <w:r>
              <w:t>Within (-0.05)</w:t>
            </w:r>
          </w:p>
        </w:tc>
        <w:tc>
          <w:tcPr>
            <w:tcW w:w="1800" w:type="dxa"/>
          </w:tcPr>
          <w:p w14:paraId="68476838" w14:textId="77777777" w:rsidR="007E6666" w:rsidRDefault="007E6666" w:rsidP="007E6666">
            <w:pPr>
              <w:pStyle w:val="Compact"/>
              <w:ind w:firstLine="0"/>
            </w:pPr>
            <w:r>
              <w:t>Within (0.63)</w:t>
            </w:r>
          </w:p>
        </w:tc>
        <w:tc>
          <w:tcPr>
            <w:tcW w:w="1891" w:type="dxa"/>
          </w:tcPr>
          <w:p w14:paraId="167611CD" w14:textId="77777777" w:rsidR="007E6666" w:rsidRDefault="007E6666" w:rsidP="007E6666">
            <w:pPr>
              <w:pStyle w:val="Compact"/>
              <w:ind w:firstLine="0"/>
            </w:pPr>
            <w:r>
              <w:t>Within (-0.27)</w:t>
            </w:r>
          </w:p>
        </w:tc>
        <w:tc>
          <w:tcPr>
            <w:tcW w:w="1710" w:type="dxa"/>
          </w:tcPr>
          <w:p w14:paraId="4A9596B3" w14:textId="77777777" w:rsidR="007E6666" w:rsidRDefault="007E6666" w:rsidP="007E6666">
            <w:pPr>
              <w:pStyle w:val="Compact"/>
              <w:ind w:firstLine="0"/>
            </w:pPr>
            <w:r>
              <w:t>Within (-0.07)</w:t>
            </w:r>
          </w:p>
        </w:tc>
      </w:tr>
      <w:tr w:rsidR="007E6666" w14:paraId="4DC7EF2F" w14:textId="77777777" w:rsidTr="007E6666">
        <w:tc>
          <w:tcPr>
            <w:tcW w:w="1349" w:type="dxa"/>
          </w:tcPr>
          <w:p w14:paraId="4741A1F2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3BEEAA44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4E06B504" w14:textId="77777777" w:rsidR="007E6666" w:rsidRDefault="007E6666" w:rsidP="007E6666">
            <w:pPr>
              <w:pStyle w:val="Compact"/>
              <w:ind w:firstLine="0"/>
            </w:pPr>
            <w:r>
              <w:t>Below (-1.01)</w:t>
            </w:r>
          </w:p>
        </w:tc>
        <w:tc>
          <w:tcPr>
            <w:tcW w:w="1800" w:type="dxa"/>
          </w:tcPr>
          <w:p w14:paraId="725B2AC6" w14:textId="77777777" w:rsidR="007E6666" w:rsidRDefault="007E6666" w:rsidP="007E6666">
            <w:pPr>
              <w:pStyle w:val="Compact"/>
              <w:ind w:firstLine="0"/>
            </w:pPr>
            <w:r>
              <w:t>Within (-0.7)</w:t>
            </w:r>
          </w:p>
        </w:tc>
        <w:tc>
          <w:tcPr>
            <w:tcW w:w="1891" w:type="dxa"/>
          </w:tcPr>
          <w:p w14:paraId="2E84E358" w14:textId="77777777" w:rsidR="007E6666" w:rsidRDefault="007E6666" w:rsidP="007E6666">
            <w:pPr>
              <w:pStyle w:val="Compact"/>
              <w:ind w:firstLine="0"/>
            </w:pPr>
            <w:r>
              <w:t>Within (-0.21)</w:t>
            </w:r>
          </w:p>
        </w:tc>
        <w:tc>
          <w:tcPr>
            <w:tcW w:w="1710" w:type="dxa"/>
          </w:tcPr>
          <w:p w14:paraId="3B1272B9" w14:textId="77777777" w:rsidR="007E6666" w:rsidRDefault="007E6666" w:rsidP="007E6666">
            <w:pPr>
              <w:pStyle w:val="Compact"/>
              <w:ind w:firstLine="0"/>
            </w:pPr>
            <w:r>
              <w:t>Within (0)</w:t>
            </w:r>
          </w:p>
        </w:tc>
      </w:tr>
      <w:tr w:rsidR="007E6666" w14:paraId="261AAC9E" w14:textId="77777777" w:rsidTr="007E6666">
        <w:tc>
          <w:tcPr>
            <w:tcW w:w="1349" w:type="dxa"/>
            <w:tcBorders>
              <w:bottom w:val="single" w:sz="2" w:space="0" w:color="auto"/>
            </w:tcBorders>
          </w:tcPr>
          <w:p w14:paraId="0A2FBEF6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  <w:tcBorders>
              <w:bottom w:val="single" w:sz="2" w:space="0" w:color="auto"/>
            </w:tcBorders>
          </w:tcPr>
          <w:p w14:paraId="64BD9185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57849752" w14:textId="77777777" w:rsidR="007E6666" w:rsidRDefault="007E6666" w:rsidP="007E6666">
            <w:pPr>
              <w:pStyle w:val="Compact"/>
              <w:ind w:firstLine="0"/>
            </w:pPr>
            <w:r>
              <w:t>Within (0.41)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14AE163C" w14:textId="77777777" w:rsidR="007E6666" w:rsidRDefault="007E6666" w:rsidP="007E6666">
            <w:pPr>
              <w:pStyle w:val="Compact"/>
              <w:ind w:firstLine="0"/>
            </w:pPr>
            <w:r>
              <w:t>Above (1.28)</w:t>
            </w:r>
          </w:p>
        </w:tc>
        <w:tc>
          <w:tcPr>
            <w:tcW w:w="1891" w:type="dxa"/>
            <w:tcBorders>
              <w:bottom w:val="single" w:sz="2" w:space="0" w:color="auto"/>
            </w:tcBorders>
          </w:tcPr>
          <w:p w14:paraId="7597AF6B" w14:textId="77777777" w:rsidR="007E6666" w:rsidRDefault="007E6666" w:rsidP="007E6666">
            <w:pPr>
              <w:pStyle w:val="Compact"/>
              <w:ind w:firstLine="0"/>
            </w:pPr>
            <w:r>
              <w:t>Within (0.9)</w:t>
            </w: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14:paraId="5731A1D7" w14:textId="77777777" w:rsidR="007E6666" w:rsidRDefault="007E6666" w:rsidP="007E6666">
            <w:pPr>
              <w:pStyle w:val="Compact"/>
              <w:ind w:firstLine="0"/>
            </w:pPr>
            <w:r>
              <w:t>Above (1.27)</w:t>
            </w:r>
          </w:p>
        </w:tc>
      </w:tr>
      <w:tr w:rsidR="007E6666" w14:paraId="037A12CF" w14:textId="77777777" w:rsidTr="007E6666">
        <w:tc>
          <w:tcPr>
            <w:tcW w:w="1349" w:type="dxa"/>
            <w:vMerge w:val="restart"/>
            <w:tcBorders>
              <w:top w:val="single" w:sz="2" w:space="0" w:color="auto"/>
            </w:tcBorders>
          </w:tcPr>
          <w:p w14:paraId="685CF85F" w14:textId="77777777" w:rsidR="007E6666" w:rsidRDefault="007E6666" w:rsidP="007E6666">
            <w:pPr>
              <w:pStyle w:val="Compact"/>
              <w:ind w:firstLine="0"/>
            </w:pPr>
            <w:r>
              <w:t>Relative Humidity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51B13F95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17E126A0" w14:textId="77777777" w:rsidR="007E6666" w:rsidRDefault="007E6666" w:rsidP="007E6666">
            <w:pPr>
              <w:pStyle w:val="Compact"/>
              <w:ind w:firstLine="0"/>
            </w:pPr>
            <w:r>
              <w:t>Within (-0.85)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33938664" w14:textId="77777777" w:rsidR="007E6666" w:rsidRDefault="007E6666" w:rsidP="007E6666">
            <w:pPr>
              <w:pStyle w:val="Compact"/>
              <w:ind w:firstLine="0"/>
            </w:pPr>
            <w:r>
              <w:t>Within (-0.46)</w:t>
            </w:r>
          </w:p>
        </w:tc>
        <w:tc>
          <w:tcPr>
            <w:tcW w:w="1891" w:type="dxa"/>
            <w:tcBorders>
              <w:top w:val="single" w:sz="2" w:space="0" w:color="auto"/>
            </w:tcBorders>
          </w:tcPr>
          <w:p w14:paraId="3D9781FF" w14:textId="77777777" w:rsidR="007E6666" w:rsidRDefault="007E6666" w:rsidP="007E6666">
            <w:pPr>
              <w:pStyle w:val="Compact"/>
              <w:ind w:firstLine="0"/>
            </w:pPr>
            <w:r>
              <w:t>Within (-0.56)</w:t>
            </w:r>
          </w:p>
        </w:tc>
        <w:tc>
          <w:tcPr>
            <w:tcW w:w="1710" w:type="dxa"/>
            <w:tcBorders>
              <w:top w:val="single" w:sz="2" w:space="0" w:color="auto"/>
            </w:tcBorders>
          </w:tcPr>
          <w:p w14:paraId="7862DB0A" w14:textId="77777777" w:rsidR="007E6666" w:rsidRDefault="007E6666" w:rsidP="007E6666">
            <w:pPr>
              <w:pStyle w:val="Compact"/>
              <w:ind w:firstLine="0"/>
            </w:pPr>
            <w:r>
              <w:t>Within (-0.37)</w:t>
            </w:r>
          </w:p>
        </w:tc>
      </w:tr>
      <w:tr w:rsidR="007E6666" w14:paraId="1607EAA0" w14:textId="77777777" w:rsidTr="007E6666">
        <w:tc>
          <w:tcPr>
            <w:tcW w:w="1349" w:type="dxa"/>
            <w:vMerge/>
          </w:tcPr>
          <w:p w14:paraId="7D30528E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41DC1D1A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345550AD" w14:textId="77777777" w:rsidR="007E6666" w:rsidRDefault="007E6666" w:rsidP="007E6666">
            <w:pPr>
              <w:pStyle w:val="Compact"/>
              <w:ind w:firstLine="0"/>
            </w:pPr>
            <w:r>
              <w:t>Within (-0.99)</w:t>
            </w:r>
          </w:p>
        </w:tc>
        <w:tc>
          <w:tcPr>
            <w:tcW w:w="1800" w:type="dxa"/>
          </w:tcPr>
          <w:p w14:paraId="4804DBB5" w14:textId="77777777" w:rsidR="007E6666" w:rsidRDefault="007E6666" w:rsidP="007E6666">
            <w:pPr>
              <w:pStyle w:val="Compact"/>
              <w:ind w:firstLine="0"/>
            </w:pPr>
            <w:r>
              <w:t>Within (-0.67)</w:t>
            </w:r>
          </w:p>
        </w:tc>
        <w:tc>
          <w:tcPr>
            <w:tcW w:w="1891" w:type="dxa"/>
          </w:tcPr>
          <w:p w14:paraId="7D6D86F1" w14:textId="77777777" w:rsidR="007E6666" w:rsidRDefault="007E6666" w:rsidP="007E6666">
            <w:pPr>
              <w:pStyle w:val="Compact"/>
              <w:ind w:firstLine="0"/>
            </w:pPr>
            <w:r>
              <w:t>Within (-0.82)</w:t>
            </w:r>
          </w:p>
        </w:tc>
        <w:tc>
          <w:tcPr>
            <w:tcW w:w="1710" w:type="dxa"/>
          </w:tcPr>
          <w:p w14:paraId="6DDEC3BC" w14:textId="77777777" w:rsidR="007E6666" w:rsidRDefault="007E6666" w:rsidP="007E6666">
            <w:pPr>
              <w:pStyle w:val="Compact"/>
              <w:ind w:firstLine="0"/>
            </w:pPr>
            <w:r>
              <w:t>Within (-0.65)</w:t>
            </w:r>
          </w:p>
        </w:tc>
      </w:tr>
      <w:tr w:rsidR="007E6666" w14:paraId="04705477" w14:textId="77777777" w:rsidTr="007E6666">
        <w:tc>
          <w:tcPr>
            <w:tcW w:w="1349" w:type="dxa"/>
          </w:tcPr>
          <w:p w14:paraId="48C0C22F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25E6588C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10DFB3AD" w14:textId="77777777" w:rsidR="007E6666" w:rsidRDefault="007E6666" w:rsidP="007E6666">
            <w:pPr>
              <w:pStyle w:val="Compact"/>
              <w:ind w:firstLine="0"/>
            </w:pPr>
            <w:r>
              <w:t>Within (-0.48)</w:t>
            </w:r>
          </w:p>
        </w:tc>
        <w:tc>
          <w:tcPr>
            <w:tcW w:w="1800" w:type="dxa"/>
          </w:tcPr>
          <w:p w14:paraId="70FCABE4" w14:textId="77777777" w:rsidR="007E6666" w:rsidRDefault="007E6666" w:rsidP="007E6666">
            <w:pPr>
              <w:pStyle w:val="Compact"/>
              <w:ind w:firstLine="0"/>
            </w:pPr>
            <w:r>
              <w:t>Within (0.12)</w:t>
            </w:r>
          </w:p>
        </w:tc>
        <w:tc>
          <w:tcPr>
            <w:tcW w:w="1891" w:type="dxa"/>
          </w:tcPr>
          <w:p w14:paraId="285B44F0" w14:textId="77777777" w:rsidR="007E6666" w:rsidRDefault="007E6666" w:rsidP="007E6666">
            <w:pPr>
              <w:pStyle w:val="Compact"/>
              <w:ind w:firstLine="0"/>
            </w:pPr>
            <w:r>
              <w:t>Within (0.67)</w:t>
            </w:r>
          </w:p>
        </w:tc>
        <w:tc>
          <w:tcPr>
            <w:tcW w:w="1710" w:type="dxa"/>
          </w:tcPr>
          <w:p w14:paraId="50706F72" w14:textId="77777777" w:rsidR="007E6666" w:rsidRDefault="007E6666" w:rsidP="007E6666">
            <w:pPr>
              <w:pStyle w:val="Compact"/>
              <w:ind w:firstLine="0"/>
            </w:pPr>
            <w:r>
              <w:t>Above (1.01)</w:t>
            </w:r>
          </w:p>
        </w:tc>
      </w:tr>
      <w:tr w:rsidR="007E6666" w14:paraId="24F8D00E" w14:textId="77777777" w:rsidTr="007E6666">
        <w:tc>
          <w:tcPr>
            <w:tcW w:w="1349" w:type="dxa"/>
            <w:tcBorders>
              <w:bottom w:val="single" w:sz="2" w:space="0" w:color="auto"/>
            </w:tcBorders>
          </w:tcPr>
          <w:p w14:paraId="646509DB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  <w:tcBorders>
              <w:bottom w:val="single" w:sz="2" w:space="0" w:color="auto"/>
            </w:tcBorders>
          </w:tcPr>
          <w:p w14:paraId="13381258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69247024" w14:textId="77777777" w:rsidR="007E6666" w:rsidRDefault="007E6666" w:rsidP="007E6666">
            <w:pPr>
              <w:pStyle w:val="Compact"/>
              <w:ind w:firstLine="0"/>
            </w:pPr>
            <w:r>
              <w:t>Within (0.37)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35EEFB6E" w14:textId="77777777" w:rsidR="007E6666" w:rsidRDefault="007E6666" w:rsidP="007E6666">
            <w:pPr>
              <w:pStyle w:val="Compact"/>
              <w:ind w:firstLine="0"/>
            </w:pPr>
            <w:r>
              <w:t>Above (1.43)</w:t>
            </w:r>
          </w:p>
        </w:tc>
        <w:tc>
          <w:tcPr>
            <w:tcW w:w="1891" w:type="dxa"/>
            <w:tcBorders>
              <w:bottom w:val="single" w:sz="2" w:space="0" w:color="auto"/>
            </w:tcBorders>
          </w:tcPr>
          <w:p w14:paraId="2C308972" w14:textId="77777777" w:rsidR="007E6666" w:rsidRDefault="007E6666" w:rsidP="007E6666">
            <w:pPr>
              <w:pStyle w:val="Compact"/>
              <w:ind w:firstLine="0"/>
            </w:pPr>
            <w:r>
              <w:t>Within (0.32)</w:t>
            </w: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14:paraId="5D15B620" w14:textId="77777777" w:rsidR="007E6666" w:rsidRDefault="007E6666" w:rsidP="007E6666">
            <w:pPr>
              <w:pStyle w:val="Compact"/>
              <w:ind w:firstLine="0"/>
            </w:pPr>
            <w:r>
              <w:t>Within (0.62)</w:t>
            </w:r>
          </w:p>
        </w:tc>
      </w:tr>
      <w:tr w:rsidR="007E6666" w14:paraId="3A14419E" w14:textId="77777777" w:rsidTr="007E6666">
        <w:tc>
          <w:tcPr>
            <w:tcW w:w="1349" w:type="dxa"/>
            <w:vMerge w:val="restart"/>
            <w:tcBorders>
              <w:top w:val="single" w:sz="2" w:space="0" w:color="auto"/>
            </w:tcBorders>
          </w:tcPr>
          <w:p w14:paraId="7852682C" w14:textId="77777777" w:rsidR="007E6666" w:rsidRDefault="007E6666" w:rsidP="007E6666">
            <w:pPr>
              <w:pStyle w:val="Compact"/>
              <w:ind w:firstLine="0"/>
            </w:pPr>
            <w:r>
              <w:t>Vapor Pressure Deficit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0C735DF1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40E7A710" w14:textId="77777777" w:rsidR="007E6666" w:rsidRDefault="007E6666" w:rsidP="007E6666">
            <w:pPr>
              <w:pStyle w:val="Compact"/>
              <w:ind w:firstLine="0"/>
            </w:pPr>
            <w:r>
              <w:t>Within (0.48)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1200F9B7" w14:textId="77777777" w:rsidR="007E6666" w:rsidRDefault="007E6666" w:rsidP="007E6666">
            <w:pPr>
              <w:pStyle w:val="Compact"/>
              <w:ind w:firstLine="0"/>
            </w:pPr>
            <w:r>
              <w:t>Within (0.26)</w:t>
            </w:r>
          </w:p>
        </w:tc>
        <w:tc>
          <w:tcPr>
            <w:tcW w:w="1891" w:type="dxa"/>
            <w:tcBorders>
              <w:top w:val="single" w:sz="2" w:space="0" w:color="auto"/>
            </w:tcBorders>
          </w:tcPr>
          <w:p w14:paraId="4A78A058" w14:textId="77777777" w:rsidR="007E6666" w:rsidRDefault="007E6666" w:rsidP="007E6666">
            <w:pPr>
              <w:pStyle w:val="Compact"/>
              <w:ind w:firstLine="0"/>
            </w:pPr>
            <w:r>
              <w:t>Within (-0.17)</w:t>
            </w:r>
          </w:p>
        </w:tc>
        <w:tc>
          <w:tcPr>
            <w:tcW w:w="1710" w:type="dxa"/>
            <w:tcBorders>
              <w:top w:val="single" w:sz="2" w:space="0" w:color="auto"/>
            </w:tcBorders>
          </w:tcPr>
          <w:p w14:paraId="10AC3905" w14:textId="77777777" w:rsidR="007E6666" w:rsidRDefault="007E6666" w:rsidP="007E6666">
            <w:pPr>
              <w:pStyle w:val="Compact"/>
              <w:ind w:firstLine="0"/>
            </w:pPr>
            <w:r>
              <w:t>Within (-0.32)</w:t>
            </w:r>
          </w:p>
        </w:tc>
      </w:tr>
      <w:tr w:rsidR="007E6666" w14:paraId="1FD1910D" w14:textId="77777777" w:rsidTr="007E6666">
        <w:tc>
          <w:tcPr>
            <w:tcW w:w="1349" w:type="dxa"/>
            <w:vMerge/>
          </w:tcPr>
          <w:p w14:paraId="36262B35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71545DCD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4C9F8199" w14:textId="77777777" w:rsidR="007E6666" w:rsidRDefault="007E6666" w:rsidP="007E6666">
            <w:pPr>
              <w:pStyle w:val="Compact"/>
              <w:ind w:firstLine="0"/>
            </w:pPr>
            <w:r>
              <w:t>Above (1.26)</w:t>
            </w:r>
          </w:p>
        </w:tc>
        <w:tc>
          <w:tcPr>
            <w:tcW w:w="1800" w:type="dxa"/>
          </w:tcPr>
          <w:p w14:paraId="1E3BBBCD" w14:textId="77777777" w:rsidR="007E6666" w:rsidRDefault="007E6666" w:rsidP="007E6666">
            <w:pPr>
              <w:pStyle w:val="Compact"/>
              <w:ind w:firstLine="0"/>
            </w:pPr>
            <w:r>
              <w:t>Above (1.3)</w:t>
            </w:r>
          </w:p>
        </w:tc>
        <w:tc>
          <w:tcPr>
            <w:tcW w:w="1891" w:type="dxa"/>
          </w:tcPr>
          <w:p w14:paraId="74A06C8E" w14:textId="77777777" w:rsidR="007E6666" w:rsidRDefault="007E6666" w:rsidP="007E6666">
            <w:pPr>
              <w:pStyle w:val="Compact"/>
              <w:ind w:firstLine="0"/>
            </w:pPr>
            <w:r>
              <w:t>Within (0.91)</w:t>
            </w:r>
          </w:p>
        </w:tc>
        <w:tc>
          <w:tcPr>
            <w:tcW w:w="1710" w:type="dxa"/>
          </w:tcPr>
          <w:p w14:paraId="49716F8F" w14:textId="77777777" w:rsidR="007E6666" w:rsidRDefault="007E6666" w:rsidP="007E6666">
            <w:pPr>
              <w:pStyle w:val="Compact"/>
              <w:ind w:firstLine="0"/>
            </w:pPr>
            <w:r>
              <w:t>Within (0.82)</w:t>
            </w:r>
          </w:p>
        </w:tc>
      </w:tr>
      <w:tr w:rsidR="007E6666" w14:paraId="4C890674" w14:textId="77777777" w:rsidTr="007E6666">
        <w:tc>
          <w:tcPr>
            <w:tcW w:w="1349" w:type="dxa"/>
            <w:vMerge/>
          </w:tcPr>
          <w:p w14:paraId="45B659DE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7FA271B0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15F05730" w14:textId="77777777" w:rsidR="007E6666" w:rsidRDefault="007E6666" w:rsidP="007E6666">
            <w:pPr>
              <w:pStyle w:val="Compact"/>
              <w:ind w:firstLine="0"/>
            </w:pPr>
            <w:r>
              <w:t>Within (-0.38)</w:t>
            </w:r>
          </w:p>
        </w:tc>
        <w:tc>
          <w:tcPr>
            <w:tcW w:w="1800" w:type="dxa"/>
          </w:tcPr>
          <w:p w14:paraId="404D95CB" w14:textId="77777777" w:rsidR="007E6666" w:rsidRDefault="007E6666" w:rsidP="007E6666">
            <w:pPr>
              <w:pStyle w:val="Compact"/>
              <w:ind w:firstLine="0"/>
            </w:pPr>
            <w:r>
              <w:t>Within (-0.9)</w:t>
            </w:r>
          </w:p>
        </w:tc>
        <w:tc>
          <w:tcPr>
            <w:tcW w:w="1891" w:type="dxa"/>
          </w:tcPr>
          <w:p w14:paraId="7B785FEA" w14:textId="77777777" w:rsidR="007E6666" w:rsidRDefault="007E6666" w:rsidP="007E6666">
            <w:pPr>
              <w:pStyle w:val="Compact"/>
              <w:ind w:firstLine="0"/>
            </w:pPr>
            <w:r>
              <w:t>Below (-1.15)</w:t>
            </w:r>
          </w:p>
        </w:tc>
        <w:tc>
          <w:tcPr>
            <w:tcW w:w="1710" w:type="dxa"/>
          </w:tcPr>
          <w:p w14:paraId="540485AC" w14:textId="77777777" w:rsidR="007E6666" w:rsidRDefault="007E6666" w:rsidP="007E6666">
            <w:pPr>
              <w:pStyle w:val="Compact"/>
              <w:ind w:firstLine="0"/>
            </w:pPr>
            <w:r>
              <w:t>Below (-1.36)</w:t>
            </w:r>
          </w:p>
        </w:tc>
      </w:tr>
      <w:tr w:rsidR="007E6666" w14:paraId="07691289" w14:textId="77777777" w:rsidTr="007E6666">
        <w:tc>
          <w:tcPr>
            <w:tcW w:w="1349" w:type="dxa"/>
            <w:tcBorders>
              <w:bottom w:val="single" w:sz="2" w:space="0" w:color="auto"/>
            </w:tcBorders>
          </w:tcPr>
          <w:p w14:paraId="3FC96A5B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  <w:tcBorders>
              <w:bottom w:val="single" w:sz="2" w:space="0" w:color="auto"/>
            </w:tcBorders>
          </w:tcPr>
          <w:p w14:paraId="2D01F336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3EDC2367" w14:textId="77777777" w:rsidR="007E6666" w:rsidRDefault="007E6666" w:rsidP="007E6666">
            <w:pPr>
              <w:pStyle w:val="Compact"/>
              <w:ind w:firstLine="0"/>
            </w:pPr>
            <w:r>
              <w:t>Within (-0.62)</w:t>
            </w:r>
          </w:p>
        </w:tc>
        <w:tc>
          <w:tcPr>
            <w:tcW w:w="1800" w:type="dxa"/>
            <w:tcBorders>
              <w:bottom w:val="single" w:sz="2" w:space="0" w:color="auto"/>
            </w:tcBorders>
          </w:tcPr>
          <w:p w14:paraId="1E46F685" w14:textId="77777777" w:rsidR="007E6666" w:rsidRDefault="007E6666" w:rsidP="007E6666">
            <w:pPr>
              <w:pStyle w:val="Compact"/>
              <w:ind w:firstLine="0"/>
            </w:pPr>
            <w:r>
              <w:t>Below (-1.21)</w:t>
            </w:r>
          </w:p>
        </w:tc>
        <w:tc>
          <w:tcPr>
            <w:tcW w:w="1891" w:type="dxa"/>
            <w:tcBorders>
              <w:bottom w:val="single" w:sz="2" w:space="0" w:color="auto"/>
            </w:tcBorders>
          </w:tcPr>
          <w:p w14:paraId="236C0676" w14:textId="77777777" w:rsidR="007E6666" w:rsidRDefault="007E6666" w:rsidP="007E6666">
            <w:pPr>
              <w:pStyle w:val="Compact"/>
              <w:ind w:firstLine="0"/>
            </w:pPr>
            <w:r>
              <w:t>Within (-0.13)</w:t>
            </w:r>
          </w:p>
        </w:tc>
        <w:tc>
          <w:tcPr>
            <w:tcW w:w="1710" w:type="dxa"/>
            <w:tcBorders>
              <w:bottom w:val="single" w:sz="2" w:space="0" w:color="auto"/>
            </w:tcBorders>
          </w:tcPr>
          <w:p w14:paraId="0240B4E9" w14:textId="77777777" w:rsidR="007E6666" w:rsidRDefault="007E6666" w:rsidP="007E6666">
            <w:pPr>
              <w:pStyle w:val="Compact"/>
              <w:ind w:firstLine="0"/>
            </w:pPr>
            <w:r>
              <w:t>Within (-0.28)</w:t>
            </w:r>
          </w:p>
        </w:tc>
      </w:tr>
      <w:tr w:rsidR="007E6666" w14:paraId="2136FC43" w14:textId="77777777" w:rsidTr="007E6666">
        <w:tc>
          <w:tcPr>
            <w:tcW w:w="1349" w:type="dxa"/>
            <w:vMerge w:val="restart"/>
            <w:tcBorders>
              <w:top w:val="single" w:sz="2" w:space="0" w:color="auto"/>
            </w:tcBorders>
          </w:tcPr>
          <w:p w14:paraId="64F8B49D" w14:textId="77777777" w:rsidR="007E6666" w:rsidRDefault="007E6666" w:rsidP="007E6666">
            <w:pPr>
              <w:pStyle w:val="Compact"/>
              <w:ind w:firstLine="0"/>
            </w:pPr>
            <w:r>
              <w:t>Wind speed</w:t>
            </w:r>
          </w:p>
        </w:tc>
        <w:tc>
          <w:tcPr>
            <w:tcW w:w="900" w:type="dxa"/>
            <w:tcBorders>
              <w:top w:val="single" w:sz="2" w:space="0" w:color="auto"/>
            </w:tcBorders>
          </w:tcPr>
          <w:p w14:paraId="3435C743" w14:textId="77777777" w:rsidR="007E6666" w:rsidRDefault="007E6666" w:rsidP="007E6666">
            <w:pPr>
              <w:pStyle w:val="Compact"/>
              <w:ind w:firstLine="0"/>
            </w:pPr>
            <w:r>
              <w:t>2017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0E2A36E6" w14:textId="77777777" w:rsidR="007E6666" w:rsidRDefault="007E6666" w:rsidP="007E6666">
            <w:pPr>
              <w:pStyle w:val="Compact"/>
              <w:ind w:firstLine="0"/>
            </w:pPr>
            <w:r>
              <w:t>Within (-0.69)</w:t>
            </w:r>
          </w:p>
        </w:tc>
        <w:tc>
          <w:tcPr>
            <w:tcW w:w="1800" w:type="dxa"/>
            <w:tcBorders>
              <w:top w:val="single" w:sz="2" w:space="0" w:color="auto"/>
            </w:tcBorders>
          </w:tcPr>
          <w:p w14:paraId="0488DC11" w14:textId="77777777" w:rsidR="007E6666" w:rsidRDefault="007E6666" w:rsidP="007E6666">
            <w:pPr>
              <w:pStyle w:val="Compact"/>
              <w:ind w:firstLine="0"/>
            </w:pPr>
            <w:r>
              <w:t>Within (-0.19)</w:t>
            </w:r>
          </w:p>
        </w:tc>
        <w:tc>
          <w:tcPr>
            <w:tcW w:w="1891" w:type="dxa"/>
            <w:tcBorders>
              <w:top w:val="single" w:sz="2" w:space="0" w:color="auto"/>
            </w:tcBorders>
          </w:tcPr>
          <w:p w14:paraId="116F28BC" w14:textId="77777777" w:rsidR="007E6666" w:rsidRDefault="007E6666" w:rsidP="007E6666">
            <w:pPr>
              <w:pStyle w:val="Compact"/>
              <w:ind w:firstLine="0"/>
            </w:pPr>
            <w:r>
              <w:t>Below (-1.69)</w:t>
            </w:r>
          </w:p>
        </w:tc>
        <w:tc>
          <w:tcPr>
            <w:tcW w:w="1710" w:type="dxa"/>
            <w:tcBorders>
              <w:top w:val="single" w:sz="2" w:space="0" w:color="auto"/>
            </w:tcBorders>
          </w:tcPr>
          <w:p w14:paraId="707A5C62" w14:textId="77777777" w:rsidR="007E6666" w:rsidRDefault="007E6666" w:rsidP="007E6666">
            <w:pPr>
              <w:pStyle w:val="Compact"/>
              <w:ind w:firstLine="0"/>
            </w:pPr>
            <w:r>
              <w:t>Within (-0.91)</w:t>
            </w:r>
          </w:p>
        </w:tc>
      </w:tr>
      <w:tr w:rsidR="007E6666" w14:paraId="7F6C26FC" w14:textId="77777777" w:rsidTr="007E6666">
        <w:tc>
          <w:tcPr>
            <w:tcW w:w="1349" w:type="dxa"/>
            <w:vMerge/>
          </w:tcPr>
          <w:p w14:paraId="5578561A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048C1364" w14:textId="77777777" w:rsidR="007E6666" w:rsidRDefault="007E6666" w:rsidP="007E6666">
            <w:pPr>
              <w:pStyle w:val="Compact"/>
              <w:ind w:firstLine="0"/>
            </w:pPr>
            <w:r>
              <w:t>2018</w:t>
            </w:r>
          </w:p>
        </w:tc>
        <w:tc>
          <w:tcPr>
            <w:tcW w:w="1800" w:type="dxa"/>
          </w:tcPr>
          <w:p w14:paraId="0CD0A50B" w14:textId="77777777" w:rsidR="007E6666" w:rsidRDefault="007E6666" w:rsidP="007E6666">
            <w:pPr>
              <w:pStyle w:val="Compact"/>
              <w:ind w:firstLine="0"/>
            </w:pPr>
            <w:r>
              <w:t>Within (-0.97)</w:t>
            </w:r>
          </w:p>
        </w:tc>
        <w:tc>
          <w:tcPr>
            <w:tcW w:w="1800" w:type="dxa"/>
          </w:tcPr>
          <w:p w14:paraId="3B5855F0" w14:textId="77777777" w:rsidR="007E6666" w:rsidRDefault="007E6666" w:rsidP="007E6666">
            <w:pPr>
              <w:pStyle w:val="Compact"/>
              <w:ind w:firstLine="0"/>
            </w:pPr>
            <w:r>
              <w:t>Within (-0.42)</w:t>
            </w:r>
          </w:p>
        </w:tc>
        <w:tc>
          <w:tcPr>
            <w:tcW w:w="1891" w:type="dxa"/>
          </w:tcPr>
          <w:p w14:paraId="46E5A1D8" w14:textId="77777777" w:rsidR="007E6666" w:rsidRDefault="007E6666" w:rsidP="007E6666">
            <w:pPr>
              <w:pStyle w:val="Compact"/>
              <w:ind w:firstLine="0"/>
            </w:pPr>
            <w:r>
              <w:t>Below (-2.06)</w:t>
            </w:r>
          </w:p>
        </w:tc>
        <w:tc>
          <w:tcPr>
            <w:tcW w:w="1710" w:type="dxa"/>
          </w:tcPr>
          <w:p w14:paraId="727EA425" w14:textId="77777777" w:rsidR="007E6666" w:rsidRDefault="007E6666" w:rsidP="007E6666">
            <w:pPr>
              <w:pStyle w:val="Compact"/>
              <w:ind w:firstLine="0"/>
            </w:pPr>
            <w:r>
              <w:t>Below (-1.31)</w:t>
            </w:r>
          </w:p>
        </w:tc>
      </w:tr>
      <w:tr w:rsidR="007E6666" w14:paraId="712EBDD5" w14:textId="77777777" w:rsidTr="007E6666">
        <w:tc>
          <w:tcPr>
            <w:tcW w:w="1349" w:type="dxa"/>
          </w:tcPr>
          <w:p w14:paraId="73208203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41289FA8" w14:textId="77777777" w:rsidR="007E6666" w:rsidRDefault="007E6666" w:rsidP="007E6666">
            <w:pPr>
              <w:pStyle w:val="Compact"/>
              <w:ind w:firstLine="0"/>
            </w:pPr>
            <w:r>
              <w:t>2019</w:t>
            </w:r>
          </w:p>
        </w:tc>
        <w:tc>
          <w:tcPr>
            <w:tcW w:w="1800" w:type="dxa"/>
          </w:tcPr>
          <w:p w14:paraId="4E81BF88" w14:textId="77777777" w:rsidR="007E6666" w:rsidRDefault="007E6666" w:rsidP="007E6666">
            <w:pPr>
              <w:pStyle w:val="Compact"/>
              <w:ind w:firstLine="0"/>
            </w:pPr>
            <w:r>
              <w:t>Below (-1.54)</w:t>
            </w:r>
          </w:p>
        </w:tc>
        <w:tc>
          <w:tcPr>
            <w:tcW w:w="1800" w:type="dxa"/>
          </w:tcPr>
          <w:p w14:paraId="629D9387" w14:textId="77777777" w:rsidR="007E6666" w:rsidRDefault="007E6666" w:rsidP="007E6666">
            <w:pPr>
              <w:pStyle w:val="Compact"/>
              <w:ind w:firstLine="0"/>
            </w:pPr>
            <w:r>
              <w:t>Within (-0.89)</w:t>
            </w:r>
          </w:p>
        </w:tc>
        <w:tc>
          <w:tcPr>
            <w:tcW w:w="1891" w:type="dxa"/>
          </w:tcPr>
          <w:p w14:paraId="52319B0D" w14:textId="77777777" w:rsidR="007E6666" w:rsidRDefault="007E6666" w:rsidP="007E6666">
            <w:pPr>
              <w:pStyle w:val="Compact"/>
              <w:ind w:firstLine="0"/>
            </w:pPr>
            <w:r>
              <w:t>Below (-1.3)</w:t>
            </w:r>
          </w:p>
        </w:tc>
        <w:tc>
          <w:tcPr>
            <w:tcW w:w="1710" w:type="dxa"/>
          </w:tcPr>
          <w:p w14:paraId="541628F9" w14:textId="77777777" w:rsidR="007E6666" w:rsidRDefault="007E6666" w:rsidP="007E6666">
            <w:pPr>
              <w:pStyle w:val="Compact"/>
              <w:ind w:firstLine="0"/>
            </w:pPr>
            <w:r>
              <w:t>Within (-0.5)</w:t>
            </w:r>
          </w:p>
        </w:tc>
      </w:tr>
      <w:tr w:rsidR="007E6666" w14:paraId="053847E1" w14:textId="77777777" w:rsidTr="007E6666">
        <w:tc>
          <w:tcPr>
            <w:tcW w:w="1349" w:type="dxa"/>
          </w:tcPr>
          <w:p w14:paraId="29358B5E" w14:textId="77777777" w:rsidR="007E6666" w:rsidRDefault="007E6666" w:rsidP="007E6666">
            <w:pPr>
              <w:pStyle w:val="Compact"/>
            </w:pPr>
          </w:p>
        </w:tc>
        <w:tc>
          <w:tcPr>
            <w:tcW w:w="900" w:type="dxa"/>
          </w:tcPr>
          <w:p w14:paraId="063059B6" w14:textId="77777777" w:rsidR="007E6666" w:rsidRDefault="007E6666" w:rsidP="007E6666">
            <w:pPr>
              <w:pStyle w:val="Compact"/>
              <w:ind w:firstLine="0"/>
            </w:pPr>
            <w:r>
              <w:t>2020</w:t>
            </w:r>
          </w:p>
        </w:tc>
        <w:tc>
          <w:tcPr>
            <w:tcW w:w="1800" w:type="dxa"/>
          </w:tcPr>
          <w:p w14:paraId="07EE5650" w14:textId="77777777" w:rsidR="007E6666" w:rsidRDefault="007E6666" w:rsidP="007E6666">
            <w:pPr>
              <w:pStyle w:val="Compact"/>
              <w:ind w:firstLine="0"/>
            </w:pPr>
            <w:r>
              <w:t>Below (-1.24)</w:t>
            </w:r>
          </w:p>
        </w:tc>
        <w:tc>
          <w:tcPr>
            <w:tcW w:w="1800" w:type="dxa"/>
          </w:tcPr>
          <w:p w14:paraId="5D720192" w14:textId="77777777" w:rsidR="007E6666" w:rsidRDefault="007E6666" w:rsidP="007E6666">
            <w:pPr>
              <w:pStyle w:val="Compact"/>
              <w:ind w:firstLine="0"/>
            </w:pPr>
            <w:r>
              <w:t>Within (-0.65)</w:t>
            </w:r>
          </w:p>
        </w:tc>
        <w:tc>
          <w:tcPr>
            <w:tcW w:w="1891" w:type="dxa"/>
          </w:tcPr>
          <w:p w14:paraId="79B314F4" w14:textId="77777777" w:rsidR="007E6666" w:rsidRDefault="007E6666" w:rsidP="007E6666">
            <w:pPr>
              <w:pStyle w:val="Compact"/>
              <w:ind w:firstLine="0"/>
            </w:pPr>
            <w:r>
              <w:t>Within (-0.74)</w:t>
            </w:r>
          </w:p>
        </w:tc>
        <w:tc>
          <w:tcPr>
            <w:tcW w:w="1710" w:type="dxa"/>
          </w:tcPr>
          <w:p w14:paraId="6637C974" w14:textId="77777777" w:rsidR="007E6666" w:rsidRDefault="007E6666" w:rsidP="007E6666">
            <w:pPr>
              <w:pStyle w:val="Compact"/>
              <w:ind w:firstLine="0"/>
            </w:pPr>
            <w:r>
              <w:t>Within (0.1)</w:t>
            </w:r>
          </w:p>
        </w:tc>
      </w:tr>
    </w:tbl>
    <w:p w14:paraId="72C2D521" w14:textId="04EEC95D" w:rsidR="009322FF" w:rsidRDefault="009322FF"/>
    <w:sectPr w:rsidR="0093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7C"/>
    <w:rsid w:val="002874AA"/>
    <w:rsid w:val="00333883"/>
    <w:rsid w:val="00410580"/>
    <w:rsid w:val="00565AF2"/>
    <w:rsid w:val="0062367C"/>
    <w:rsid w:val="00633E03"/>
    <w:rsid w:val="007319C0"/>
    <w:rsid w:val="007E6666"/>
    <w:rsid w:val="009322FF"/>
    <w:rsid w:val="00B253D5"/>
    <w:rsid w:val="00E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3C0F"/>
  <w15:chartTrackingRefBased/>
  <w15:docId w15:val="{F372D9C6-45A7-4A63-A3F1-1C7E0BD6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7C"/>
    <w:pPr>
      <w:spacing w:after="200" w:line="240" w:lineRule="auto"/>
    </w:pPr>
    <w:rPr>
      <w:rFonts w:ascii="Arial" w:hAnsi="Arial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6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6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67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67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67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67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67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67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67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333883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62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6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67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67C"/>
    <w:pPr>
      <w:spacing w:before="160" w:after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67C"/>
    <w:pPr>
      <w:spacing w:after="160" w:line="278" w:lineRule="auto"/>
      <w:ind w:left="720"/>
      <w:contextualSpacing/>
    </w:pPr>
    <w:rPr>
      <w:rFonts w:asciiTheme="minorHAnsi" w:hAnsiTheme="minorHAns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3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67C"/>
    <w:rPr>
      <w:b/>
      <w:bCs/>
      <w:smallCaps/>
      <w:color w:val="0F4761" w:themeColor="accent1" w:themeShade="BF"/>
      <w:spacing w:val="5"/>
    </w:rPr>
  </w:style>
  <w:style w:type="paragraph" w:customStyle="1" w:styleId="Compact">
    <w:name w:val="Compact"/>
    <w:basedOn w:val="BodyText"/>
    <w:qFormat/>
    <w:rsid w:val="0062367C"/>
    <w:pPr>
      <w:spacing w:before="36" w:after="36" w:line="360" w:lineRule="auto"/>
      <w:ind w:firstLine="360"/>
    </w:pPr>
  </w:style>
  <w:style w:type="paragraph" w:customStyle="1" w:styleId="TableCaption">
    <w:name w:val="Table Caption"/>
    <w:basedOn w:val="Caption"/>
    <w:qFormat/>
    <w:rsid w:val="0062367C"/>
    <w:pPr>
      <w:keepNext/>
      <w:spacing w:after="120"/>
      <w:jc w:val="center"/>
    </w:pPr>
    <w:rPr>
      <w:iCs w:val="0"/>
      <w:color w:val="auto"/>
      <w:sz w:val="22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236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367C"/>
    <w:rPr>
      <w:rFonts w:ascii="Arial" w:hAnsi="Arial"/>
      <w:kern w:val="0"/>
      <w:sz w:val="22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67C"/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McGranahan, Devan - REE-ARS</dc:creator>
  <cp:keywords/>
  <dc:description/>
  <cp:lastModifiedBy>McGranahan, Devan - REE-ARS</cp:lastModifiedBy>
  <cp:revision>5</cp:revision>
  <dcterms:created xsi:type="dcterms:W3CDTF">2025-04-17T22:42:00Z</dcterms:created>
  <dcterms:modified xsi:type="dcterms:W3CDTF">2025-04-18T20:20:00Z</dcterms:modified>
</cp:coreProperties>
</file>