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0.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Figure 1: Distribution of weather, fuel, and fire behavior data for fires in southwestern North Dakota (Hettinger, dark maroon) and central North Dakota (Central Grasslands, light blue). Horizontal gray lines denote 25%, 50% (median) and 75% quantiles; triangles are arithmetic means. Means and standard deviation are also reported in Supplemental Information Table 1. VPD = Vapor pressure deficit.</w:t>
      </w:r>
      <w:r>
        <w:t xml:space="preserve"> </w:t>
      </w:r>
      <w:r>
        <w:drawing>
          <wp:inline>
            <wp:extent cx="5544151" cy="7623208"/>
            <wp:effectExtent b="0" l="0" r="0" t="0"/>
            <wp:docPr descr="Figure 1: Distribution of weather, fuel, and fire behavior data for fires in southwestern North Dakota (Hettinger, dark maroon) and central North Dakota (Central Grasslands, light blue). Horizontal gray lines denote 25%, 50% (median) and 75% quantiles; triangles are arithmetic means. Means and standard deviation are also reported in Supplemental Information Table 1. VPD = Vapor pressure deficit." title="" id="1" name="Picture"/>
            <a:graphic>
              <a:graphicData uri="http://schemas.openxmlformats.org/drawingml/2006/picture">
                <pic:pic>
                  <pic:nvPicPr>
                    <pic:cNvPr descr="FigureGenerator_r1_files/figure-docx/data_summary_gg-1.png" id="0" name="Picture"/>
                    <pic:cNvPicPr>
                      <a:picLocks noChangeArrowheads="1" noChangeAspect="1"/>
                    </pic:cNvPicPr>
                  </pic:nvPicPr>
                  <pic:blipFill>
                    <a:blip r:embed="rId20"/>
                    <a:stretch>
                      <a:fillRect/>
                    </a:stretch>
                  </pic:blipFill>
                  <pic:spPr bwMode="auto">
                    <a:xfrm>
                      <a:off x="0" y="0"/>
                      <a:ext cx="5544151" cy="7623208"/>
                    </a:xfrm>
                    <a:prstGeom prst="rect">
                      <a:avLst/>
                    </a:prstGeom>
                    <a:noFill/>
                    <a:ln w="9525">
                      <a:noFill/>
                      <a:headEnd/>
                      <a:tailEnd/>
                    </a:ln>
                  </pic:spPr>
                </pic:pic>
              </a:graphicData>
            </a:graphic>
          </wp:inline>
        </w:drawing>
      </w:r>
    </w:p>
    <w:p>
      <w:r>
        <w:br w:type="page"/>
      </w:r>
    </w:p>
    <w:p>
      <w:pPr>
        <w:pStyle w:val="BodyText"/>
      </w:pPr>
      <w:r>
        <w:t xml:space="preserve">Figure 2: Principal Components Analysis of fire behavior data (response variables in blue; rate of spread (ROS), temperature above surface (flame ºC), and temperature at soil surface (soil ºC) for prescribed burns on rangeland at Hettinger (H), in southwestern North Dakota, and Central Grasslands (CG), in central North Dakota. No difference between locations (P = 0.11). Total variance explained in these two axes = 86%.</w:t>
      </w:r>
      <w:r>
        <w:t xml:space="preserve"> </w:t>
      </w:r>
      <w:r>
        <w:drawing>
          <wp:inline>
            <wp:extent cx="5943600" cy="3657600"/>
            <wp:effectExtent b="0" l="0" r="0" t="0"/>
            <wp:docPr descr="Figure 2: Principal Components Analysis of fire behavior data (response variables in blue; rate of spread (ROS), temperature above surface (flame ºC), and temperature at soil surface (soil ºC) for prescribed burns on rangeland at Hettinger (H), in southwestern North Dakota, and Central Grasslands (CG), in central North Dakota. No difference between locations (P = 0.11). Total variance explained in these two axes = 86%." title="" id="1" name="Picture"/>
            <a:graphic>
              <a:graphicData uri="http://schemas.openxmlformats.org/drawingml/2006/picture">
                <pic:pic>
                  <pic:nvPicPr>
                    <pic:cNvPr descr="FigureGenerator_r1_files/figure-docx/pca_gg-1.png" id="0" name="Picture"/>
                    <pic:cNvPicPr>
                      <a:picLocks noChangeArrowheads="1" noChangeAspect="1"/>
                    </pic:cNvPicPr>
                  </pic:nvPicPr>
                  <pic:blipFill>
                    <a:blip r:embed="rId21"/>
                    <a:stretch>
                      <a:fillRect/>
                    </a:stretch>
                  </pic:blipFill>
                  <pic:spPr bwMode="auto">
                    <a:xfrm>
                      <a:off x="0" y="0"/>
                      <a:ext cx="5943600" cy="3657600"/>
                    </a:xfrm>
                    <a:prstGeom prst="rect">
                      <a:avLst/>
                    </a:prstGeom>
                    <a:noFill/>
                    <a:ln w="9525">
                      <a:noFill/>
                      <a:headEnd/>
                      <a:tailEnd/>
                    </a:ln>
                  </pic:spPr>
                </pic:pic>
              </a:graphicData>
            </a:graphic>
          </wp:inline>
        </w:drawing>
      </w:r>
    </w:p>
    <w:p>
      <w:r>
        <w:br w:type="page"/>
      </w:r>
    </w:p>
    <w:p>
      <w:pPr>
        <w:pStyle w:val="BodyText"/>
      </w:pPr>
      <w:r>
        <w:t xml:space="preserve">Figure 3: Regression coefficients and 95% confidence intervals for fuel and weather terms from models for maximum temperature at 15 cm above the soil surface (flame), maximum temperature at the soil surface (soil), and rate of spread.</w:t>
      </w:r>
      <w:r>
        <w:t xml:space="preserve"> </w:t>
      </w:r>
      <w:r>
        <w:drawing>
          <wp:inline>
            <wp:extent cx="5943600" cy="2971800"/>
            <wp:effectExtent b="0" l="0" r="0" t="0"/>
            <wp:docPr descr="Figure 3: Regression coefficients and 95% confidence intervals for fuel and weather terms from models for maximum temperature at 15 cm above the soil surface (flame), maximum temperature at the soil surface (soil), and rate of spread." title="" id="1" name="Picture"/>
            <a:graphic>
              <a:graphicData uri="http://schemas.openxmlformats.org/drawingml/2006/picture">
                <pic:pic>
                  <pic:nvPicPr>
                    <pic:cNvPr descr="FigureGenerator_r1_files/figure-docx/CI_gg-1.png" id="0" name="Picture"/>
                    <pic:cNvPicPr>
                      <a:picLocks noChangeArrowheads="1" noChangeAspect="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sectPr w:rsidR="00247478" w:rsidSect="0073209C">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ejaVu Sans">
    <w:altName w:val="Verdana"/>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B428E4"/>
    <w:pPr>
      <w:keepNext/>
      <w:keepLines/>
      <w:spacing w:before="200" w:after="0"/>
      <w:outlineLvl w:val="2"/>
    </w:pPr>
    <w:rPr>
      <w:rFonts w:ascii="Cambria" w:eastAsiaTheme="majorEastAsia" w:hAnsi="Cambria" w:cstheme="majorBidi"/>
      <w:i/>
      <w:iCs/>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674</Words>
  <Characters>3844</Characters>
  <Application>Microsoft Office Word</Application>
  <DocSecurity>0</DocSecurity>
  <Lines>32</Lines>
  <Paragraphs>9</Paragraphs>
  <ScaleCrop>false</ScaleCrop>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2022-01-28T17:10:55Z</dcterms:created>
  <dcterms:modified xsi:type="dcterms:W3CDTF">2022-01-28T17:10:55Z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