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480" w:lineRule="auto"/>
        <w:ind w:left="720" w:hanging="360"/>
        <w:rPr>
          <w:u w:val="none"/>
        </w:rPr>
      </w:pPr>
      <w:r w:rsidDel="00000000" w:rsidR="00000000" w:rsidRPr="00000000">
        <w:rPr>
          <w:rtl w:val="0"/>
        </w:rPr>
        <w:t xml:space="preserve">Difference between Absolute and Relative Units:</w:t>
      </w:r>
    </w:p>
    <w:p w:rsidR="00000000" w:rsidDel="00000000" w:rsidP="00000000" w:rsidRDefault="00000000" w:rsidRPr="00000000" w14:paraId="00000002">
      <w:pPr>
        <w:numPr>
          <w:ilvl w:val="0"/>
          <w:numId w:val="1"/>
        </w:numPr>
        <w:spacing w:line="480" w:lineRule="auto"/>
        <w:ind w:left="720" w:hanging="360"/>
        <w:rPr>
          <w:u w:val="none"/>
        </w:rPr>
      </w:pPr>
      <w:r w:rsidDel="00000000" w:rsidR="00000000" w:rsidRPr="00000000">
        <w:rPr>
          <w:rtl w:val="0"/>
        </w:rPr>
        <w:t xml:space="preserve">Absolute Units: These units maintain a fixed value regardless of the context or device. They are not influenced by the size of the viewport or the parent element. Examples of absolute units include pixels (px), inches (in), centimeters (cm), millimeters (mm), and points (pt).</w:t>
      </w:r>
    </w:p>
    <w:p w:rsidR="00000000" w:rsidDel="00000000" w:rsidP="00000000" w:rsidRDefault="00000000" w:rsidRPr="00000000" w14:paraId="00000003">
      <w:pPr>
        <w:numPr>
          <w:ilvl w:val="0"/>
          <w:numId w:val="1"/>
        </w:numPr>
        <w:spacing w:line="480" w:lineRule="auto"/>
        <w:ind w:left="720" w:hanging="360"/>
        <w:rPr>
          <w:u w:val="none"/>
        </w:rPr>
      </w:pPr>
      <w:r w:rsidDel="00000000" w:rsidR="00000000" w:rsidRPr="00000000">
        <w:rPr>
          <w:rtl w:val="0"/>
        </w:rPr>
        <w:t xml:space="preserve">Relative Units: These units are relative to other values, such as the font size of the parent element or the viewport dimensions. They provide more flexibility and responsiveness to different screen sizes and devices. Examples of relative units include percentages (%), em, rem, vh (viewport height), vw (viewport width), vmin (minimum of viewport height or width), and vmax (maximum of viewport height or width).</w:t>
      </w:r>
    </w:p>
    <w:p w:rsidR="00000000" w:rsidDel="00000000" w:rsidP="00000000" w:rsidRDefault="00000000" w:rsidRPr="00000000" w14:paraId="00000004">
      <w:pPr>
        <w:numPr>
          <w:ilvl w:val="0"/>
          <w:numId w:val="1"/>
        </w:numPr>
        <w:spacing w:line="480" w:lineRule="auto"/>
        <w:ind w:left="720" w:hanging="360"/>
        <w:rPr>
          <w:u w:val="none"/>
        </w:rPr>
      </w:pPr>
      <w:r w:rsidDel="00000000" w:rsidR="00000000" w:rsidRPr="00000000">
        <w:rPr>
          <w:rtl w:val="0"/>
        </w:rPr>
        <w:t xml:space="preserve">Different Absolute Units:</w:t>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t xml:space="preserve">Pixels (px): Represents a fixed-length unit based on the device's pixel density. 1px is equal to one physical pixel on the screen.</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Inches (in): Represents an absolute length unit based on inches.</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Centimeters (cm): Represents an absolute length unit based on centimeters.</w:t>
      </w:r>
    </w:p>
    <w:p w:rsidR="00000000" w:rsidDel="00000000" w:rsidP="00000000" w:rsidRDefault="00000000" w:rsidRPr="00000000" w14:paraId="00000008">
      <w:pPr>
        <w:numPr>
          <w:ilvl w:val="0"/>
          <w:numId w:val="1"/>
        </w:numPr>
        <w:spacing w:line="480" w:lineRule="auto"/>
        <w:ind w:left="720" w:hanging="360"/>
        <w:rPr>
          <w:u w:val="none"/>
        </w:rPr>
      </w:pPr>
      <w:r w:rsidDel="00000000" w:rsidR="00000000" w:rsidRPr="00000000">
        <w:rPr>
          <w:rtl w:val="0"/>
        </w:rPr>
        <w:t xml:space="preserve">Millimeters (mm): Represents an absolute length unit based on millimeters.</w:t>
      </w:r>
    </w:p>
    <w:p w:rsidR="00000000" w:rsidDel="00000000" w:rsidP="00000000" w:rsidRDefault="00000000" w:rsidRPr="00000000" w14:paraId="00000009">
      <w:pPr>
        <w:numPr>
          <w:ilvl w:val="0"/>
          <w:numId w:val="1"/>
        </w:numPr>
        <w:spacing w:line="480" w:lineRule="auto"/>
        <w:ind w:left="720" w:hanging="360"/>
        <w:rPr>
          <w:u w:val="none"/>
        </w:rPr>
      </w:pPr>
      <w:r w:rsidDel="00000000" w:rsidR="00000000" w:rsidRPr="00000000">
        <w:rPr>
          <w:rtl w:val="0"/>
        </w:rPr>
        <w:t xml:space="preserve">Points (pt): Represents an absolute length unit commonly used in print media, with 1pt equal to 1/72 of an inch.</w:t>
      </w:r>
    </w:p>
    <w:p w:rsidR="00000000" w:rsidDel="00000000" w:rsidP="00000000" w:rsidRDefault="00000000" w:rsidRPr="00000000" w14:paraId="0000000A">
      <w:pPr>
        <w:numPr>
          <w:ilvl w:val="0"/>
          <w:numId w:val="1"/>
        </w:numPr>
        <w:spacing w:line="480" w:lineRule="auto"/>
        <w:ind w:left="720" w:hanging="360"/>
        <w:rPr>
          <w:u w:val="none"/>
        </w:rPr>
      </w:pPr>
      <w:r w:rsidDel="00000000" w:rsidR="00000000" w:rsidRPr="00000000">
        <w:rPr>
          <w:rtl w:val="0"/>
        </w:rPr>
        <w:t xml:space="preserve">Different Relative Units:</w:t>
      </w:r>
    </w:p>
    <w:p w:rsidR="00000000" w:rsidDel="00000000" w:rsidP="00000000" w:rsidRDefault="00000000" w:rsidRPr="00000000" w14:paraId="0000000B">
      <w:pPr>
        <w:numPr>
          <w:ilvl w:val="0"/>
          <w:numId w:val="1"/>
        </w:numPr>
        <w:spacing w:line="480" w:lineRule="auto"/>
        <w:ind w:left="720" w:hanging="360"/>
        <w:rPr>
          <w:u w:val="none"/>
        </w:rPr>
      </w:pPr>
      <w:r w:rsidDel="00000000" w:rsidR="00000000" w:rsidRPr="00000000">
        <w:rPr>
          <w:rtl w:val="0"/>
        </w:rPr>
        <w:t xml:space="preserve">Percentages (%): Represents a relative unit that is calculated based on the parent element's value. For example, if the parent element has a font size of 16px and you set the font size of a child element to 50%, it would be 8px.</w:t>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EM (em): Represents a relative unit relative to the font size of the element itself. For example, if the font size of an element is 16px and you set the font size to 1.5em, it would be 24px (1.5 * 16px).</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REM (rem): Represents a relative unit relative to the root (html) element's font size. It ensures consistency across the entire document regardless of nesting.</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Viewport Height (vh): Represents a relative unit relative to the height of the viewport. For example, 50vh would be 50% of the viewport height.</w:t>
      </w:r>
    </w:p>
    <w:p w:rsidR="00000000" w:rsidDel="00000000" w:rsidP="00000000" w:rsidRDefault="00000000" w:rsidRPr="00000000" w14:paraId="0000000F">
      <w:pPr>
        <w:numPr>
          <w:ilvl w:val="0"/>
          <w:numId w:val="1"/>
        </w:numPr>
        <w:spacing w:line="480" w:lineRule="auto"/>
        <w:ind w:left="720" w:hanging="360"/>
        <w:rPr>
          <w:u w:val="none"/>
        </w:rPr>
      </w:pPr>
      <w:r w:rsidDel="00000000" w:rsidR="00000000" w:rsidRPr="00000000">
        <w:rPr>
          <w:rtl w:val="0"/>
        </w:rPr>
        <w:t xml:space="preserve">Viewport Width (vw): Represents a relative unit relative to the width of the viewport. For example, 25vw would be 25% of the viewport width.</w:t>
      </w:r>
    </w:p>
    <w:p w:rsidR="00000000" w:rsidDel="00000000" w:rsidP="00000000" w:rsidRDefault="00000000" w:rsidRPr="00000000" w14:paraId="00000010">
      <w:pPr>
        <w:numPr>
          <w:ilvl w:val="0"/>
          <w:numId w:val="1"/>
        </w:numPr>
        <w:spacing w:line="480" w:lineRule="auto"/>
        <w:ind w:left="720" w:hanging="360"/>
        <w:rPr>
          <w:u w:val="none"/>
        </w:rPr>
      </w:pPr>
      <w:r w:rsidDel="00000000" w:rsidR="00000000" w:rsidRPr="00000000">
        <w:rPr>
          <w:rtl w:val="0"/>
        </w:rPr>
        <w:t xml:space="preserve">Viewport Minimum (vmin): Represents a relative unit relative to the smaller dimension (height or width) of the viewport.</w:t>
      </w:r>
    </w:p>
    <w:p w:rsidR="00000000" w:rsidDel="00000000" w:rsidP="00000000" w:rsidRDefault="00000000" w:rsidRPr="00000000" w14:paraId="00000011">
      <w:pPr>
        <w:numPr>
          <w:ilvl w:val="0"/>
          <w:numId w:val="1"/>
        </w:numPr>
        <w:spacing w:line="480" w:lineRule="auto"/>
        <w:ind w:left="720" w:hanging="360"/>
        <w:rPr>
          <w:u w:val="none"/>
        </w:rPr>
      </w:pPr>
      <w:r w:rsidDel="00000000" w:rsidR="00000000" w:rsidRPr="00000000">
        <w:rPr>
          <w:rtl w:val="0"/>
        </w:rPr>
        <w:t xml:space="preserve">Viewport Maximum (vmax): Represents a relative unit relative to the larger dimension (height or width) of the viewport.</w:t>
      </w:r>
    </w:p>
    <w:p w:rsidR="00000000" w:rsidDel="00000000" w:rsidP="00000000" w:rsidRDefault="00000000" w:rsidRPr="00000000" w14:paraId="00000012">
      <w:pPr>
        <w:numPr>
          <w:ilvl w:val="0"/>
          <w:numId w:val="1"/>
        </w:numPr>
        <w:spacing w:line="480" w:lineRule="auto"/>
        <w:ind w:left="720" w:hanging="360"/>
        <w:rPr>
          <w:u w:val="none"/>
        </w:rPr>
      </w:pPr>
      <w:r w:rsidDel="00000000" w:rsidR="00000000" w:rsidRPr="00000000">
        <w:rPr>
          <w:rtl w:val="0"/>
        </w:rPr>
        <w:t xml:space="preserve">It's important to understand and experiment with different CSS measurement units to ensure responsive and scalable designs across various devices and screen sizes.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