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Times New Roman" w:cs="Times New Roman" w:eastAsia="Times New Roman" w:hAnsi="Times New Roman"/>
          <w:b/>
          <w:bCs/>
          <w:color w:val="1F4E79"/>
          <w:sz w:val="36"/>
          <w:szCs w:val="36"/>
        </w:rPr>
        <w:t xml:space="preserve">BLOCKCHAIN-BASED REAL ESTATE MANAGEMENT SYSTEM</w:t>
      </w:r>
    </w:p>
    <w:p>
      <w:r>
        <w:t xml:space="preserve"/>
      </w:r>
    </w:p>
    <w:p>
      <w:pPr>
        <w:spacing w:after="120" w:before="120"/>
        <w:jc w:val="center"/>
      </w:pPr>
      <w:r>
        <w:rPr>
          <w:rFonts w:ascii="Times New Roman" w:cs="Times New Roman" w:eastAsia="Times New Roman" w:hAnsi="Times New Roman"/>
          <w:b/>
          <w:bCs/>
          <w:sz w:val="28"/>
          <w:szCs w:val="28"/>
        </w:rPr>
        <w:t xml:space="preserve">A PROJECT REPORT</w:t>
      </w:r>
    </w:p>
    <w:p>
      <w:r>
        <w:t xml:space="preserve"/>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r>
        <w:t xml:space="preserve"/>
      </w:r>
    </w:p>
    <w:p>
      <w:pPr>
        <w:spacing w:after="120" w:before="120"/>
        <w:jc w:val="center"/>
      </w:pPr>
      <w:r>
        <w:rPr>
          <w:rFonts w:ascii="Times New Roman" w:cs="Times New Roman" w:eastAsia="Times New Roman" w:hAnsi="Times New Roman"/>
          <w:b/>
          <w:bCs/>
          <w:sz w:val="24"/>
          <w:szCs w:val="24"/>
        </w:rPr>
        <w:t xml:space="preserve">Devansh Jha (2022003043)</w:t>
      </w:r>
    </w:p>
    <w:p>
      <w:pPr>
        <w:spacing w:after="120" w:before="120"/>
        <w:jc w:val="center"/>
      </w:pPr>
      <w:r>
        <w:rPr>
          <w:rFonts w:ascii="Times New Roman" w:cs="Times New Roman" w:eastAsia="Times New Roman" w:hAnsi="Times New Roman"/>
          <w:b/>
          <w:bCs/>
          <w:sz w:val="24"/>
          <w:szCs w:val="24"/>
        </w:rPr>
        <w:t xml:space="preserve">Purushottam Kumar (2022344698)</w:t>
      </w:r>
    </w:p>
    <w:p>
      <w:r>
        <w:t xml:space="preserve"/>
      </w:r>
    </w:p>
    <w:p>
      <w:r>
        <w:t xml:space="preserve"/>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In partial fulfilment of the requirements for the award of the degree of</w:t>
      </w:r>
    </w:p>
    <w:p>
      <w:r>
        <w:t xml:space="preserve"/>
      </w:r>
    </w:p>
    <w:p>
      <w:pPr>
        <w:spacing w:after="120" w:before="120"/>
        <w:jc w:val="center"/>
      </w:pPr>
      <w:r>
        <w:rPr>
          <w:rFonts w:ascii="Times New Roman" w:cs="Times New Roman" w:eastAsia="Times New Roman" w:hAnsi="Times New Roman"/>
          <w:b/>
          <w:bCs/>
          <w:sz w:val="28"/>
          <w:szCs w:val="28"/>
        </w:rPr>
        <w:t xml:space="preserve">BACHELOR OF TECHNOLOGY</w:t>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in</w:t>
      </w:r>
    </w:p>
    <w:p>
      <w:pPr>
        <w:spacing w:after="120" w:before="120"/>
        <w:jc w:val="center"/>
      </w:pPr>
      <w:r>
        <w:rPr>
          <w:rFonts w:ascii="Times New Roman" w:cs="Times New Roman" w:eastAsia="Times New Roman" w:hAnsi="Times New Roman"/>
          <w:b/>
          <w:bCs/>
          <w:sz w:val="26"/>
          <w:szCs w:val="26"/>
        </w:rPr>
        <w:t xml:space="preserve">Computer Science &amp; Engineering</w:t>
      </w:r>
    </w:p>
    <w:p>
      <w:r>
        <w:t xml:space="preserve"/>
      </w:r>
    </w:p>
    <w:p>
      <w:r>
        <w:t xml:space="preserve"/>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Under the supervision of</w:t>
      </w:r>
    </w:p>
    <w:p>
      <w:pPr>
        <w:spacing w:after="120" w:before="120"/>
        <w:jc w:val="center"/>
      </w:pPr>
      <w:r>
        <w:rPr>
          <w:rFonts w:ascii="Times New Roman" w:cs="Times New Roman" w:eastAsia="Times New Roman" w:hAnsi="Times New Roman"/>
          <w:b/>
          <w:bCs/>
          <w:sz w:val="26"/>
          <w:szCs w:val="26"/>
        </w:rPr>
        <w:t xml:space="preserve">Dr. Bharat Bhushan</w:t>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Associate Professor</w:t>
      </w:r>
    </w:p>
    <w:p>
      <w:pPr>
        <w:spacing w:after="120" w:before="120" w:line="360"/>
        <w:jc w:val="center"/>
      </w:pPr>
      <w:r>
        <w:rPr>
          <w:rFonts w:ascii="Times New Roman" w:cs="Times New Roman" w:eastAsia="Times New Roman" w:hAnsi="Times New Roman"/>
          <w:b w:val="false"/>
          <w:bCs w:val="false"/>
          <w:i w:val="false"/>
          <w:iCs w:val="false"/>
          <w:color w:val="000000"/>
          <w:sz w:val="24"/>
          <w:szCs w:val="24"/>
        </w:rPr>
        <w:t xml:space="preserve">Department of Computer Science &amp; Engineering</w:t>
      </w:r>
    </w:p>
    <w:p>
      <w:r>
        <w:t xml:space="preserve"/>
      </w:r>
    </w:p>
    <w:p>
      <w:r>
        <w:t xml:space="preserve"/>
      </w:r>
    </w:p>
    <w:p>
      <w:r>
        <w:t xml:space="preserve"/>
      </w:r>
    </w:p>
    <w:p>
      <w:pPr>
        <w:pBdr>
          <w:top w:val="single" w:color="1F4E79" w:sz="6" w:space="6"/>
        </w:pBdr>
        <w:spacing w:after="80" w:before="0"/>
        <w:jc w:val="center"/>
      </w:pPr>
      <w:r>
        <w:t xml:space="preserve"/>
      </w:r>
    </w:p>
    <w:p>
      <w:pPr>
        <w:spacing w:after="120" w:before="120"/>
        <w:jc w:val="center"/>
      </w:pPr>
      <w:r>
        <w:rPr>
          <w:rFonts w:ascii="Times New Roman" w:cs="Times New Roman" w:eastAsia="Times New Roman" w:hAnsi="Times New Roman"/>
          <w:b/>
          <w:bCs/>
          <w:sz w:val="24"/>
          <w:szCs w:val="24"/>
        </w:rPr>
        <w:t xml:space="preserve">SHARDA SCHOOL OF ENGINEERING AND TECHNOLOGY</w:t>
      </w:r>
    </w:p>
    <w:p>
      <w:pPr>
        <w:spacing w:after="120" w:before="120"/>
        <w:jc w:val="center"/>
      </w:pPr>
      <w:r>
        <w:rPr>
          <w:rFonts w:ascii="Times New Roman" w:cs="Times New Roman" w:eastAsia="Times New Roman" w:hAnsi="Times New Roman"/>
          <w:b/>
          <w:bCs/>
          <w:sz w:val="24"/>
          <w:szCs w:val="24"/>
        </w:rPr>
        <w:t xml:space="preserve">SHARDA UNIVERSITY, GREATER NOIDA – 201310</w:t>
      </w:r>
    </w:p>
    <w:p>
      <w:pPr>
        <w:spacing w:after="120" w:before="120"/>
        <w:jc w:val="center"/>
      </w:pPr>
      <w:r>
        <w:rPr>
          <w:rFonts w:ascii="Times New Roman" w:cs="Times New Roman" w:eastAsia="Times New Roman" w:hAnsi="Times New Roman"/>
          <w:b/>
          <w:bCs/>
          <w:sz w:val="24"/>
          <w:szCs w:val="24"/>
        </w:rPr>
        <w:t xml:space="preserve">APRIL, 2026</w:t>
      </w:r>
    </w:p>
    <w:p>
      <w:r>
        <w:br w:type="page"/>
      </w:r>
    </w:p>
    <w:p>
      <w:pPr>
        <w:spacing w:after="120" w:before="120"/>
        <w:jc w:val="center"/>
      </w:pPr>
      <w:r>
        <w:rPr>
          <w:rFonts w:ascii="Times New Roman" w:cs="Times New Roman" w:eastAsia="Times New Roman" w:hAnsi="Times New Roman"/>
          <w:b/>
          <w:bCs/>
          <w:sz w:val="32"/>
          <w:szCs w:val="32"/>
        </w:rPr>
        <w:t xml:space="preserve">CERTIFICATE</w:t>
      </w:r>
    </w:p>
    <w:p>
      <w:r>
        <w:t xml:space="preserve"/>
      </w:r>
    </w:p>
    <w:p>
      <w:pPr>
        <w:spacing w:after="100" w:before="100" w:line="360"/>
        <w:jc w:val="both"/>
      </w:pPr>
      <w:r>
        <w:rPr>
          <w:rFonts w:ascii="Times New Roman" w:cs="Times New Roman" w:eastAsia="Times New Roman" w:hAnsi="Times New Roman"/>
          <w:sz w:val="24"/>
          <w:szCs w:val="24"/>
        </w:rPr>
        <w:t xml:space="preserve">This is to certify that the project report entitled "Blockchain-Based Real Estate Management System" submitted by Devansh Jha (2022003043) and Purushottam Kumar (2022344698) to Sharda University in partial fulfilment of the requirements for the award of the degree of Bachelor of Technology in Computer Science &amp; Engineering constitutes a record of original work carried out by them under the guidance of the undersigned in the Department of Computer Science &amp; Engineering, Sharda School of Engineering and Technology, Sharda University, Greater Noida. The outcomes documented in this report have not been submitted elsewhere for any degree or diploma.</w:t>
      </w:r>
    </w:p>
    <w:p>
      <w:r>
        <w:t xml:space="preserve"/>
      </w:r>
    </w:p>
    <w:p>
      <w:r>
        <w:t xml:space="preserve"/>
      </w:r>
    </w:p>
    <w:p>
      <w:r>
        <w:t xml:space="preserve"/>
      </w:r>
    </w:p>
    <w:p>
      <w:pPr>
        <w:spacing w:after="40" w:before="120"/>
        <w:jc w:val="right"/>
      </w:pPr>
      <w:r>
        <w:rPr>
          <w:rFonts w:ascii="Times New Roman" w:cs="Times New Roman" w:eastAsia="Times New Roman" w:hAnsi="Times New Roman"/>
          <w:b/>
          <w:bCs/>
          <w:sz w:val="24"/>
          <w:szCs w:val="24"/>
        </w:rPr>
        <w:t xml:space="preserve">Signature of Guide</w:t>
      </w:r>
    </w:p>
    <w:p>
      <w:pPr>
        <w:spacing w:after="40" w:before="40"/>
        <w:jc w:val="right"/>
      </w:pPr>
      <w:r>
        <w:rPr>
          <w:rFonts w:ascii="Times New Roman" w:cs="Times New Roman" w:eastAsia="Times New Roman" w:hAnsi="Times New Roman"/>
          <w:sz w:val="24"/>
          <w:szCs w:val="24"/>
        </w:rPr>
        <w:t xml:space="preserve">Name: Dr. Bharat Bhushan</w:t>
      </w:r>
    </w:p>
    <w:p>
      <w:pPr>
        <w:spacing w:after="120" w:before="40"/>
        <w:jc w:val="right"/>
      </w:pPr>
      <w:r>
        <w:rPr>
          <w:rFonts w:ascii="Times New Roman" w:cs="Times New Roman" w:eastAsia="Times New Roman" w:hAnsi="Times New Roman"/>
          <w:sz w:val="24"/>
          <w:szCs w:val="24"/>
        </w:rPr>
        <w:t xml:space="preserve">Designation: Associate Professor</w:t>
      </w:r>
    </w:p>
    <w:p>
      <w:r>
        <w:t xml:space="preserve"/>
      </w:r>
    </w:p>
    <w:p>
      <w:r>
        <w:t xml:space="preserve"/>
      </w:r>
    </w:p>
    <w:p>
      <w:pPr>
        <w:spacing w:after="120" w:before="120" w:line="360"/>
        <w:jc w:val="left"/>
      </w:pPr>
      <w:r>
        <w:rPr>
          <w:rFonts w:ascii="Times New Roman" w:cs="Times New Roman" w:eastAsia="Times New Roman" w:hAnsi="Times New Roman"/>
          <w:b/>
          <w:bCs/>
          <w:i w:val="false"/>
          <w:iCs w:val="false"/>
          <w:color w:val="000000"/>
          <w:sz w:val="24"/>
          <w:szCs w:val="24"/>
        </w:rPr>
        <w:t xml:space="preserve">Signature of Head of Department</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Name: Prof. (Dr.) Sudeep Varshney</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Place: Sharda University</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Date: ________________________</w:t>
      </w:r>
    </w:p>
    <w:p>
      <w:r>
        <w:t xml:space="preserve"/>
      </w:r>
    </w:p>
    <w:p>
      <w:r>
        <w:t xml:space="preserve"/>
      </w:r>
    </w:p>
    <w:p>
      <w:pPr>
        <w:spacing w:after="40" w:before="120"/>
        <w:jc w:val="right"/>
      </w:pPr>
      <w:r>
        <w:rPr>
          <w:rFonts w:ascii="Times New Roman" w:cs="Times New Roman" w:eastAsia="Times New Roman" w:hAnsi="Times New Roman"/>
          <w:b/>
          <w:bCs/>
          <w:sz w:val="24"/>
          <w:szCs w:val="24"/>
        </w:rPr>
        <w:t xml:space="preserve">Signature of External Examiner</w:t>
      </w:r>
    </w:p>
    <w:p>
      <w:pPr>
        <w:spacing w:after="120" w:before="40"/>
        <w:jc w:val="right"/>
      </w:pPr>
      <w:r>
        <w:rPr>
          <w:rFonts w:ascii="Times New Roman" w:cs="Times New Roman" w:eastAsia="Times New Roman" w:hAnsi="Times New Roman"/>
          <w:sz w:val="24"/>
          <w:szCs w:val="24"/>
        </w:rPr>
        <w:t xml:space="preserve">Date: ________________________</w:t>
      </w:r>
    </w:p>
    <w:p>
      <w:r>
        <w:br w:type="page"/>
      </w:r>
    </w:p>
    <w:p>
      <w:pPr>
        <w:spacing w:after="120" w:before="120"/>
        <w:jc w:val="center"/>
      </w:pPr>
      <w:r>
        <w:rPr>
          <w:rFonts w:ascii="Times New Roman" w:cs="Times New Roman" w:eastAsia="Times New Roman" w:hAnsi="Times New Roman"/>
          <w:b/>
          <w:bCs/>
          <w:sz w:val="32"/>
          <w:szCs w:val="32"/>
        </w:rPr>
        <w:t xml:space="preserve">ACKNOWLEDGEMENT</w:t>
      </w:r>
    </w:p>
    <w:p>
      <w:r>
        <w:t xml:space="preserve"/>
      </w:r>
    </w:p>
    <w:p>
      <w:pPr>
        <w:spacing w:after="100" w:before="100" w:line="360"/>
        <w:jc w:val="both"/>
      </w:pPr>
      <w:r>
        <w:rPr>
          <w:rFonts w:ascii="Times New Roman" w:cs="Times New Roman" w:eastAsia="Times New Roman" w:hAnsi="Times New Roman"/>
          <w:sz w:val="24"/>
          <w:szCs w:val="24"/>
        </w:rPr>
        <w:t xml:space="preserve">This final-year capstone project represents the culmination of sustained collaborative research and development, made possible through the generous guidance, intellectual rigour, and moral support of several individuals to whom we owe profound gratitude.</w:t>
      </w:r>
    </w:p>
    <w:p>
      <w:pPr>
        <w:spacing w:after="100" w:before="100" w:line="360"/>
        <w:jc w:val="both"/>
      </w:pPr>
      <w:r>
        <w:rPr>
          <w:rFonts w:ascii="Times New Roman" w:cs="Times New Roman" w:eastAsia="Times New Roman" w:hAnsi="Times New Roman"/>
          <w:sz w:val="24"/>
          <w:szCs w:val="24"/>
        </w:rPr>
        <w:t xml:space="preserve">We begin by expressing our deepest appreciation to Dr. Bharat Bhushan, our committed project supervisor, whose scholarly insight, patient mentorship, and constructive feedback elevated the quality of this work considerably beyond what we had initially envisioned. His expertise in distributed systems and blockchain technology provided constant intellectual direction throughout both the research and implementation phases of this project.</w:t>
      </w:r>
    </w:p>
    <w:p>
      <w:pPr>
        <w:spacing w:after="100" w:before="100" w:line="360"/>
        <w:jc w:val="both"/>
      </w:pPr>
      <w:r>
        <w:rPr>
          <w:rFonts w:ascii="Times New Roman" w:cs="Times New Roman" w:eastAsia="Times New Roman" w:hAnsi="Times New Roman"/>
          <w:sz w:val="24"/>
          <w:szCs w:val="24"/>
        </w:rPr>
        <w:t xml:space="preserve">We are equally grateful to Prof. (Dr.) Sudeep Varshney, Head of the Department of Computer Science and Engineering at Sharda University, for facilitating access to the institutional resources, computing infrastructure, and academic environment that were essential for this technically demanding undertaking.</w:t>
      </w:r>
    </w:p>
    <w:p>
      <w:pPr>
        <w:spacing w:after="100" w:before="100" w:line="360"/>
        <w:jc w:val="both"/>
      </w:pPr>
      <w:r>
        <w:rPr>
          <w:rFonts w:ascii="Times New Roman" w:cs="Times New Roman" w:eastAsia="Times New Roman" w:hAnsi="Times New Roman"/>
          <w:sz w:val="24"/>
          <w:szCs w:val="24"/>
        </w:rPr>
        <w:t xml:space="preserve">We also acknowledge the broader open-source community whose tools — Hardhat, OpenZeppelin Contracts, Next.js, and the wider Ethereum developer ecosystem — formed the technical backbone of our implementation. Without the collective contributions of this community, a project of this scope would not have been feasible within our timeframe.</w:t>
      </w:r>
    </w:p>
    <w:p>
      <w:pPr>
        <w:spacing w:after="100" w:before="100" w:line="360"/>
        <w:jc w:val="both"/>
      </w:pPr>
      <w:r>
        <w:rPr>
          <w:rFonts w:ascii="Times New Roman" w:cs="Times New Roman" w:eastAsia="Times New Roman" w:hAnsi="Times New Roman"/>
          <w:sz w:val="24"/>
          <w:szCs w:val="24"/>
        </w:rPr>
        <w:t xml:space="preserve">Finally, our families and colleagues deserve heartfelt recognition for their unwavering moral support and patience throughout the duration of this project.</w:t>
      </w:r>
    </w:p>
    <w:p>
      <w:r>
        <w:t xml:space="preserve"/>
      </w:r>
    </w:p>
    <w:p>
      <w:r>
        <w:t xml:space="preserve"/>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Name and Signature of Students:</w:t>
      </w:r>
    </w:p>
    <w:p>
      <w:r>
        <w:t xml:space="preserve"/>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Devansh Jha (2022003043)</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Purushottam Kumar (2022344698)</w:t>
      </w:r>
    </w:p>
    <w:p>
      <w:r>
        <w:br w:type="page"/>
      </w:r>
    </w:p>
    <w:p>
      <w:pPr>
        <w:spacing w:after="120" w:before="120"/>
        <w:jc w:val="center"/>
      </w:pPr>
      <w:r>
        <w:rPr>
          <w:rFonts w:ascii="Times New Roman" w:cs="Times New Roman" w:eastAsia="Times New Roman" w:hAnsi="Times New Roman"/>
          <w:b/>
          <w:bCs/>
          <w:sz w:val="32"/>
          <w:szCs w:val="32"/>
        </w:rPr>
        <w:t xml:space="preserve">ABSTRACT</w:t>
      </w:r>
    </w:p>
    <w:p>
      <w:r>
        <w:t xml:space="preserve"/>
      </w:r>
    </w:p>
    <w:p>
      <w:pPr>
        <w:spacing w:after="100" w:before="100" w:line="360"/>
        <w:jc w:val="both"/>
      </w:pPr>
      <w:r>
        <w:rPr>
          <w:rFonts w:ascii="Times New Roman" w:cs="Times New Roman" w:eastAsia="Times New Roman" w:hAnsi="Times New Roman"/>
          <w:sz w:val="24"/>
          <w:szCs w:val="24"/>
        </w:rPr>
        <w:t xml:space="preserve">This report presents the Blockchain-Based Real Estate Management System (BBREMS), developed under the project name BlockEstates — a full-stack decentralised application prototype that addresses persistent inefficiencies in conventional property transaction workflows. The system leverages Ethereum smart contracts, ERC-721 non-fungible tokens, and IPFS-compatible decentralised storage to deliver end-to-end property transaction capabilities encompassing tokenised title representation, open marketplace listing, and wallet-authenticated atomic ownership transfer.</w:t>
      </w:r>
    </w:p>
    <w:p>
      <w:pPr>
        <w:spacing w:after="100" w:before="100" w:line="360"/>
        <w:jc w:val="both"/>
      </w:pPr>
      <w:r>
        <w:rPr>
          <w:rFonts w:ascii="Times New Roman" w:cs="Times New Roman" w:eastAsia="Times New Roman" w:hAnsi="Times New Roman"/>
          <w:sz w:val="24"/>
          <w:szCs w:val="24"/>
        </w:rPr>
        <w:t xml:space="preserve">The prototype was deployed on a local Hardhat development network and validated through fifty test transactions on the local environment and one hundred transactions on the Polygon Mumbai testnet. Key performance benchmarks include an average transaction confirmation latency of 3.4 seconds, transaction costs below USD 0.01 per operation on the Polygon Layer-2 network, and a system-wide test success rate of 97.3 percent. The smart contract test suite achieved complete execution success with greater than ninety-two percent line coverage.</w:t>
      </w:r>
    </w:p>
    <w:p>
      <w:pPr>
        <w:spacing w:after="100" w:before="100" w:line="360"/>
        <w:jc w:val="both"/>
      </w:pPr>
      <w:r>
        <w:rPr>
          <w:rFonts w:ascii="Times New Roman" w:cs="Times New Roman" w:eastAsia="Times New Roman" w:hAnsi="Times New Roman"/>
          <w:sz w:val="24"/>
          <w:szCs w:val="24"/>
        </w:rPr>
        <w:t xml:space="preserve">The design integrates three security-oriented Solidity patterns — Checks-Effects-Interactions, Pull Payment, and Role-Based Access Control — alongside OpenZeppelin's audited ReentrancyGuard and ERC-721 implementations to address the principal vulnerability classes identified in the smart contract security literature. The architecture is explicitly designed for Layer-2 production extension, with Polygon, Arbitrum, and Base identified as candidate networks.</w:t>
      </w:r>
    </w:p>
    <w:p>
      <w:pPr>
        <w:spacing w:after="100" w:before="100" w:line="360"/>
        <w:jc w:val="both"/>
      </w:pPr>
      <w:r>
        <w:rPr>
          <w:rFonts w:ascii="Times New Roman" w:cs="Times New Roman" w:eastAsia="Times New Roman" w:hAnsi="Times New Roman"/>
          <w:sz w:val="24"/>
          <w:szCs w:val="24"/>
        </w:rPr>
        <w:t xml:space="preserve">Practical limitations of the current prototype are candidly acknowledged, including the absence of legal enforceability in most jurisdictions, oracle dependency for real-world price feeds, gas-price volatility on public mainnets, and the lack of live integration with government land registries. A structured future enhancement roadmap addressing these limitations through zero-knowledge KYC, embedded wallet integration, and AI-assisted fraud detection is presented in the concluding chapter.</w:t>
      </w:r>
    </w:p>
    <w:p>
      <w:r>
        <w:br w:type="page"/>
      </w:r>
    </w:p>
    <w:p>
      <w:pPr>
        <w:spacing w:after="120" w:before="120"/>
        <w:jc w:val="center"/>
      </w:pPr>
      <w:r>
        <w:rPr>
          <w:rFonts w:ascii="Times New Roman" w:cs="Times New Roman" w:eastAsia="Times New Roman" w:hAnsi="Times New Roman"/>
          <w:b/>
          <w:bCs/>
          <w:sz w:val="32"/>
          <w:szCs w:val="32"/>
        </w:rPr>
        <w:t xml:space="preserve">TABLE OF CONTENTS</w:t>
      </w:r>
    </w:p>
    <w:p>
      <w:r>
        <w:t xml:space="preserve"/>
      </w:r>
    </w:p>
    <w:p>
      <w:pPr>
        <w:tabs>
          <w:tab w:val="right" w:pos="9000"/>
        </w:tabs>
        <w:spacing w:after="60" w:before="60"/>
      </w:pPr>
      <w:r>
        <w:rPr>
          <w:rFonts w:ascii="Times New Roman" w:cs="Times New Roman" w:eastAsia="Times New Roman" w:hAnsi="Times New Roman"/>
          <w:b/>
          <w:bCs/>
          <w:sz w:val="22"/>
          <w:szCs w:val="22"/>
        </w:rPr>
        <w:t xml:space="preserve">CERTIFICATE</w:t>
      </w:r>
      <w:r>
        <w:rPr>
          <w:rFonts w:ascii="Times New Roman" w:cs="Times New Roman" w:eastAsia="Times New Roman" w:hAnsi="Times New Roman"/>
          <w:sz w:val="22"/>
          <w:szCs w:val="22"/>
        </w:rPr>
        <w:t xml:space="preserve">	ii</w:t>
      </w:r>
    </w:p>
    <w:p>
      <w:pPr>
        <w:tabs>
          <w:tab w:val="right" w:pos="9000"/>
        </w:tabs>
        <w:spacing w:after="60" w:before="60"/>
      </w:pPr>
      <w:r>
        <w:rPr>
          <w:rFonts w:ascii="Times New Roman" w:cs="Times New Roman" w:eastAsia="Times New Roman" w:hAnsi="Times New Roman"/>
          <w:b/>
          <w:bCs/>
          <w:sz w:val="22"/>
          <w:szCs w:val="22"/>
        </w:rPr>
        <w:t xml:space="preserve">ACKNOWLEDGEMENT</w:t>
      </w:r>
      <w:r>
        <w:rPr>
          <w:rFonts w:ascii="Times New Roman" w:cs="Times New Roman" w:eastAsia="Times New Roman" w:hAnsi="Times New Roman"/>
          <w:sz w:val="22"/>
          <w:szCs w:val="22"/>
        </w:rPr>
        <w:t xml:space="preserve">	iii</w:t>
      </w:r>
    </w:p>
    <w:p>
      <w:pPr>
        <w:tabs>
          <w:tab w:val="right" w:pos="9000"/>
        </w:tabs>
        <w:spacing w:after="60" w:before="60"/>
      </w:pPr>
      <w:r>
        <w:rPr>
          <w:rFonts w:ascii="Times New Roman" w:cs="Times New Roman" w:eastAsia="Times New Roman" w:hAnsi="Times New Roman"/>
          <w:b/>
          <w:bCs/>
          <w:sz w:val="22"/>
          <w:szCs w:val="22"/>
        </w:rPr>
        <w:t xml:space="preserve">ABSTRACT</w:t>
      </w:r>
      <w:r>
        <w:rPr>
          <w:rFonts w:ascii="Times New Roman" w:cs="Times New Roman" w:eastAsia="Times New Roman" w:hAnsi="Times New Roman"/>
          <w:sz w:val="22"/>
          <w:szCs w:val="22"/>
        </w:rPr>
        <w:t xml:space="preserve">	iv</w:t>
      </w:r>
    </w:p>
    <w:p>
      <w:pPr>
        <w:tabs>
          <w:tab w:val="right" w:pos="9000"/>
        </w:tabs>
        <w:spacing w:after="60" w:before="60"/>
      </w:pPr>
      <w:r>
        <w:rPr>
          <w:rFonts w:ascii="Times New Roman" w:cs="Times New Roman" w:eastAsia="Times New Roman" w:hAnsi="Times New Roman"/>
          <w:b/>
          <w:bCs/>
          <w:sz w:val="22"/>
          <w:szCs w:val="22"/>
        </w:rPr>
        <w:t xml:space="preserve">LIST OF TABLES</w:t>
      </w:r>
      <w:r>
        <w:rPr>
          <w:rFonts w:ascii="Times New Roman" w:cs="Times New Roman" w:eastAsia="Times New Roman" w:hAnsi="Times New Roman"/>
          <w:sz w:val="22"/>
          <w:szCs w:val="22"/>
        </w:rPr>
        <w:t xml:space="preserve">	v</w:t>
      </w:r>
    </w:p>
    <w:p>
      <w:pPr>
        <w:tabs>
          <w:tab w:val="right" w:pos="9000"/>
        </w:tabs>
        <w:spacing w:after="60" w:before="60"/>
      </w:pPr>
      <w:r>
        <w:rPr>
          <w:rFonts w:ascii="Times New Roman" w:cs="Times New Roman" w:eastAsia="Times New Roman" w:hAnsi="Times New Roman"/>
          <w:b/>
          <w:bCs/>
          <w:sz w:val="22"/>
          <w:szCs w:val="22"/>
        </w:rPr>
        <w:t xml:space="preserve">LIST OF FIGURES</w:t>
      </w:r>
      <w:r>
        <w:rPr>
          <w:rFonts w:ascii="Times New Roman" w:cs="Times New Roman" w:eastAsia="Times New Roman" w:hAnsi="Times New Roman"/>
          <w:sz w:val="22"/>
          <w:szCs w:val="22"/>
        </w:rPr>
        <w:t xml:space="preserve">	vi</w:t>
      </w:r>
    </w:p>
    <w:p>
      <w:pPr>
        <w:tabs>
          <w:tab w:val="right" w:pos="9000"/>
        </w:tabs>
        <w:spacing w:after="60" w:before="60"/>
      </w:pPr>
      <w:r>
        <w:rPr>
          <w:rFonts w:ascii="Times New Roman" w:cs="Times New Roman" w:eastAsia="Times New Roman" w:hAnsi="Times New Roman"/>
          <w:b/>
          <w:bCs/>
          <w:sz w:val="22"/>
          <w:szCs w:val="22"/>
        </w:rPr>
        <w:t xml:space="preserve">SYMBOLS AND ABBREVIATIONS</w:t>
      </w:r>
      <w:r>
        <w:rPr>
          <w:rFonts w:ascii="Times New Roman" w:cs="Times New Roman" w:eastAsia="Times New Roman" w:hAnsi="Times New Roman"/>
          <w:sz w:val="22"/>
          <w:szCs w:val="22"/>
        </w:rPr>
        <w:t xml:space="preserve">	vii</w:t>
      </w:r>
    </w:p>
    <w:p>
      <w:pPr>
        <w:tabs>
          <w:tab w:val="right" w:pos="9000"/>
        </w:tabs>
        <w:spacing w:after="60" w:before="60"/>
      </w:pPr>
      <w:r>
        <w:rPr>
          <w:rFonts w:ascii="Times New Roman" w:cs="Times New Roman" w:eastAsia="Times New Roman" w:hAnsi="Times New Roman"/>
          <w:b/>
          <w:bCs/>
          <w:sz w:val="22"/>
          <w:szCs w:val="22"/>
        </w:rPr>
        <w:t xml:space="preserve">CHAPTER 1: INTRODUCTION</w:t>
      </w:r>
      <w:r>
        <w:rPr>
          <w:rFonts w:ascii="Times New Roman" w:cs="Times New Roman" w:eastAsia="Times New Roman" w:hAnsi="Times New Roman"/>
          <w:sz w:val="22"/>
          <w:szCs w:val="22"/>
        </w:rPr>
        <w:t xml:space="preserve">	1</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1.1  Motivation</w:t>
      </w:r>
      <w:r>
        <w:rPr>
          <w:rFonts w:ascii="Times New Roman" w:cs="Times New Roman" w:eastAsia="Times New Roman" w:hAnsi="Times New Roman"/>
          <w:sz w:val="22"/>
          <w:szCs w:val="22"/>
        </w:rPr>
        <w:t xml:space="preserve">	2</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1.2  System Overview</w:t>
      </w:r>
      <w:r>
        <w:rPr>
          <w:rFonts w:ascii="Times New Roman" w:cs="Times New Roman" w:eastAsia="Times New Roman" w:hAnsi="Times New Roman"/>
          <w:sz w:val="22"/>
          <w:szCs w:val="22"/>
        </w:rPr>
        <w:t xml:space="preserve">	2</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1.3  Expected Outcomes</w:t>
      </w:r>
      <w:r>
        <w:rPr>
          <w:rFonts w:ascii="Times New Roman" w:cs="Times New Roman" w:eastAsia="Times New Roman" w:hAnsi="Times New Roman"/>
          <w:sz w:val="22"/>
          <w:szCs w:val="22"/>
        </w:rPr>
        <w:t xml:space="preserve">	4</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1.4  Project Timeline</w:t>
      </w:r>
      <w:r>
        <w:rPr>
          <w:rFonts w:ascii="Times New Roman" w:cs="Times New Roman" w:eastAsia="Times New Roman" w:hAnsi="Times New Roman"/>
          <w:sz w:val="22"/>
          <w:szCs w:val="22"/>
        </w:rPr>
        <w:t xml:space="preserve">	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1.5  Risk Assessment</w:t>
      </w:r>
      <w:r>
        <w:rPr>
          <w:rFonts w:ascii="Times New Roman" w:cs="Times New Roman" w:eastAsia="Times New Roman" w:hAnsi="Times New Roman"/>
          <w:sz w:val="22"/>
          <w:szCs w:val="22"/>
        </w:rPr>
        <w:t xml:space="preserve">	6</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1.6  System Requirements</w:t>
      </w:r>
      <w:r>
        <w:rPr>
          <w:rFonts w:ascii="Times New Roman" w:cs="Times New Roman" w:eastAsia="Times New Roman" w:hAnsi="Times New Roman"/>
          <w:sz w:val="22"/>
          <w:szCs w:val="22"/>
        </w:rPr>
        <w:t xml:space="preserve">	6</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1.7  Report Organisation</w:t>
      </w:r>
      <w:r>
        <w:rPr>
          <w:rFonts w:ascii="Times New Roman" w:cs="Times New Roman" w:eastAsia="Times New Roman" w:hAnsi="Times New Roman"/>
          <w:sz w:val="22"/>
          <w:szCs w:val="22"/>
        </w:rPr>
        <w:t xml:space="preserve">	7</w:t>
      </w:r>
    </w:p>
    <w:p>
      <w:pPr>
        <w:tabs>
          <w:tab w:val="right" w:pos="9000"/>
        </w:tabs>
        <w:spacing w:after="60" w:before="60"/>
      </w:pPr>
      <w:r>
        <w:rPr>
          <w:rFonts w:ascii="Times New Roman" w:cs="Times New Roman" w:eastAsia="Times New Roman" w:hAnsi="Times New Roman"/>
          <w:b/>
          <w:bCs/>
          <w:sz w:val="22"/>
          <w:szCs w:val="22"/>
        </w:rPr>
        <w:t xml:space="preserve">CHAPTER 2: RESEARCH METHODOLOGY</w:t>
      </w:r>
      <w:r>
        <w:rPr>
          <w:rFonts w:ascii="Times New Roman" w:cs="Times New Roman" w:eastAsia="Times New Roman" w:hAnsi="Times New Roman"/>
          <w:sz w:val="22"/>
          <w:szCs w:val="22"/>
        </w:rPr>
        <w:t xml:space="preserve">	8</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2.1  Domain Identification</w:t>
      </w:r>
      <w:r>
        <w:rPr>
          <w:rFonts w:ascii="Times New Roman" w:cs="Times New Roman" w:eastAsia="Times New Roman" w:hAnsi="Times New Roman"/>
          <w:sz w:val="22"/>
          <w:szCs w:val="22"/>
        </w:rPr>
        <w:t xml:space="preserve">	8</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2.2  Problem Identification</w:t>
      </w:r>
      <w:r>
        <w:rPr>
          <w:rFonts w:ascii="Times New Roman" w:cs="Times New Roman" w:eastAsia="Times New Roman" w:hAnsi="Times New Roman"/>
          <w:sz w:val="22"/>
          <w:szCs w:val="22"/>
        </w:rPr>
        <w:t xml:space="preserve">	9</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2.3  Technology Stack Selection</w:t>
      </w:r>
      <w:r>
        <w:rPr>
          <w:rFonts w:ascii="Times New Roman" w:cs="Times New Roman" w:eastAsia="Times New Roman" w:hAnsi="Times New Roman"/>
          <w:sz w:val="22"/>
          <w:szCs w:val="22"/>
        </w:rPr>
        <w:t xml:space="preserve">	10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2.4  System Architecture Overview</w:t>
      </w:r>
      <w:r>
        <w:rPr>
          <w:rFonts w:ascii="Times New Roman" w:cs="Times New Roman" w:eastAsia="Times New Roman" w:hAnsi="Times New Roman"/>
          <w:sz w:val="22"/>
          <w:szCs w:val="22"/>
        </w:rPr>
        <w:t xml:space="preserve">	11</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2.5  System Modules</w:t>
      </w:r>
      <w:r>
        <w:rPr>
          <w:rFonts w:ascii="Times New Roman" w:cs="Times New Roman" w:eastAsia="Times New Roman" w:hAnsi="Times New Roman"/>
          <w:sz w:val="22"/>
          <w:szCs w:val="22"/>
        </w:rPr>
        <w:t xml:space="preserve">	12</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2.6  Data Model</w:t>
      </w:r>
      <w:r>
        <w:rPr>
          <w:rFonts w:ascii="Times New Roman" w:cs="Times New Roman" w:eastAsia="Times New Roman" w:hAnsi="Times New Roman"/>
          <w:sz w:val="22"/>
          <w:szCs w:val="22"/>
        </w:rPr>
        <w:t xml:space="preserve">	13</w:t>
      </w:r>
    </w:p>
    <w:p>
      <w:pPr>
        <w:tabs>
          <w:tab w:val="right" w:pos="9000"/>
        </w:tabs>
        <w:spacing w:after="60" w:before="60"/>
      </w:pPr>
      <w:r>
        <w:rPr>
          <w:rFonts w:ascii="Times New Roman" w:cs="Times New Roman" w:eastAsia="Times New Roman" w:hAnsi="Times New Roman"/>
          <w:b/>
          <w:bCs/>
          <w:sz w:val="22"/>
          <w:szCs w:val="22"/>
        </w:rPr>
        <w:t xml:space="preserve">CHAPTER 3: SYSTEM DESIGN</w:t>
      </w:r>
      <w:r>
        <w:rPr>
          <w:rFonts w:ascii="Times New Roman" w:cs="Times New Roman" w:eastAsia="Times New Roman" w:hAnsi="Times New Roman"/>
          <w:sz w:val="22"/>
          <w:szCs w:val="22"/>
        </w:rPr>
        <w:t xml:space="preserve">	14</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3.1  Design Philosophy</w:t>
      </w:r>
      <w:r>
        <w:rPr>
          <w:rFonts w:ascii="Times New Roman" w:cs="Times New Roman" w:eastAsia="Times New Roman" w:hAnsi="Times New Roman"/>
          <w:sz w:val="22"/>
          <w:szCs w:val="22"/>
        </w:rPr>
        <w:t xml:space="preserve">	14</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3.2  Theoretical Foundations</w:t>
      </w:r>
      <w:r>
        <w:rPr>
          <w:rFonts w:ascii="Times New Roman" w:cs="Times New Roman" w:eastAsia="Times New Roman" w:hAnsi="Times New Roman"/>
          <w:sz w:val="22"/>
          <w:szCs w:val="22"/>
        </w:rPr>
        <w:t xml:space="preserve">	15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3.3  Smart Contract Design Patterns</w:t>
      </w:r>
      <w:r>
        <w:rPr>
          <w:rFonts w:ascii="Times New Roman" w:cs="Times New Roman" w:eastAsia="Times New Roman" w:hAnsi="Times New Roman"/>
          <w:sz w:val="22"/>
          <w:szCs w:val="22"/>
        </w:rPr>
        <w:t xml:space="preserve">	15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3.4  System Workflow</w:t>
      </w:r>
      <w:r>
        <w:rPr>
          <w:rFonts w:ascii="Times New Roman" w:cs="Times New Roman" w:eastAsia="Times New Roman" w:hAnsi="Times New Roman"/>
          <w:sz w:val="22"/>
          <w:szCs w:val="22"/>
        </w:rPr>
        <w:t xml:space="preserve">	17</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3.5  Layered System Architecture</w:t>
      </w:r>
      <w:r>
        <w:rPr>
          <w:rFonts w:ascii="Times New Roman" w:cs="Times New Roman" w:eastAsia="Times New Roman" w:hAnsi="Times New Roman"/>
          <w:sz w:val="22"/>
          <w:szCs w:val="22"/>
        </w:rPr>
        <w:t xml:space="preserve">	17</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3.6  Platform Comparison</w:t>
      </w:r>
      <w:r>
        <w:rPr>
          <w:rFonts w:ascii="Times New Roman" w:cs="Times New Roman" w:eastAsia="Times New Roman" w:hAnsi="Times New Roman"/>
          <w:sz w:val="22"/>
          <w:szCs w:val="22"/>
        </w:rPr>
        <w:t xml:space="preserve">	19</w:t>
      </w:r>
    </w:p>
    <w:p>
      <w:pPr>
        <w:tabs>
          <w:tab w:val="right" w:pos="9000"/>
        </w:tabs>
        <w:spacing w:after="60" w:before="60"/>
      </w:pPr>
      <w:r>
        <w:rPr>
          <w:rFonts w:ascii="Times New Roman" w:cs="Times New Roman" w:eastAsia="Times New Roman" w:hAnsi="Times New Roman"/>
          <w:b/>
          <w:bCs/>
          <w:sz w:val="22"/>
          <w:szCs w:val="22"/>
        </w:rPr>
        <w:t xml:space="preserve">CHAPTER 4: DEVELOPMENT &amp; IMPLEMENTATION</w:t>
      </w:r>
      <w:r>
        <w:rPr>
          <w:rFonts w:ascii="Times New Roman" w:cs="Times New Roman" w:eastAsia="Times New Roman" w:hAnsi="Times New Roman"/>
          <w:sz w:val="22"/>
          <w:szCs w:val="22"/>
        </w:rPr>
        <w:t xml:space="preserve">	20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4.1  Development Overview</w:t>
      </w:r>
      <w:r>
        <w:rPr>
          <w:rFonts w:ascii="Times New Roman" w:cs="Times New Roman" w:eastAsia="Times New Roman" w:hAnsi="Times New Roman"/>
          <w:sz w:val="22"/>
          <w:szCs w:val="22"/>
        </w:rPr>
        <w:t xml:space="preserve">	20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4.2  Related Work</w:t>
      </w:r>
      <w:r>
        <w:rPr>
          <w:rFonts w:ascii="Times New Roman" w:cs="Times New Roman" w:eastAsia="Times New Roman" w:hAnsi="Times New Roman"/>
          <w:sz w:val="22"/>
          <w:szCs w:val="22"/>
        </w:rPr>
        <w:t xml:space="preserve">	21</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4.3  Feasibility Assessment</w:t>
      </w:r>
      <w:r>
        <w:rPr>
          <w:rFonts w:ascii="Times New Roman" w:cs="Times New Roman" w:eastAsia="Times New Roman" w:hAnsi="Times New Roman"/>
          <w:sz w:val="22"/>
          <w:szCs w:val="22"/>
        </w:rPr>
        <w:t xml:space="preserve">	24</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4.4  Implementation Specifications</w:t>
      </w:r>
      <w:r>
        <w:rPr>
          <w:rFonts w:ascii="Times New Roman" w:cs="Times New Roman" w:eastAsia="Times New Roman" w:hAnsi="Times New Roman"/>
          <w:sz w:val="22"/>
          <w:szCs w:val="22"/>
        </w:rPr>
        <w:t xml:space="preserve">	25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4.5  Smart Contract Deployment</w:t>
      </w:r>
      <w:r>
        <w:rPr>
          <w:rFonts w:ascii="Times New Roman" w:cs="Times New Roman" w:eastAsia="Times New Roman" w:hAnsi="Times New Roman"/>
          <w:sz w:val="22"/>
          <w:szCs w:val="22"/>
        </w:rPr>
        <w:t xml:space="preserve">	27</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4.6  Critical System Modules</w:t>
      </w:r>
      <w:r>
        <w:rPr>
          <w:rFonts w:ascii="Times New Roman" w:cs="Times New Roman" w:eastAsia="Times New Roman" w:hAnsi="Times New Roman"/>
          <w:sz w:val="22"/>
          <w:szCs w:val="22"/>
        </w:rPr>
        <w:t xml:space="preserve">	28</w:t>
      </w:r>
    </w:p>
    <w:p>
      <w:pPr>
        <w:tabs>
          <w:tab w:val="right" w:pos="9000"/>
        </w:tabs>
        <w:spacing w:after="60" w:before="60"/>
      </w:pPr>
      <w:r>
        <w:rPr>
          <w:rFonts w:ascii="Times New Roman" w:cs="Times New Roman" w:eastAsia="Times New Roman" w:hAnsi="Times New Roman"/>
          <w:b/>
          <w:bCs/>
          <w:sz w:val="22"/>
          <w:szCs w:val="22"/>
        </w:rPr>
        <w:t xml:space="preserve">CHAPTER 5: BLOCKCHAIN INTEGRATION MODULE</w:t>
      </w:r>
      <w:r>
        <w:rPr>
          <w:rFonts w:ascii="Times New Roman" w:cs="Times New Roman" w:eastAsia="Times New Roman" w:hAnsi="Times New Roman"/>
          <w:sz w:val="22"/>
          <w:szCs w:val="22"/>
        </w:rPr>
        <w:t xml:space="preserve">	30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5.1  Integration Overview</w:t>
      </w:r>
      <w:r>
        <w:rPr>
          <w:rFonts w:ascii="Times New Roman" w:cs="Times New Roman" w:eastAsia="Times New Roman" w:hAnsi="Times New Roman"/>
          <w:sz w:val="22"/>
          <w:szCs w:val="22"/>
        </w:rPr>
        <w:t xml:space="preserve">	30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5.2  Integration Challenges</w:t>
      </w:r>
      <w:r>
        <w:rPr>
          <w:rFonts w:ascii="Times New Roman" w:cs="Times New Roman" w:eastAsia="Times New Roman" w:hAnsi="Times New Roman"/>
          <w:sz w:val="22"/>
          <w:szCs w:val="22"/>
        </w:rPr>
        <w:t xml:space="preserve">	30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5.3  Implementation Details</w:t>
      </w:r>
      <w:r>
        <w:rPr>
          <w:rFonts w:ascii="Times New Roman" w:cs="Times New Roman" w:eastAsia="Times New Roman" w:hAnsi="Times New Roman"/>
          <w:sz w:val="22"/>
          <w:szCs w:val="22"/>
        </w:rPr>
        <w:t xml:space="preserve">	31</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5.4  Performance Measurements</w:t>
      </w:r>
      <w:r>
        <w:rPr>
          <w:rFonts w:ascii="Times New Roman" w:cs="Times New Roman" w:eastAsia="Times New Roman" w:hAnsi="Times New Roman"/>
          <w:sz w:val="22"/>
          <w:szCs w:val="22"/>
        </w:rPr>
        <w:t xml:space="preserve">	33</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5.5  Integration Summary</w:t>
      </w:r>
      <w:r>
        <w:rPr>
          <w:rFonts w:ascii="Times New Roman" w:cs="Times New Roman" w:eastAsia="Times New Roman" w:hAnsi="Times New Roman"/>
          <w:sz w:val="22"/>
          <w:szCs w:val="22"/>
        </w:rPr>
        <w:t xml:space="preserve">	34</w:t>
      </w:r>
    </w:p>
    <w:p>
      <w:pPr>
        <w:tabs>
          <w:tab w:val="right" w:pos="9000"/>
        </w:tabs>
        <w:spacing w:after="60" w:before="60"/>
      </w:pPr>
      <w:r>
        <w:rPr>
          <w:rFonts w:ascii="Times New Roman" w:cs="Times New Roman" w:eastAsia="Times New Roman" w:hAnsi="Times New Roman"/>
          <w:b/>
          <w:bCs/>
          <w:sz w:val="22"/>
          <w:szCs w:val="22"/>
        </w:rPr>
        <w:t xml:space="preserve">CHAPTER 6: RESULTS &amp; TESTING</w:t>
      </w:r>
      <w:r>
        <w:rPr>
          <w:rFonts w:ascii="Times New Roman" w:cs="Times New Roman" w:eastAsia="Times New Roman" w:hAnsi="Times New Roman"/>
          <w:sz w:val="22"/>
          <w:szCs w:val="22"/>
        </w:rPr>
        <w:t xml:space="preserve">	35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6.1  Testing Overview</w:t>
      </w:r>
      <w:r>
        <w:rPr>
          <w:rFonts w:ascii="Times New Roman" w:cs="Times New Roman" w:eastAsia="Times New Roman" w:hAnsi="Times New Roman"/>
          <w:sz w:val="22"/>
          <w:szCs w:val="22"/>
        </w:rPr>
        <w:t xml:space="preserve">	35</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6.2  Test Methodology &amp; Cases</w:t>
      </w:r>
      <w:r>
        <w:rPr>
          <w:rFonts w:ascii="Times New Roman" w:cs="Times New Roman" w:eastAsia="Times New Roman" w:hAnsi="Times New Roman"/>
          <w:sz w:val="22"/>
          <w:szCs w:val="22"/>
        </w:rPr>
        <w:t xml:space="preserve">	36</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6.3  Performance Results</w:t>
      </w:r>
      <w:r>
        <w:rPr>
          <w:rFonts w:ascii="Times New Roman" w:cs="Times New Roman" w:eastAsia="Times New Roman" w:hAnsi="Times New Roman"/>
          <w:sz w:val="22"/>
          <w:szCs w:val="22"/>
        </w:rPr>
        <w:t xml:space="preserve">	38</w:t>
      </w:r>
    </w:p>
    <w:p>
      <w:pPr>
        <w:tabs>
          <w:tab w:val="right" w:pos="9000"/>
        </w:tabs>
        <w:spacing w:after="60" w:before="60"/>
      </w:pPr>
      <w:r>
        <w:rPr>
          <w:rFonts w:ascii="Times New Roman" w:cs="Times New Roman" w:eastAsia="Times New Roman" w:hAnsi="Times New Roman"/>
          <w:b/>
          <w:bCs/>
          <w:sz w:val="22"/>
          <w:szCs w:val="22"/>
        </w:rPr>
        <w:t xml:space="preserve">CHAPTER 7: CONCLUSION &amp; FUTURE DIRECTIONS</w:t>
      </w:r>
      <w:r>
        <w:rPr>
          <w:rFonts w:ascii="Times New Roman" w:cs="Times New Roman" w:eastAsia="Times New Roman" w:hAnsi="Times New Roman"/>
          <w:sz w:val="22"/>
          <w:szCs w:val="22"/>
        </w:rPr>
        <w:t xml:space="preserve">	40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7.1  Performance Benchmarking</w:t>
      </w:r>
      <w:r>
        <w:rPr>
          <w:rFonts w:ascii="Times New Roman" w:cs="Times New Roman" w:eastAsia="Times New Roman" w:hAnsi="Times New Roman"/>
          <w:sz w:val="22"/>
          <w:szCs w:val="22"/>
        </w:rPr>
        <w:t xml:space="preserve">	40</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7.2  Real-World Applicability</w:t>
      </w:r>
      <w:r>
        <w:rPr>
          <w:rFonts w:ascii="Times New Roman" w:cs="Times New Roman" w:eastAsia="Times New Roman" w:hAnsi="Times New Roman"/>
          <w:sz w:val="22"/>
          <w:szCs w:val="22"/>
        </w:rPr>
        <w:t xml:space="preserve">	41</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7.3  Known Limitations</w:t>
      </w:r>
      <w:r>
        <w:rPr>
          <w:rFonts w:ascii="Times New Roman" w:cs="Times New Roman" w:eastAsia="Times New Roman" w:hAnsi="Times New Roman"/>
          <w:sz w:val="22"/>
          <w:szCs w:val="22"/>
        </w:rPr>
        <w:t xml:space="preserve">	42</w:t>
      </w:r>
    </w:p>
    <w:p>
      <w:pPr>
        <w:tabs>
          <w:tab w:val="right" w:pos="9000"/>
        </w:tabs>
        <w:spacing w:after="60" w:before="60"/>
        <w:ind w:left="360"/>
      </w:pPr>
      <w:r>
        <w:rPr>
          <w:rFonts w:ascii="Times New Roman" w:cs="Times New Roman" w:eastAsia="Times New Roman" w:hAnsi="Times New Roman"/>
          <w:b w:val="false"/>
          <w:bCs w:val="false"/>
          <w:sz w:val="22"/>
          <w:szCs w:val="22"/>
        </w:rPr>
        <w:t xml:space="preserve">7.4  Future Enhancement Roadmap</w:t>
      </w:r>
      <w:r>
        <w:rPr>
          <w:rFonts w:ascii="Times New Roman" w:cs="Times New Roman" w:eastAsia="Times New Roman" w:hAnsi="Times New Roman"/>
          <w:sz w:val="22"/>
          <w:szCs w:val="22"/>
        </w:rPr>
        <w:t xml:space="preserve">	43</w:t>
      </w:r>
    </w:p>
    <w:p>
      <w:pPr>
        <w:tabs>
          <w:tab w:val="right" w:pos="9000"/>
        </w:tabs>
        <w:spacing w:after="60" w:before="60"/>
      </w:pPr>
      <w:r>
        <w:rPr>
          <w:rFonts w:ascii="Times New Roman" w:cs="Times New Roman" w:eastAsia="Times New Roman" w:hAnsi="Times New Roman"/>
          <w:b/>
          <w:bCs/>
          <w:sz w:val="22"/>
          <w:szCs w:val="22"/>
        </w:rPr>
        <w:t xml:space="preserve">LIST OF PUBLICATIONS</w:t>
      </w:r>
      <w:r>
        <w:rPr>
          <w:rFonts w:ascii="Times New Roman" w:cs="Times New Roman" w:eastAsia="Times New Roman" w:hAnsi="Times New Roman"/>
          <w:sz w:val="22"/>
          <w:szCs w:val="22"/>
        </w:rPr>
        <w:t xml:space="preserve">	46</w:t>
      </w:r>
    </w:p>
    <w:p>
      <w:pPr>
        <w:tabs>
          <w:tab w:val="right" w:pos="9000"/>
        </w:tabs>
        <w:spacing w:after="60" w:before="60"/>
      </w:pPr>
      <w:r>
        <w:rPr>
          <w:rFonts w:ascii="Times New Roman" w:cs="Times New Roman" w:eastAsia="Times New Roman" w:hAnsi="Times New Roman"/>
          <w:b/>
          <w:bCs/>
          <w:sz w:val="22"/>
          <w:szCs w:val="22"/>
        </w:rPr>
        <w:t xml:space="preserve">REFERENCES</w:t>
      </w:r>
      <w:r>
        <w:rPr>
          <w:rFonts w:ascii="Times New Roman" w:cs="Times New Roman" w:eastAsia="Times New Roman" w:hAnsi="Times New Roman"/>
          <w:sz w:val="22"/>
          <w:szCs w:val="22"/>
        </w:rPr>
        <w:t xml:space="preserve">	47</w:t>
      </w:r>
    </w:p>
    <w:p>
      <w:r>
        <w:br w:type="page"/>
      </w:r>
    </w:p>
    <w:p>
      <w:pPr>
        <w:spacing w:after="120" w:before="120"/>
        <w:jc w:val="center"/>
      </w:pPr>
      <w:r>
        <w:rPr>
          <w:rFonts w:ascii="Times New Roman" w:cs="Times New Roman" w:eastAsia="Times New Roman" w:hAnsi="Times New Roman"/>
          <w:b/>
          <w:bCs/>
          <w:sz w:val="32"/>
          <w:szCs w:val="32"/>
        </w:rPr>
        <w:t xml:space="preserve">LIST OF TABLES</w:t>
      </w:r>
    </w:p>
    <w:p>
      <w:r>
        <w:t xml:space="preserve"/>
      </w:r>
    </w:p>
    <w:p>
      <w:pPr>
        <w:tabs>
          <w:tab w:val="right" w:pos="9000"/>
        </w:tabs>
        <w:spacing w:after="60" w:before="60"/>
      </w:pPr>
      <w:r>
        <w:rPr>
          <w:rFonts w:ascii="Times New Roman" w:cs="Times New Roman" w:eastAsia="Times New Roman" w:hAnsi="Times New Roman"/>
          <w:b/>
          <w:bCs/>
          <w:sz w:val="22"/>
          <w:szCs w:val="22"/>
        </w:rPr>
        <w:t xml:space="preserve">Table 1.1   Gantt Chart – Project Milestones</w:t>
      </w:r>
      <w:r>
        <w:rPr>
          <w:rFonts w:ascii="Times New Roman" w:cs="Times New Roman" w:eastAsia="Times New Roman" w:hAnsi="Times New Roman"/>
          <w:sz w:val="22"/>
          <w:szCs w:val="22"/>
        </w:rPr>
        <w:t xml:space="preserve">	6</w:t>
      </w:r>
    </w:p>
    <w:p>
      <w:pPr>
        <w:tabs>
          <w:tab w:val="right" w:pos="9000"/>
        </w:tabs>
        <w:spacing w:after="60" w:before="60"/>
      </w:pPr>
      <w:r>
        <w:rPr>
          <w:rFonts w:ascii="Times New Roman" w:cs="Times New Roman" w:eastAsia="Times New Roman" w:hAnsi="Times New Roman"/>
          <w:b/>
          <w:bCs/>
          <w:sz w:val="22"/>
          <w:szCs w:val="22"/>
        </w:rPr>
        <w:t xml:space="preserve">Table 3.1   Blockchain Platform Comparison for Real Estate Applications</w:t>
      </w:r>
      <w:r>
        <w:rPr>
          <w:rFonts w:ascii="Times New Roman" w:cs="Times New Roman" w:eastAsia="Times New Roman" w:hAnsi="Times New Roman"/>
          <w:sz w:val="22"/>
          <w:szCs w:val="22"/>
        </w:rPr>
        <w:t xml:space="preserve">	19</w:t>
      </w:r>
    </w:p>
    <w:p>
      <w:pPr>
        <w:tabs>
          <w:tab w:val="right" w:pos="9000"/>
        </w:tabs>
        <w:spacing w:after="60" w:before="60"/>
      </w:pPr>
      <w:r>
        <w:rPr>
          <w:rFonts w:ascii="Times New Roman" w:cs="Times New Roman" w:eastAsia="Times New Roman" w:hAnsi="Times New Roman"/>
          <w:b/>
          <w:bCs/>
          <w:sz w:val="22"/>
          <w:szCs w:val="22"/>
        </w:rPr>
        <w:t xml:space="preserve">Table 4.1   Smart Contract Function Summary and Gas Estimates</w:t>
      </w:r>
      <w:r>
        <w:rPr>
          <w:rFonts w:ascii="Times New Roman" w:cs="Times New Roman" w:eastAsia="Times New Roman" w:hAnsi="Times New Roman"/>
          <w:sz w:val="22"/>
          <w:szCs w:val="22"/>
        </w:rPr>
        <w:t xml:space="preserve">	26</w:t>
      </w:r>
    </w:p>
    <w:p>
      <w:pPr>
        <w:tabs>
          <w:tab w:val="right" w:pos="9000"/>
        </w:tabs>
        <w:spacing w:after="60" w:before="60"/>
      </w:pPr>
      <w:r>
        <w:rPr>
          <w:rFonts w:ascii="Times New Roman" w:cs="Times New Roman" w:eastAsia="Times New Roman" w:hAnsi="Times New Roman"/>
          <w:b/>
          <w:bCs/>
          <w:sz w:val="22"/>
          <w:szCs w:val="22"/>
        </w:rPr>
        <w:t xml:space="preserve">Table 4.2   Related Work Comparison Matrix</w:t>
      </w:r>
      <w:r>
        <w:rPr>
          <w:rFonts w:ascii="Times New Roman" w:cs="Times New Roman" w:eastAsia="Times New Roman" w:hAnsi="Times New Roman"/>
          <w:sz w:val="22"/>
          <w:szCs w:val="22"/>
        </w:rPr>
        <w:t xml:space="preserve">	23</w:t>
      </w:r>
    </w:p>
    <w:p>
      <w:pPr>
        <w:tabs>
          <w:tab w:val="right" w:pos="9000"/>
        </w:tabs>
        <w:spacing w:after="60" w:before="60"/>
      </w:pPr>
      <w:r>
        <w:rPr>
          <w:rFonts w:ascii="Times New Roman" w:cs="Times New Roman" w:eastAsia="Times New Roman" w:hAnsi="Times New Roman"/>
          <w:b/>
          <w:bCs/>
          <w:sz w:val="22"/>
          <w:szCs w:val="22"/>
        </w:rPr>
        <w:t xml:space="preserve">Table 5.1   Performance Summary – BBREMS Prototype Benchmarks</w:t>
      </w:r>
      <w:r>
        <w:rPr>
          <w:rFonts w:ascii="Times New Roman" w:cs="Times New Roman" w:eastAsia="Times New Roman" w:hAnsi="Times New Roman"/>
          <w:sz w:val="22"/>
          <w:szCs w:val="22"/>
        </w:rPr>
        <w:t xml:space="preserve">	33</w:t>
      </w:r>
    </w:p>
    <w:p>
      <w:pPr>
        <w:tabs>
          <w:tab w:val="right" w:pos="9000"/>
        </w:tabs>
        <w:spacing w:after="60" w:before="60"/>
      </w:pPr>
      <w:r>
        <w:rPr>
          <w:rFonts w:ascii="Times New Roman" w:cs="Times New Roman" w:eastAsia="Times New Roman" w:hAnsi="Times New Roman"/>
          <w:b/>
          <w:bCs/>
          <w:sz w:val="22"/>
          <w:szCs w:val="22"/>
        </w:rPr>
        <w:t xml:space="preserve">Table 6.1   System Test Case Summary</w:t>
      </w:r>
      <w:r>
        <w:rPr>
          <w:rFonts w:ascii="Times New Roman" w:cs="Times New Roman" w:eastAsia="Times New Roman" w:hAnsi="Times New Roman"/>
          <w:sz w:val="22"/>
          <w:szCs w:val="22"/>
        </w:rPr>
        <w:t xml:space="preserve">	37</w:t>
      </w:r>
    </w:p>
    <w:p>
      <w:pPr>
        <w:tabs>
          <w:tab w:val="right" w:pos="9000"/>
        </w:tabs>
        <w:spacing w:after="60" w:before="60"/>
      </w:pPr>
      <w:r>
        <w:rPr>
          <w:rFonts w:ascii="Times New Roman" w:cs="Times New Roman" w:eastAsia="Times New Roman" w:hAnsi="Times New Roman"/>
          <w:b/>
          <w:bCs/>
          <w:sz w:val="22"/>
          <w:szCs w:val="22"/>
        </w:rPr>
        <w:t xml:space="preserve">Table 6.2   Performance Metrics Across 100 Test Transactions (Polygon Mumbai)</w:t>
      </w:r>
      <w:r>
        <w:rPr>
          <w:rFonts w:ascii="Times New Roman" w:cs="Times New Roman" w:eastAsia="Times New Roman" w:hAnsi="Times New Roman"/>
          <w:sz w:val="22"/>
          <w:szCs w:val="22"/>
        </w:rPr>
        <w:t xml:space="preserve">	39</w:t>
      </w:r>
    </w:p>
    <w:p>
      <w:r>
        <w:t xml:space="preserve"/>
      </w:r>
    </w:p>
    <w:p>
      <w:r>
        <w:t xml:space="preserve"/>
      </w:r>
    </w:p>
    <w:p>
      <w:pPr>
        <w:spacing w:after="120" w:before="120"/>
        <w:jc w:val="center"/>
      </w:pPr>
      <w:r>
        <w:rPr>
          <w:rFonts w:ascii="Times New Roman" w:cs="Times New Roman" w:eastAsia="Times New Roman" w:hAnsi="Times New Roman"/>
          <w:b/>
          <w:bCs/>
          <w:sz w:val="32"/>
          <w:szCs w:val="32"/>
        </w:rPr>
        <w:t xml:space="preserve">LIST OF FIGURES</w:t>
      </w:r>
    </w:p>
    <w:p>
      <w:r>
        <w:t xml:space="preserve"/>
      </w:r>
    </w:p>
    <w:p>
      <w:pPr>
        <w:tabs>
          <w:tab w:val="right" w:pos="9000"/>
        </w:tabs>
        <w:spacing w:after="60" w:before="60"/>
      </w:pPr>
      <w:r>
        <w:rPr>
          <w:rFonts w:ascii="Times New Roman" w:cs="Times New Roman" w:eastAsia="Times New Roman" w:hAnsi="Times New Roman"/>
          <w:b/>
          <w:bCs/>
          <w:sz w:val="22"/>
          <w:szCs w:val="22"/>
        </w:rPr>
        <w:t xml:space="preserve">Figure 1.1   BlockEstates – Homepage: Platform Features and Wallet Connection</w:t>
      </w:r>
      <w:r>
        <w:rPr>
          <w:rFonts w:ascii="Times New Roman" w:cs="Times New Roman" w:eastAsia="Times New Roman" w:hAnsi="Times New Roman"/>
          <w:sz w:val="22"/>
          <w:szCs w:val="22"/>
        </w:rPr>
        <w:t xml:space="preserve">	3</w:t>
      </w:r>
    </w:p>
    <w:p>
      <w:pPr>
        <w:tabs>
          <w:tab w:val="right" w:pos="9000"/>
        </w:tabs>
        <w:spacing w:after="60" w:before="60"/>
      </w:pPr>
      <w:r>
        <w:rPr>
          <w:rFonts w:ascii="Times New Roman" w:cs="Times New Roman" w:eastAsia="Times New Roman" w:hAnsi="Times New Roman"/>
          <w:b/>
          <w:bCs/>
          <w:sz w:val="22"/>
          <w:szCs w:val="22"/>
        </w:rPr>
        <w:t xml:space="preserve">Figure 1.2   BlockEstates – Property Marketplace: NFT Listings with ETH Prices</w:t>
      </w:r>
      <w:r>
        <w:rPr>
          <w:rFonts w:ascii="Times New Roman" w:cs="Times New Roman" w:eastAsia="Times New Roman" w:hAnsi="Times New Roman"/>
          <w:sz w:val="22"/>
          <w:szCs w:val="22"/>
        </w:rPr>
        <w:t xml:space="preserve">	4</w:t>
      </w:r>
    </w:p>
    <w:p>
      <w:pPr>
        <w:tabs>
          <w:tab w:val="right" w:pos="9000"/>
        </w:tabs>
        <w:spacing w:after="60" w:before="60"/>
      </w:pPr>
      <w:r>
        <w:rPr>
          <w:rFonts w:ascii="Times New Roman" w:cs="Times New Roman" w:eastAsia="Times New Roman" w:hAnsi="Times New Roman"/>
          <w:b/>
          <w:bCs/>
          <w:sz w:val="22"/>
          <w:szCs w:val="22"/>
        </w:rPr>
        <w:t xml:space="preserve">Figure 1.3   BlockEstates – List Property: Tokenisation and Listing Interface</w:t>
      </w:r>
      <w:r>
        <w:rPr>
          <w:rFonts w:ascii="Times New Roman" w:cs="Times New Roman" w:eastAsia="Times New Roman" w:hAnsi="Times New Roman"/>
          <w:sz w:val="22"/>
          <w:szCs w:val="22"/>
        </w:rPr>
        <w:t xml:space="preserve">	5</w:t>
      </w:r>
    </w:p>
    <w:p>
      <w:r>
        <w:br w:type="page"/>
      </w:r>
    </w:p>
    <w:p>
      <w:pPr>
        <w:spacing w:after="120" w:before="120"/>
        <w:jc w:val="center"/>
      </w:pPr>
      <w:r>
        <w:rPr>
          <w:rFonts w:ascii="Times New Roman" w:cs="Times New Roman" w:eastAsia="Times New Roman" w:hAnsi="Times New Roman"/>
          <w:b/>
          <w:bCs/>
          <w:sz w:val="32"/>
          <w:szCs w:val="32"/>
        </w:rPr>
        <w:t xml:space="preserve">SYMBOLS AND ABBREVIATIONS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Abbreviation</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Full Form</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BC</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Blockchain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DLT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Distributed Ledger Technology</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SC</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Smart Contract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ETH</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EVM</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 Virtual Machine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NFT</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Non-Fungible Token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IPFS</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InterPlanetary File System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dApp</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Decentralised Application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PoS</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Proof of Stake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KYC</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Know Your Customer</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API</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SHA</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Secure Hash Algorithm</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ABI</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Application Binary Interface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Web3</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Third Generation / Decentralised Internet</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RBAC</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Role-Based Access Control</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VRF</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Verifiable Random Function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CID</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Content Identifier (IPFS)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TPS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Transactions Per Second</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L2</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Layer-2 Blockchain Scaling Solution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CQRS</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Command Query Responsibility Segregation</w:t>
            </w:r>
          </w:p>
        </w:tc>
      </w:tr>
      <w:tr>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CEI</w:t>
            </w:r>
          </w:p>
        </w:tc>
        <w:tc>
          <w:tcPr>
            <w:tcW w:type="dxa" w:w="71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Checks-Effects-Interactions (Pattern)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ERC-721</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 Request for Comments — Non-Fungible Token Standard</w:t>
            </w:r>
          </w:p>
        </w:tc>
      </w:tr>
    </w:tbl>
    <w:p>
      <w:r>
        <w:br w:type="page"/>
      </w:r>
    </w:p>
    <w:p>
      <w:pPr>
        <w:spacing w:after="80" w:before="480"/>
        <w:jc w:val="center"/>
      </w:pPr>
      <w:r>
        <w:rPr>
          <w:rFonts w:ascii="Times New Roman" w:cs="Times New Roman" w:eastAsia="Times New Roman" w:hAnsi="Times New Roman"/>
          <w:b/>
          <w:bCs/>
          <w:color w:val="1F4E79"/>
          <w:sz w:val="32"/>
          <w:szCs w:val="32"/>
        </w:rPr>
        <w:t xml:space="preserve">CHAPTER 1</w:t>
      </w:r>
    </w:p>
    <w:p>
      <w:pPr>
        <w:spacing w:after="360" w:before="80"/>
        <w:jc w:val="center"/>
      </w:pPr>
      <w:r>
        <w:rPr>
          <w:rFonts w:ascii="Times New Roman" w:cs="Times New Roman" w:eastAsia="Times New Roman" w:hAnsi="Times New Roman"/>
          <w:b/>
          <w:bCs/>
          <w:color w:val="1F4E79"/>
          <w:sz w:val="32"/>
          <w:szCs w:val="32"/>
        </w:rPr>
        <w:t xml:space="preserve">INTRODUCTION</w:t>
      </w:r>
    </w:p>
    <w:p>
      <w:pPr>
        <w:spacing w:after="100" w:before="100" w:line="360"/>
        <w:jc w:val="both"/>
      </w:pPr>
      <w:r>
        <w:rPr>
          <w:rFonts w:ascii="Times New Roman" w:cs="Times New Roman" w:eastAsia="Times New Roman" w:hAnsi="Times New Roman"/>
          <w:sz w:val="24"/>
          <w:szCs w:val="24"/>
        </w:rPr>
        <w:t xml:space="preserve">Real estate constitutes one of the largest and most capital-intensive sectors of the global economy, yet the foundational processes underpinning property registration, title verification, and ownership transfer continue to depend on paper-heavy administrative procedures and centralised registry databases that have undergone minimal transformation over the past century. These entrenched legacy workflows generate systemic inefficiencies, create fertile conditions for title fraud, and impose substantial intermediary costs on both buyers and sellers [1].</w:t>
      </w:r>
    </w:p>
    <w:p>
      <w:pPr>
        <w:spacing w:after="100" w:before="100" w:line="360"/>
        <w:jc w:val="both"/>
      </w:pPr>
      <w:r>
        <w:rPr>
          <w:rFonts w:ascii="Times New Roman" w:cs="Times New Roman" w:eastAsia="Times New Roman" w:hAnsi="Times New Roman"/>
          <w:sz w:val="24"/>
          <w:szCs w:val="24"/>
        </w:rPr>
        <w:t xml:space="preserve">Blockchain technology, operationalised initially through Bitcoin in 2008 and subsequently extended through Ethereum's programmable smart contract layer, provides a technically compelling foundation for reforming these long-standing challenges. The defining characteristics of blockchain — cryptographic record immutability, distributed consensus without a centralised authority, and programmatic transaction conditionality — align closely with the core requirements of a trustworthy property management infrastructure [2].</w:t>
      </w:r>
    </w:p>
    <w:p>
      <w:pPr>
        <w:spacing w:after="100" w:before="100" w:line="360"/>
        <w:jc w:val="both"/>
      </w:pPr>
      <w:r>
        <w:rPr>
          <w:rFonts w:ascii="Times New Roman" w:cs="Times New Roman" w:eastAsia="Times New Roman" w:hAnsi="Times New Roman"/>
          <w:sz w:val="24"/>
          <w:szCs w:val="24"/>
        </w:rPr>
        <w:t xml:space="preserve">This project proposes, designs, and implements BBREMS (Blockchain-Based Real Estate Management System), commercially branded as BlockEstates: a full-stack decentralised application built on Solidity smart contracts deployed to a local Hardhat network, IPFS-compatible decentralised document storage, and a Next.js/React frontend integrated with MetaMask wallet authentication. The platform facilitates end-to-end property transaction management — encompassing the minting of property NFTs, open marketplace listing, atomic wallet-authenticated purchasing, and personal asset management through a contextual dashboard — without reliance on any centralised intermediary.</w:t>
      </w:r>
    </w:p>
    <w:p>
      <w:pPr>
        <w:pStyle w:val="Heading2"/>
        <w:spacing w:after="120" w:before="240"/>
      </w:pPr>
      <w:r>
        <w:rPr>
          <w:rFonts w:ascii="Times New Roman" w:cs="Times New Roman" w:eastAsia="Times New Roman" w:hAnsi="Times New Roman"/>
          <w:b/>
          <w:bCs/>
          <w:color w:val="2E75B6"/>
          <w:sz w:val="24"/>
          <w:szCs w:val="24"/>
        </w:rPr>
        <w:t xml:space="preserve">1.1  Motivation</w:t>
      </w:r>
    </w:p>
    <w:p>
      <w:pPr>
        <w:spacing w:after="100" w:before="100" w:line="360"/>
        <w:jc w:val="both"/>
      </w:pPr>
      <w:r>
        <w:rPr>
          <w:rFonts w:ascii="Times New Roman" w:cs="Times New Roman" w:eastAsia="Times New Roman" w:hAnsi="Times New Roman"/>
          <w:sz w:val="24"/>
          <w:szCs w:val="24"/>
        </w:rPr>
        <w:t xml:space="preserve">The motivating factors for BBREMS arise from three interconnected market failures that are extensively documented in the academic and policy literature.</w:t>
      </w:r>
    </w:p>
    <w:p>
      <w:pPr>
        <w:spacing w:after="100" w:before="100" w:line="360"/>
        <w:jc w:val="both"/>
      </w:pPr>
      <w:r>
        <w:rPr>
          <w:rFonts w:ascii="Times New Roman" w:cs="Times New Roman" w:eastAsia="Times New Roman" w:hAnsi="Times New Roman"/>
          <w:sz w:val="24"/>
          <w:szCs w:val="24"/>
        </w:rPr>
        <w:t xml:space="preserve">The first is the persistent prevalence of property fraud. Centralised title registries represent a single point of institutional failure, with documented cases of forged deeds, owner impersonation, and insider manipulation of registry databases undermining the integrity of ownership records across multiple jurisdictions. The distributed consensus mechanism and cryptographic record integrity of blockchain transfer the security guarantee from a single institutionally managed database to a mathematically verifiable network, eliminating the trusted-party single point of failure [7].</w:t>
      </w:r>
    </w:p>
    <w:p>
      <w:pPr>
        <w:spacing w:after="100" w:before="100" w:line="360"/>
        <w:jc w:val="both"/>
      </w:pPr>
      <w:r>
        <w:rPr>
          <w:rFonts w:ascii="Times New Roman" w:cs="Times New Roman" w:eastAsia="Times New Roman" w:hAnsi="Times New Roman"/>
          <w:sz w:val="24"/>
          <w:szCs w:val="24"/>
        </w:rPr>
        <w:t xml:space="preserve">The second factor is the economic burden imposed by transaction intermediation. A conventional property sale typically involves estate agents, solicitors, notaries, mortgage lenders, and government registration officials, who collectively extract between five and ten percent of the property's transaction value through fees and charges. Smart contract automation replaces the verification and conditional enforcement functions of many of these intermediaries with self-executing code, substantially compressing both the cost and timeline of property transfer [1].</w:t>
      </w:r>
    </w:p>
    <w:p>
      <w:pPr>
        <w:spacing w:after="100" w:before="100" w:line="360"/>
        <w:jc w:val="both"/>
      </w:pPr>
      <w:r>
        <w:rPr>
          <w:rFonts w:ascii="Times New Roman" w:cs="Times New Roman" w:eastAsia="Times New Roman" w:hAnsi="Times New Roman"/>
          <w:sz w:val="24"/>
          <w:szCs w:val="24"/>
        </w:rPr>
        <w:t xml:space="preserve">The third factor is investment inaccessibility arising from high per-unit property valuations. Representing property ownership as an NFT — and optionally enabling fractional ownership through derivative token mechanisms — creates technically sound pathways for broader market participation. This direction has been validated by commercial pilots such as Dubai's 2025 real estate tokenisation initiative and emerging regulatory frameworks in multiple jurisdictions [8].</w:t>
      </w:r>
    </w:p>
    <w:p>
      <w:pPr>
        <w:pStyle w:val="Heading2"/>
        <w:spacing w:after="120" w:before="240"/>
      </w:pPr>
      <w:r>
        <w:rPr>
          <w:rFonts w:ascii="Times New Roman" w:cs="Times New Roman" w:eastAsia="Times New Roman" w:hAnsi="Times New Roman"/>
          <w:b/>
          <w:bCs/>
          <w:color w:val="2E75B6"/>
          <w:sz w:val="24"/>
          <w:szCs w:val="24"/>
        </w:rPr>
        <w:t xml:space="preserve">1.2  System Overview</w:t>
      </w:r>
    </w:p>
    <w:p>
      <w:pPr>
        <w:spacing w:after="100" w:before="100" w:line="360"/>
        <w:jc w:val="both"/>
      </w:pPr>
      <w:r>
        <w:rPr>
          <w:rFonts w:ascii="Times New Roman" w:cs="Times New Roman" w:eastAsia="Times New Roman" w:hAnsi="Times New Roman"/>
          <w:sz w:val="24"/>
          <w:szCs w:val="24"/>
        </w:rPr>
        <w:t xml:space="preserve">BlockEstates is architected around a four-layer progressive system design. The Presentation Layer consists of a Next.js 14 application providing the user interface across three primary views: Homepage, Marketplace, and List Property. The Integration Layer employs ethers.js to establish a type-safe communication bridge between the frontend and deployed smart contracts via MetaMask wallet authentication. The Smart Contract Layer, authored in Solidity, manages all on-chain state including property NFT minting, marketplace listing registry, and atomic purchase execution covering simultaneous fund and title transfer. The Storage Layer utilises IPFS through Pinata in production deployments for off-chain document persistence, with only cryptographic content identifiers recorded on-chain to ensure tamper-evident document integrity without incurring prohibitive gas costs.</w:t>
      </w:r>
    </w:p>
    <w:p>
      <w:pPr>
        <w:spacing w:after="100" w:before="100" w:line="360"/>
        <w:jc w:val="both"/>
      </w:pPr>
      <w:r>
        <w:rPr>
          <w:rFonts w:ascii="Times New Roman" w:cs="Times New Roman" w:eastAsia="Times New Roman" w:hAnsi="Times New Roman"/>
          <w:sz w:val="24"/>
          <w:szCs w:val="24"/>
        </w:rPr>
        <w:t xml:space="preserve">The three primary application screens documented below illustrate the user-facing functionality of the prototype.</w:t>
      </w:r>
    </w:p>
    <w:p>
      <w:pPr>
        <w:spacing w:after="60" w:before="100"/>
        <w:jc w:val="center"/>
      </w:pPr>
      <w:r>
        <w:rPr>
          <w:rFonts w:ascii="Times New Roman" w:cs="Times New Roman" w:eastAsia="Times New Roman" w:hAnsi="Times New Roman"/>
          <w:b/>
          <w:bCs/>
          <w:i/>
          <w:iCs/>
          <w:color w:val="404040"/>
          <w:sz w:val="20"/>
          <w:szCs w:val="20"/>
        </w:rPr>
        <w:t xml:space="preserve">Figure 1.1: BlockEstates – Homepage showing platform features and wallet connection prompt</w:t>
      </w:r>
    </w:p>
    <w:p>
      <w:pPr>
        <w:spacing w:after="200" w:before="40"/>
      </w:pPr>
      <w:r>
        <w:rPr>
          <w:rFonts w:ascii="Times New Roman" w:cs="Times New Roman" w:eastAsia="Times New Roman" w:hAnsi="Times New Roman"/>
          <w:i/>
          <w:iCs/>
          <w:color w:val="888888"/>
          <w:sz w:val="20"/>
          <w:szCs w:val="20"/>
        </w:rPr>
        <w:t xml:space="preserve">[Figure 1.1 — Screenshot placeholder: Homepage]</w:t>
      </w:r>
    </w:p>
    <w:p>
      <w:pPr>
        <w:spacing w:after="60" w:before="100"/>
        <w:jc w:val="center"/>
      </w:pPr>
      <w:r>
        <w:rPr>
          <w:rFonts w:ascii="Times New Roman" w:cs="Times New Roman" w:eastAsia="Times New Roman" w:hAnsi="Times New Roman"/>
          <w:b/>
          <w:bCs/>
          <w:i/>
          <w:iCs/>
          <w:color w:val="404040"/>
          <w:sz w:val="20"/>
          <w:szCs w:val="20"/>
        </w:rPr>
        <w:t xml:space="preserve">Figure 1.2: BlockEstates – Property Marketplace showing NFT property listings with prices in ETH</w:t>
      </w:r>
    </w:p>
    <w:p>
      <w:pPr>
        <w:spacing w:after="200" w:before="40"/>
      </w:pPr>
      <w:r>
        <w:rPr>
          <w:rFonts w:ascii="Times New Roman" w:cs="Times New Roman" w:eastAsia="Times New Roman" w:hAnsi="Times New Roman"/>
          <w:i/>
          <w:iCs/>
          <w:color w:val="888888"/>
          <w:sz w:val="20"/>
          <w:szCs w:val="20"/>
        </w:rPr>
        <w:t xml:space="preserve">[Figure 1.2 — Screenshot placeholder: Marketplace]</w:t>
      </w:r>
    </w:p>
    <w:p>
      <w:pPr>
        <w:spacing w:after="60" w:before="100"/>
        <w:jc w:val="center"/>
      </w:pPr>
      <w:r>
        <w:rPr>
          <w:rFonts w:ascii="Times New Roman" w:cs="Times New Roman" w:eastAsia="Times New Roman" w:hAnsi="Times New Roman"/>
          <w:b/>
          <w:bCs/>
          <w:i/>
          <w:iCs/>
          <w:color w:val="404040"/>
          <w:sz w:val="20"/>
          <w:szCs w:val="20"/>
        </w:rPr>
        <w:t xml:space="preserve">Figure 1.3: BlockEstates – List Property interface for tokenising and listing properties as NFTs</w:t>
      </w:r>
    </w:p>
    <w:p>
      <w:pPr>
        <w:spacing w:after="200" w:before="40"/>
      </w:pPr>
      <w:r>
        <w:rPr>
          <w:rFonts w:ascii="Times New Roman" w:cs="Times New Roman" w:eastAsia="Times New Roman" w:hAnsi="Times New Roman"/>
          <w:i/>
          <w:iCs/>
          <w:color w:val="888888"/>
          <w:sz w:val="20"/>
          <w:szCs w:val="20"/>
        </w:rPr>
        <w:t xml:space="preserve">[Figure 1.3 — Screenshot placeholder: List Property]</w:t>
      </w:r>
    </w:p>
    <w:p>
      <w:pPr>
        <w:pStyle w:val="Heading2"/>
        <w:spacing w:after="120" w:before="240"/>
      </w:pPr>
      <w:r>
        <w:rPr>
          <w:rFonts w:ascii="Times New Roman" w:cs="Times New Roman" w:eastAsia="Times New Roman" w:hAnsi="Times New Roman"/>
          <w:b/>
          <w:bCs/>
          <w:color w:val="2E75B6"/>
          <w:sz w:val="24"/>
          <w:szCs w:val="24"/>
        </w:rPr>
        <w:t xml:space="preserve">1.3  Expected Outcomes</w:t>
      </w:r>
    </w:p>
    <w:p>
      <w:pPr>
        <w:spacing w:after="100" w:before="100" w:line="360"/>
        <w:jc w:val="both"/>
      </w:pPr>
      <w:r>
        <w:rPr>
          <w:rFonts w:ascii="Times New Roman" w:cs="Times New Roman" w:eastAsia="Times New Roman" w:hAnsi="Times New Roman"/>
          <w:sz w:val="24"/>
          <w:szCs w:val="24"/>
        </w:rPr>
        <w:t xml:space="preserve">Upon successful completion of this project, the following specific deliverables are anticipated. A fully functional BBREMS prototype is expected to cover the complete property transaction lifecycle from NFT minting through marketplace listing to atomic purchase. Secondary outcomes include a smart contract test suite achieving greater than ninety percent line coverage; documented performance benchmarks demonstrating sub-five-second transaction confirmation under testnet conditions; and usability confirmation that users possessing basic MetaMask familiarity can independently complete the full listing and purchase workflow.</w:t>
      </w:r>
    </w:p>
    <w:p>
      <w:pPr>
        <w:spacing w:after="100" w:before="100" w:line="360"/>
        <w:jc w:val="both"/>
      </w:pPr>
      <w:r>
        <w:rPr>
          <w:rFonts w:ascii="Times New Roman" w:cs="Times New Roman" w:eastAsia="Times New Roman" w:hAnsi="Times New Roman"/>
          <w:sz w:val="24"/>
          <w:szCs w:val="24"/>
        </w:rPr>
        <w:t xml:space="preserve">At a broader conceptual level, this project contributes a practical reference implementation that integrates NFT-based property ownership representation, an on-chain open marketplace, and wallet-authenticated atomic purchasing within a single deployable application — a combination that, based on the reviewed literature, has not previously been assembled and demonstrated in isolation.</w:t>
      </w:r>
    </w:p>
    <w:p>
      <w:pPr>
        <w:pStyle w:val="Heading2"/>
        <w:spacing w:after="120" w:before="240"/>
      </w:pPr>
      <w:r>
        <w:rPr>
          <w:rFonts w:ascii="Times New Roman" w:cs="Times New Roman" w:eastAsia="Times New Roman" w:hAnsi="Times New Roman"/>
          <w:b/>
          <w:bCs/>
          <w:color w:val="2E75B6"/>
          <w:sz w:val="24"/>
          <w:szCs w:val="24"/>
        </w:rPr>
        <w:t xml:space="preserve">1.4  Project Timeline</w:t>
      </w:r>
    </w:p>
    <w:p>
      <w:pPr>
        <w:spacing w:after="60" w:before="100"/>
        <w:jc w:val="center"/>
      </w:pPr>
      <w:r>
        <w:rPr>
          <w:rFonts w:ascii="Times New Roman" w:cs="Times New Roman" w:eastAsia="Times New Roman" w:hAnsi="Times New Roman"/>
          <w:b/>
          <w:bCs/>
          <w:i/>
          <w:iCs/>
          <w:color w:val="404040"/>
          <w:sz w:val="20"/>
          <w:szCs w:val="20"/>
        </w:rPr>
        <w:t xml:space="preserve">Table 1.1: Gantt Chart — Project Milestones and Weekly Schedule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160"/>
        <w:gridCol w:w="1160"/>
        <w:gridCol w:w="1160"/>
        <w:gridCol w:w="1160"/>
        <w:gridCol w:w="1160"/>
        <w:gridCol w:w="1160"/>
      </w:tblGrid>
      <w:t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Milestone / Activity</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1-2</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3-4</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5-6</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7-8</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9-10</w:t>
            </w:r>
          </w:p>
        </w:tc>
        <w:tc>
          <w:tcPr>
            <w:tcW w:type="dxa" w:w="1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Week 11-12</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Domain Study &amp; Literature Review</w:t>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Technology Stack Finalisation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Smart Contract Design &amp; Unit Testing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Frontend Development &amp; Web3 Integration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System Testing &amp; Performance Benchmarking</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Report Writing &amp; Submission</w:t>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
            </w:r>
          </w:p>
        </w:tc>
        <w:tc>
          <w:tcPr>
            <w:tcW w:type="dxa" w:w="11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r>
    </w:tbl>
    <w:p>
      <w:pPr>
        <w:pStyle w:val="Heading2"/>
        <w:spacing w:after="120" w:before="240"/>
      </w:pPr>
      <w:r>
        <w:rPr>
          <w:rFonts w:ascii="Times New Roman" w:cs="Times New Roman" w:eastAsia="Times New Roman" w:hAnsi="Times New Roman"/>
          <w:b/>
          <w:bCs/>
          <w:color w:val="2E75B6"/>
          <w:sz w:val="24"/>
          <w:szCs w:val="24"/>
        </w:rPr>
        <w:t xml:space="preserve">1.5  Risk Assessment</w:t>
      </w:r>
    </w:p>
    <w:p>
      <w:pPr>
        <w:spacing w:after="100" w:before="100" w:line="360"/>
        <w:jc w:val="both"/>
      </w:pPr>
      <w:r>
        <w:rPr>
          <w:rFonts w:ascii="Times New Roman" w:cs="Times New Roman" w:eastAsia="Times New Roman" w:hAnsi="Times New Roman"/>
          <w:sz w:val="24"/>
          <w:szCs w:val="24"/>
        </w:rPr>
        <w:t xml:space="preserve">Smart Contract Immutability Risk: Errors embedded in deployed Solidity contracts are irrecoverable through server-side patches, as the bytecode is permanently committed to the ledger. This risk was mitigated through exhaustive unit and integration testing conducted prior to any deployment, supplemented by the adoption of OpenZeppelin's externally audited contract libraries and the implementation of the Transparent Proxy upgrade pattern for production-facing contracts.</w:t>
      </w:r>
    </w:p>
    <w:p>
      <w:pPr>
        <w:spacing w:after="100" w:before="100" w:line="360"/>
        <w:jc w:val="both"/>
      </w:pPr>
      <w:r>
        <w:rPr>
          <w:rFonts w:ascii="Times New Roman" w:cs="Times New Roman" w:eastAsia="Times New Roman" w:hAnsi="Times New Roman"/>
          <w:sz w:val="24"/>
          <w:szCs w:val="24"/>
        </w:rPr>
        <w:t xml:space="preserve">Network Instability Risk: Disruptions on public testnets can interrupt development workflows and introduce unpredictable delays. A local Hardhat network was therefore designated as the primary development environment, ensuring continuous progress regardless of external testnet availability or performance fluctuations.</w:t>
      </w:r>
    </w:p>
    <w:p>
      <w:pPr>
        <w:spacing w:after="100" w:before="100" w:line="360"/>
        <w:jc w:val="both"/>
      </w:pPr>
      <w:r>
        <w:rPr>
          <w:rFonts w:ascii="Times New Roman" w:cs="Times New Roman" w:eastAsia="Times New Roman" w:hAnsi="Times New Roman"/>
          <w:sz w:val="24"/>
          <w:szCs w:val="24"/>
        </w:rPr>
        <w:t xml:space="preserve">Key Management Risk: The irreversible loss of a private key permanently forfeits access to all blockchain assets associated with the corresponding wallet address. User-facing documentation and frontend prompts incorporate explicit guidance on secure wallet backup procedures, with multi-signature wallet support identified as a high-priority enhancement for future production deployment.</w:t>
      </w:r>
    </w:p>
    <w:p>
      <w:pPr>
        <w:pStyle w:val="Heading2"/>
        <w:spacing w:after="120" w:before="240"/>
      </w:pPr>
      <w:r>
        <w:rPr>
          <w:rFonts w:ascii="Times New Roman" w:cs="Times New Roman" w:eastAsia="Times New Roman" w:hAnsi="Times New Roman"/>
          <w:b/>
          <w:bCs/>
          <w:color w:val="2E75B6"/>
          <w:sz w:val="24"/>
          <w:szCs w:val="24"/>
        </w:rPr>
        <w:t xml:space="preserve">1.6  System Requirements</w:t>
      </w:r>
    </w:p>
    <w:p>
      <w:pPr>
        <w:spacing w:after="100" w:before="100" w:line="360"/>
        <w:jc w:val="both"/>
      </w:pPr>
      <w:r>
        <w:rPr>
          <w:rFonts w:ascii="Times New Roman" w:cs="Times New Roman" w:eastAsia="Times New Roman" w:hAnsi="Times New Roman"/>
          <w:sz w:val="24"/>
          <w:szCs w:val="24"/>
        </w:rPr>
        <w:t xml:space="preserve">FR-01 – Property Tokenisation: The system shall permit an authorised wallet holder to mint a new property NFT by submitting a property address, a listing price denominated in ETH, and optionally a property image URI.</w:t>
      </w:r>
    </w:p>
    <w:p>
      <w:pPr>
        <w:spacing w:after="100" w:before="100" w:line="360"/>
        <w:jc w:val="both"/>
      </w:pPr>
      <w:r>
        <w:rPr>
          <w:rFonts w:ascii="Times New Roman" w:cs="Times New Roman" w:eastAsia="Times New Roman" w:hAnsi="Times New Roman"/>
          <w:sz w:val="24"/>
          <w:szCs w:val="24"/>
        </w:rPr>
        <w:t xml:space="preserve">FR-02 – Marketplace Listing: The system shall maintain an on-chain registry of all properties listed for sale, accessible to any wallet-connected buyer through the frontend marketplace interface.</w:t>
      </w:r>
    </w:p>
    <w:p>
      <w:pPr>
        <w:spacing w:after="100" w:before="100" w:line="360"/>
        <w:jc w:val="both"/>
      </w:pPr>
      <w:r>
        <w:rPr>
          <w:rFonts w:ascii="Times New Roman" w:cs="Times New Roman" w:eastAsia="Times New Roman" w:hAnsi="Times New Roman"/>
          <w:sz w:val="24"/>
          <w:szCs w:val="24"/>
        </w:rPr>
        <w:t xml:space="preserve">FR-03 – Property Purchase: The system shall enable a wallet-connected buyer to acquire a listed property by transmitting the exact ETH amount, triggering an atomic simultaneous transfer of the NFT to the buyer and the corresponding ETH to the seller.</w:t>
      </w:r>
    </w:p>
    <w:p>
      <w:pPr>
        <w:spacing w:after="100" w:before="100" w:line="360"/>
        <w:jc w:val="both"/>
      </w:pPr>
      <w:r>
        <w:rPr>
          <w:rFonts w:ascii="Times New Roman" w:cs="Times New Roman" w:eastAsia="Times New Roman" w:hAnsi="Times New Roman"/>
          <w:sz w:val="24"/>
          <w:szCs w:val="24"/>
        </w:rPr>
        <w:t xml:space="preserve">FR-04 – Wallet Authentication: All privileged operations — including listing, purchasing, and dashboard access — shall require an active MetaMask wallet connection, with contextual prompts displayed to unauthenticated users.</w:t>
      </w:r>
    </w:p>
    <w:p>
      <w:pPr>
        <w:pStyle w:val="Heading2"/>
        <w:spacing w:after="120" w:before="240"/>
      </w:pPr>
      <w:r>
        <w:rPr>
          <w:rFonts w:ascii="Times New Roman" w:cs="Times New Roman" w:eastAsia="Times New Roman" w:hAnsi="Times New Roman"/>
          <w:b/>
          <w:bCs/>
          <w:color w:val="2E75B6"/>
          <w:sz w:val="24"/>
          <w:szCs w:val="24"/>
        </w:rPr>
        <w:t xml:space="preserve">1.7  Report Organisation</w:t>
      </w:r>
    </w:p>
    <w:p>
      <w:pPr>
        <w:spacing w:after="100" w:before="100" w:line="360"/>
        <w:jc w:val="both"/>
      </w:pPr>
      <w:r>
        <w:rPr>
          <w:rFonts w:ascii="Times New Roman" w:cs="Times New Roman" w:eastAsia="Times New Roman" w:hAnsi="Times New Roman"/>
          <w:sz w:val="24"/>
          <w:szCs w:val="24"/>
        </w:rPr>
        <w:t xml:space="preserve">The remainder of this report is structured as follows. Chapter 2 details the research methodology encompassing domain selection, problem identification, and technology stack rationale. Chapter 3 presents the system design including smart contract patterns and the layered architectural model. Chapter 4 describes the development and implementation process with a structured comparative review of related work. Chapter 5 details the blockchain integration module and its measured performance characteristics. Chapter 6 presents comprehensive testing results and performance metrics. Chapter 7 concludes the report with performance benchmarking, real-world applicability assessment, known limitations, and a forward-looking enhancement roadmap.</w:t>
      </w:r>
    </w:p>
    <w:p>
      <w:r>
        <w:br w:type="page"/>
      </w:r>
    </w:p>
    <w:p>
      <w:pPr>
        <w:spacing w:after="80" w:before="480"/>
        <w:jc w:val="center"/>
      </w:pPr>
      <w:r>
        <w:rPr>
          <w:rFonts w:ascii="Times New Roman" w:cs="Times New Roman" w:eastAsia="Times New Roman" w:hAnsi="Times New Roman"/>
          <w:b/>
          <w:bCs/>
          <w:color w:val="1F4E79"/>
          <w:sz w:val="32"/>
          <w:szCs w:val="32"/>
        </w:rPr>
        <w:t xml:space="preserve">CHAPTER 2</w:t>
      </w:r>
    </w:p>
    <w:p>
      <w:pPr>
        <w:spacing w:after="360" w:before="80"/>
        <w:jc w:val="center"/>
      </w:pPr>
      <w:r>
        <w:rPr>
          <w:rFonts w:ascii="Times New Roman" w:cs="Times New Roman" w:eastAsia="Times New Roman" w:hAnsi="Times New Roman"/>
          <w:b/>
          <w:bCs/>
          <w:color w:val="1F4E79"/>
          <w:sz w:val="32"/>
          <w:szCs w:val="32"/>
        </w:rPr>
        <w:t xml:space="preserve">RESEARCH METHODOLOGY</w:t>
      </w:r>
    </w:p>
    <w:p>
      <w:pPr>
        <w:pStyle w:val="Heading2"/>
        <w:spacing w:after="120" w:before="240"/>
      </w:pPr>
      <w:r>
        <w:rPr>
          <w:rFonts w:ascii="Times New Roman" w:cs="Times New Roman" w:eastAsia="Times New Roman" w:hAnsi="Times New Roman"/>
          <w:b/>
          <w:bCs/>
          <w:color w:val="2E75B6"/>
          <w:sz w:val="24"/>
          <w:szCs w:val="24"/>
        </w:rPr>
        <w:t xml:space="preserve">2.1  Domain Identification</w:t>
      </w:r>
    </w:p>
    <w:p>
      <w:pPr>
        <w:spacing w:after="100" w:before="100" w:line="360"/>
        <w:jc w:val="both"/>
      </w:pPr>
      <w:r>
        <w:rPr>
          <w:rFonts w:ascii="Times New Roman" w:cs="Times New Roman" w:eastAsia="Times New Roman" w:hAnsi="Times New Roman"/>
          <w:sz w:val="24"/>
          <w:szCs w:val="24"/>
        </w:rPr>
        <w:t xml:space="preserve">This project is positioned at the convergence of decentralised application engineering, real estate economics, and tokenised asset management. The primary research domain is blockchain-based property management — a rapidly evolving sub-discipline of distributed systems research. Secondary domains include smart contract security, decentralised storage protocols, and Web3 frontend architecture.</w:t>
      </w:r>
    </w:p>
    <w:p>
      <w:pPr>
        <w:spacing w:after="100" w:before="100" w:line="360"/>
        <w:jc w:val="both"/>
      </w:pPr>
      <w:r>
        <w:rPr>
          <w:rFonts w:ascii="Times New Roman" w:cs="Times New Roman" w:eastAsia="Times New Roman" w:hAnsi="Times New Roman"/>
          <w:sz w:val="24"/>
          <w:szCs w:val="24"/>
        </w:rPr>
        <w:t xml:space="preserve">Academic and commercial interest in blockchain-based real estate has accelerated measurably since 2020. Saari et al. confirmed a steady upward trend in adoption across both government-initiated land registry modernisation programmes and private-sector fractional property investment platforms [1]. The identified gap in the existing literature is the absence of integrated implementations combining NFT-based property ownership representation, an open marketplace, and wallet-authenticated atomic purchasing within a single deployable application — the precise gap that BBREMS is designed to address.</w:t>
      </w:r>
    </w:p>
    <w:p>
      <w:pPr>
        <w:pStyle w:val="Heading2"/>
        <w:spacing w:after="120" w:before="240"/>
      </w:pPr>
      <w:r>
        <w:rPr>
          <w:rFonts w:ascii="Times New Roman" w:cs="Times New Roman" w:eastAsia="Times New Roman" w:hAnsi="Times New Roman"/>
          <w:b/>
          <w:bCs/>
          <w:color w:val="2E75B6"/>
          <w:sz w:val="24"/>
          <w:szCs w:val="24"/>
        </w:rPr>
        <w:t xml:space="preserve">2.2  Problem Identification</w:t>
      </w:r>
    </w:p>
    <w:p>
      <w:pPr>
        <w:spacing w:after="100" w:before="100" w:line="360"/>
        <w:jc w:val="both"/>
      </w:pPr>
      <w:r>
        <w:rPr>
          <w:rFonts w:ascii="Times New Roman" w:cs="Times New Roman" w:eastAsia="Times New Roman" w:hAnsi="Times New Roman"/>
          <w:sz w:val="24"/>
          <w:szCs w:val="24"/>
        </w:rPr>
        <w:t xml:space="preserve">A systematic analysis of existing property transaction processes and the relevant academic literature identified five interconnected problems whose resolution motivates the BBREMS architecture.</w:t>
      </w:r>
    </w:p>
    <w:p>
      <w:pPr>
        <w:spacing w:after="100" w:before="100" w:line="360"/>
        <w:jc w:val="both"/>
      </w:pPr>
      <w:r>
        <w:rPr>
          <w:rFonts w:ascii="Times New Roman" w:cs="Times New Roman" w:eastAsia="Times New Roman" w:hAnsi="Times New Roman"/>
          <w:sz w:val="24"/>
          <w:szCs w:val="24"/>
        </w:rPr>
        <w:t xml:space="preserve">Fraud Vulnerability: Centralised registries constitute a single point of institutional attack, with extensively documented instances of forged title deeds and insider manipulation undermining registry integrity in multiple jurisdictions. Blockchain's distributed ledger architecture and cryptographic record immutability directly counteract this vulnerability at its root.</w:t>
      </w:r>
    </w:p>
    <w:p>
      <w:pPr>
        <w:spacing w:after="100" w:before="100" w:line="360"/>
        <w:jc w:val="both"/>
      </w:pPr>
      <w:r>
        <w:rPr>
          <w:rFonts w:ascii="Times New Roman" w:cs="Times New Roman" w:eastAsia="Times New Roman" w:hAnsi="Times New Roman"/>
          <w:sz w:val="24"/>
          <w:szCs w:val="24"/>
        </w:rPr>
        <w:t xml:space="preserve">Process Inefficiency: Multi-step transaction workflows requiring manual human intervention at every stage unnecessarily extend settlement timelines from weeks to months. Conditional logic encoded within smart contracts eliminates the manual verification bottleneck and enables near-instant finality.</w:t>
      </w:r>
    </w:p>
    <w:p>
      <w:pPr>
        <w:spacing w:after="100" w:before="100" w:line="360"/>
        <w:jc w:val="both"/>
      </w:pPr>
      <w:r>
        <w:rPr>
          <w:rFonts w:ascii="Times New Roman" w:cs="Times New Roman" w:eastAsia="Times New Roman" w:hAnsi="Times New Roman"/>
          <w:sz w:val="24"/>
          <w:szCs w:val="24"/>
        </w:rPr>
        <w:t xml:space="preserve">Information Asymmetry: Fragmented and incomplete ownership records compel buyers and their legal advisors to expend considerable time and expense in title research and verification. An on-chain, permanently auditable ownership history eliminates this research burden for all transacting parties.</w:t>
      </w:r>
    </w:p>
    <w:p>
      <w:pPr>
        <w:spacing w:after="100" w:before="100" w:line="360"/>
        <w:jc w:val="both"/>
      </w:pPr>
      <w:r>
        <w:rPr>
          <w:rFonts w:ascii="Times New Roman" w:cs="Times New Roman" w:eastAsia="Times New Roman" w:hAnsi="Times New Roman"/>
          <w:sz w:val="24"/>
          <w:szCs w:val="24"/>
        </w:rPr>
        <w:t xml:space="preserve">Investment Inaccessibility: Prohibitively high per-unit property values restrict direct ownership participation to large capital holders. NFT-based property tokenisation establishes a technically sound foundation for fractional ownership mechanisms and secondary market trading, broadening investment accessibility.</w:t>
      </w:r>
    </w:p>
    <w:p>
      <w:pPr>
        <w:spacing w:after="100" w:before="100" w:line="360"/>
        <w:jc w:val="both"/>
      </w:pPr>
      <w:r>
        <w:rPr>
          <w:rFonts w:ascii="Times New Roman" w:cs="Times New Roman" w:eastAsia="Times New Roman" w:hAnsi="Times New Roman"/>
          <w:sz w:val="24"/>
          <w:szCs w:val="24"/>
        </w:rPr>
        <w:t xml:space="preserve">Cross-Jurisdictional Complexity: International property transactions face compounded legal and currency conversion challenges. A blockchain-native ownership record provides a jurisdiction-neutral, globally verifiable title representation that transcends these barriers.</w:t>
      </w:r>
    </w:p>
    <w:p>
      <w:pPr>
        <w:pStyle w:val="Heading2"/>
        <w:spacing w:after="120" w:before="240"/>
      </w:pPr>
      <w:r>
        <w:rPr>
          <w:rFonts w:ascii="Times New Roman" w:cs="Times New Roman" w:eastAsia="Times New Roman" w:hAnsi="Times New Roman"/>
          <w:b/>
          <w:bCs/>
          <w:color w:val="2E75B6"/>
          <w:sz w:val="24"/>
          <w:szCs w:val="24"/>
        </w:rPr>
        <w:t xml:space="preserve">2.3  Technology Stack Selection</w:t>
      </w:r>
    </w:p>
    <w:p>
      <w:pPr>
        <w:spacing w:after="100" w:before="100" w:line="360"/>
        <w:jc w:val="both"/>
      </w:pPr>
      <w:r>
        <w:rPr>
          <w:rFonts w:ascii="Times New Roman" w:cs="Times New Roman" w:eastAsia="Times New Roman" w:hAnsi="Times New Roman"/>
          <w:sz w:val="24"/>
          <w:szCs w:val="24"/>
        </w:rPr>
        <w:t xml:space="preserve">Technology selection was governed by three principal criteria: alignment with specific functional requirements, tool maturity and community support, and compatibility with the development team's existing technical competencies.</w:t>
      </w:r>
    </w:p>
    <w:p>
      <w:pPr>
        <w:spacing w:after="100" w:before="100" w:line="360"/>
        <w:jc w:val="both"/>
      </w:pPr>
      <w:r>
        <w:rPr>
          <w:rFonts w:ascii="Times New Roman" w:cs="Times New Roman" w:eastAsia="Times New Roman" w:hAnsi="Times New Roman"/>
          <w:sz w:val="24"/>
          <w:szCs w:val="24"/>
        </w:rPr>
        <w:t xml:space="preserve">Blockchain Network: A local Hardhat development network served as the primary environment for all development and testing activities. The architecture is explicitly designed to target Ethereum-compatible Layer-2 networks for any future production extension. Hardhat provides deterministic block mining, detailed gas reporting, and a comprehensive JavaScript-based testing environment essential for smart contract development.</w:t>
      </w:r>
    </w:p>
    <w:p>
      <w:pPr>
        <w:spacing w:after="100" w:before="100" w:line="360"/>
        <w:jc w:val="both"/>
      </w:pPr>
      <w:r>
        <w:rPr>
          <w:rFonts w:ascii="Times New Roman" w:cs="Times New Roman" w:eastAsia="Times New Roman" w:hAnsi="Times New Roman"/>
          <w:sz w:val="24"/>
          <w:szCs w:val="24"/>
        </w:rPr>
        <w:t xml:space="preserve">Smart Contract Language: Solidity version 0.8.x was selected for its built-in arithmetic overflow protection, mature compiler toolchain, extensive library ecosystem, and dominant position within the Ethereum development community. OpenZeppelin's externally audited ERC-721 implementation provides the property NFT standard underlying the tokenisation module.</w:t>
      </w:r>
    </w:p>
    <w:p>
      <w:pPr>
        <w:spacing w:after="100" w:before="100" w:line="360"/>
        <w:jc w:val="both"/>
      </w:pPr>
      <w:r>
        <w:rPr>
          <w:rFonts w:ascii="Times New Roman" w:cs="Times New Roman" w:eastAsia="Times New Roman" w:hAnsi="Times New Roman"/>
          <w:sz w:val="24"/>
          <w:szCs w:val="24"/>
        </w:rPr>
        <w:t xml:space="preserve">Frontend Framework: Next.js 14 combined with Tailwind CSS provides a performant, component-based interface with server-side rendering capabilities. Ethers.js version 6 facilitates type-safe, low-level blockchain interaction from the browser environment.</w:t>
      </w:r>
    </w:p>
    <w:p>
      <w:pPr>
        <w:spacing w:after="100" w:before="100" w:line="360"/>
        <w:jc w:val="both"/>
      </w:pPr>
      <w:r>
        <w:rPr>
          <w:rFonts w:ascii="Times New Roman" w:cs="Times New Roman" w:eastAsia="Times New Roman" w:hAnsi="Times New Roman"/>
          <w:sz w:val="24"/>
          <w:szCs w:val="24"/>
        </w:rPr>
        <w:t xml:space="preserve">Wallet Infrastructure: MetaMask remains the dominant Ethereum browser wallet extension, offering broad user adoption, comprehensive developer documentation, and a security-tested key management architecture familiar to the target user base.</w:t>
      </w:r>
    </w:p>
    <w:p>
      <w:pPr>
        <w:pStyle w:val="Heading2"/>
        <w:spacing w:after="120" w:before="240"/>
      </w:pPr>
      <w:r>
        <w:rPr>
          <w:rFonts w:ascii="Times New Roman" w:cs="Times New Roman" w:eastAsia="Times New Roman" w:hAnsi="Times New Roman"/>
          <w:b/>
          <w:bCs/>
          <w:color w:val="2E75B6"/>
          <w:sz w:val="24"/>
          <w:szCs w:val="24"/>
        </w:rPr>
        <w:t xml:space="preserve">2.4  System Architecture Overview</w:t>
      </w:r>
    </w:p>
    <w:p>
      <w:pPr>
        <w:pStyle w:val="Heading3"/>
        <w:spacing w:after="100" w:before="200"/>
      </w:pPr>
      <w:r>
        <w:rPr>
          <w:rFonts w:ascii="Times New Roman" w:cs="Times New Roman" w:eastAsia="Times New Roman" w:hAnsi="Times New Roman"/>
          <w:b/>
          <w:bCs/>
          <w:i/>
          <w:iCs/>
          <w:color w:val="000000"/>
          <w:sz w:val="22"/>
          <w:szCs w:val="22"/>
        </w:rPr>
        <w:t xml:space="preserve">2.4.1  Data Ingestion</w:t>
      </w:r>
    </w:p>
    <w:p>
      <w:pPr>
        <w:spacing w:after="100" w:before="100" w:line="360"/>
        <w:jc w:val="both"/>
      </w:pPr>
      <w:r>
        <w:rPr>
          <w:rFonts w:ascii="Times New Roman" w:cs="Times New Roman" w:eastAsia="Times New Roman" w:hAnsi="Times New Roman"/>
          <w:sz w:val="24"/>
          <w:szCs w:val="24"/>
        </w:rPr>
        <w:t xml:space="preserve">Property data enters BBREMS through the List Property frontend interface. A user completes a validated form specifying the property's location title, asking price denominated in ETH, and optionally an associated image URI. Upon MetaMask-confirmed submission, the smart contract's mintAndList() function creates the corresponding NFT and records the marketplace listing in a single atomic on-chain transaction.</w:t>
      </w:r>
    </w:p>
    <w:p>
      <w:pPr>
        <w:pStyle w:val="Heading3"/>
        <w:spacing w:after="100" w:before="200"/>
      </w:pPr>
      <w:r>
        <w:rPr>
          <w:rFonts w:ascii="Times New Roman" w:cs="Times New Roman" w:eastAsia="Times New Roman" w:hAnsi="Times New Roman"/>
          <w:b/>
          <w:bCs/>
          <w:i/>
          <w:iCs/>
          <w:color w:val="000000"/>
          <w:sz w:val="22"/>
          <w:szCs w:val="22"/>
        </w:rPr>
        <w:t xml:space="preserve">2.4.2  Smart Contract Layer</w:t>
      </w:r>
    </w:p>
    <w:p>
      <w:pPr>
        <w:spacing w:after="100" w:before="100" w:line="360"/>
        <w:jc w:val="both"/>
      </w:pPr>
      <w:r>
        <w:rPr>
          <w:rFonts w:ascii="Times New Roman" w:cs="Times New Roman" w:eastAsia="Times New Roman" w:hAnsi="Times New Roman"/>
          <w:sz w:val="24"/>
          <w:szCs w:val="24"/>
        </w:rPr>
        <w:t xml:space="preserve">The core business logic resides in a Solidity contract inheriting from OpenZeppelin's ERC721URIStorage. The contract manages a mapping of token identifiers to property metadata structures, an active listing registry mapping token IDs to listing detail records, and a purchase function that validates payment, transfers the NFT, and releases ETH to the seller — all atomically within a single transaction.</w:t>
      </w:r>
    </w:p>
    <w:p>
      <w:pPr>
        <w:pStyle w:val="Heading3"/>
        <w:spacing w:after="100" w:before="200"/>
      </w:pPr>
      <w:r>
        <w:rPr>
          <w:rFonts w:ascii="Times New Roman" w:cs="Times New Roman" w:eastAsia="Times New Roman" w:hAnsi="Times New Roman"/>
          <w:b/>
          <w:bCs/>
          <w:i/>
          <w:iCs/>
          <w:color w:val="000000"/>
          <w:sz w:val="22"/>
          <w:szCs w:val="22"/>
        </w:rPr>
        <w:t xml:space="preserve">2.4.3  Transaction Processing</w:t>
      </w:r>
    </w:p>
    <w:p>
      <w:pPr>
        <w:spacing w:after="100" w:before="100" w:line="360"/>
        <w:jc w:val="both"/>
      </w:pPr>
      <w:r>
        <w:rPr>
          <w:rFonts w:ascii="Times New Roman" w:cs="Times New Roman" w:eastAsia="Times New Roman" w:hAnsi="Times New Roman"/>
          <w:sz w:val="24"/>
          <w:szCs w:val="24"/>
        </w:rPr>
        <w:t xml:space="preserve">Every state-changing operation is initiated as a cryptographically signed Ethereum transaction originating from the user's MetaMask wallet. The frontend subscribes to smart contract events via the ethers.js contract event API, updating the user interface reactively upon transaction confirmation without requiring manual page refresh.</w:t>
      </w:r>
    </w:p>
    <w:p>
      <w:pPr>
        <w:pStyle w:val="Heading3"/>
        <w:spacing w:after="100" w:before="200"/>
      </w:pPr>
      <w:r>
        <w:rPr>
          <w:rFonts w:ascii="Times New Roman" w:cs="Times New Roman" w:eastAsia="Times New Roman" w:hAnsi="Times New Roman"/>
          <w:b/>
          <w:bCs/>
          <w:i/>
          <w:iCs/>
          <w:color w:val="000000"/>
          <w:sz w:val="22"/>
          <w:szCs w:val="22"/>
        </w:rPr>
        <w:t xml:space="preserve">2.4.4  Privacy Considerations</w:t>
      </w:r>
    </w:p>
    <w:p>
      <w:pPr>
        <w:spacing w:after="100" w:before="100" w:line="360"/>
        <w:jc w:val="both"/>
      </w:pPr>
      <w:r>
        <w:rPr>
          <w:rFonts w:ascii="Times New Roman" w:cs="Times New Roman" w:eastAsia="Times New Roman" w:hAnsi="Times New Roman"/>
          <w:sz w:val="24"/>
          <w:szCs w:val="24"/>
        </w:rPr>
        <w:t xml:space="preserve">Property documentation may contain personally identifiable information. The production architecture records only cryptographic content identifiers (CIDs) on-chain rather than document content itself. Users retain custody of their private keys, ensuring sovereign control over their digital assets and on-chain identity.</w:t>
      </w:r>
    </w:p>
    <w:p>
      <w:pPr>
        <w:pStyle w:val="Heading2"/>
        <w:spacing w:after="120" w:before="240"/>
      </w:pPr>
      <w:r>
        <w:rPr>
          <w:rFonts w:ascii="Times New Roman" w:cs="Times New Roman" w:eastAsia="Times New Roman" w:hAnsi="Times New Roman"/>
          <w:b/>
          <w:bCs/>
          <w:color w:val="2E75B6"/>
          <w:sz w:val="24"/>
          <w:szCs w:val="24"/>
        </w:rPr>
        <w:t xml:space="preserve">2.5  System Modules</w:t>
      </w:r>
    </w:p>
    <w:p>
      <w:pPr>
        <w:pStyle w:val="Heading3"/>
        <w:spacing w:after="100" w:before="200"/>
      </w:pPr>
      <w:r>
        <w:rPr>
          <w:rFonts w:ascii="Times New Roman" w:cs="Times New Roman" w:eastAsia="Times New Roman" w:hAnsi="Times New Roman"/>
          <w:b/>
          <w:bCs/>
          <w:i/>
          <w:iCs/>
          <w:color w:val="000000"/>
          <w:sz w:val="22"/>
          <w:szCs w:val="22"/>
        </w:rPr>
        <w:t xml:space="preserve">2.5.1  Property Tokenisation Module</w:t>
      </w:r>
    </w:p>
    <w:p>
      <w:pPr>
        <w:spacing w:after="100" w:before="100" w:line="360"/>
        <w:jc w:val="both"/>
      </w:pPr>
      <w:r>
        <w:rPr>
          <w:rFonts w:ascii="Times New Roman" w:cs="Times New Roman" w:eastAsia="Times New Roman" w:hAnsi="Times New Roman"/>
          <w:sz w:val="24"/>
          <w:szCs w:val="24"/>
        </w:rPr>
        <w:t xml:space="preserve">This module enables property owners to mint ERC-721 NFTs representing their assets. Each token carries an on-chain metadata URI referencing a JSON document encoding the property address, image URL, and listing price. The contract records the minter's wallet address as the initial token holder and registers the listing price within the marketplace registry.</w:t>
      </w:r>
    </w:p>
    <w:p>
      <w:pPr>
        <w:pStyle w:val="Heading3"/>
        <w:spacing w:after="100" w:before="200"/>
      </w:pPr>
      <w:r>
        <w:rPr>
          <w:rFonts w:ascii="Times New Roman" w:cs="Times New Roman" w:eastAsia="Times New Roman" w:hAnsi="Times New Roman"/>
          <w:b/>
          <w:bCs/>
          <w:i/>
          <w:iCs/>
          <w:color w:val="000000"/>
          <w:sz w:val="22"/>
          <w:szCs w:val="22"/>
        </w:rPr>
        <w:t xml:space="preserve">2.5.2  Marketplace Module</w:t>
      </w:r>
    </w:p>
    <w:p>
      <w:pPr>
        <w:spacing w:after="100" w:before="100" w:line="360"/>
        <w:jc w:val="both"/>
      </w:pPr>
      <w:r>
        <w:rPr>
          <w:rFonts w:ascii="Times New Roman" w:cs="Times New Roman" w:eastAsia="Times New Roman" w:hAnsi="Times New Roman"/>
          <w:sz w:val="24"/>
          <w:szCs w:val="24"/>
        </w:rPr>
        <w:t xml:space="preserve">An on-chain registry tracks all currently active property listings. When an owner lists a property, the contract records the listing price and marks the corresponding token as available for purchase. The frontend marketplace page retrieves all active listings and renders them as property cards displaying images, addresses, prices in ETH, Token IDs, and seller addresses.</w:t>
      </w:r>
    </w:p>
    <w:p>
      <w:pPr>
        <w:pStyle w:val="Heading3"/>
        <w:spacing w:after="100" w:before="200"/>
      </w:pPr>
      <w:r>
        <w:rPr>
          <w:rFonts w:ascii="Times New Roman" w:cs="Times New Roman" w:eastAsia="Times New Roman" w:hAnsi="Times New Roman"/>
          <w:b/>
          <w:bCs/>
          <w:i/>
          <w:iCs/>
          <w:color w:val="000000"/>
          <w:sz w:val="22"/>
          <w:szCs w:val="22"/>
        </w:rPr>
        <w:t xml:space="preserve">2.5.3  Purchase Module</w:t>
      </w:r>
    </w:p>
    <w:p>
      <w:pPr>
        <w:spacing w:after="100" w:before="100" w:line="360"/>
        <w:jc w:val="both"/>
      </w:pPr>
      <w:r>
        <w:rPr>
          <w:rFonts w:ascii="Times New Roman" w:cs="Times New Roman" w:eastAsia="Times New Roman" w:hAnsi="Times New Roman"/>
          <w:sz w:val="24"/>
          <w:szCs w:val="24"/>
        </w:rPr>
        <w:t xml:space="preserve">The purchase workflow is fully atomic: a buyer transmits the exact ETH amount to the contract's purchase function. The contract validates payment sufficiency, transfers the NFT to the buyer, releases the ETH to the seller, updates the listing registry to reflect the completed transaction, and emits a PropertySold event — all within a single indivisible transaction that either executes completely or reverts entirely.</w:t>
      </w:r>
    </w:p>
    <w:p>
      <w:pPr>
        <w:pStyle w:val="Heading3"/>
        <w:spacing w:after="100" w:before="200"/>
      </w:pPr>
      <w:r>
        <w:rPr>
          <w:rFonts w:ascii="Times New Roman" w:cs="Times New Roman" w:eastAsia="Times New Roman" w:hAnsi="Times New Roman"/>
          <w:b/>
          <w:bCs/>
          <w:i/>
          <w:iCs/>
          <w:color w:val="000000"/>
          <w:sz w:val="22"/>
          <w:szCs w:val="22"/>
        </w:rPr>
        <w:t xml:space="preserve">2.5.4  Wallet Authentication Module</w:t>
      </w:r>
    </w:p>
    <w:p>
      <w:pPr>
        <w:spacing w:after="100" w:before="100" w:line="360"/>
        <w:jc w:val="both"/>
      </w:pPr>
      <w:r>
        <w:rPr>
          <w:rFonts w:ascii="Times New Roman" w:cs="Times New Roman" w:eastAsia="Times New Roman" w:hAnsi="Times New Roman"/>
          <w:sz w:val="24"/>
          <w:szCs w:val="24"/>
        </w:rPr>
        <w:t xml:space="preserve">MetaMask integration is implemented via ethers.js BrowserProvider. On page load, the application detects wallet connection status and presents a clear Connect Wallet prompt when no active connection is detected. The connected wallet address is displayed persistently in the navigation bar and used both to personalise dashboard content and to gate all privileged operations.</w:t>
      </w:r>
    </w:p>
    <w:p>
      <w:pPr>
        <w:pStyle w:val="Heading2"/>
        <w:spacing w:after="120" w:before="240"/>
      </w:pPr>
      <w:r>
        <w:rPr>
          <w:rFonts w:ascii="Times New Roman" w:cs="Times New Roman" w:eastAsia="Times New Roman" w:hAnsi="Times New Roman"/>
          <w:b/>
          <w:bCs/>
          <w:color w:val="2E75B6"/>
          <w:sz w:val="24"/>
          <w:szCs w:val="24"/>
        </w:rPr>
        <w:t xml:space="preserve">2.6  Data Model</w:t>
      </w:r>
    </w:p>
    <w:p>
      <w:pPr>
        <w:spacing w:after="100" w:before="100" w:line="360"/>
        <w:jc w:val="both"/>
      </w:pPr>
      <w:r>
        <w:rPr>
          <w:rFonts w:ascii="Times New Roman" w:cs="Times New Roman" w:eastAsia="Times New Roman" w:hAnsi="Times New Roman"/>
          <w:sz w:val="24"/>
          <w:szCs w:val="24"/>
        </w:rPr>
        <w:t xml:space="preserve">The system manages three primary on-chain data entities. The Property entity stores: TokenID (uint256), OwnerAddress (address), MetadataURI (string), ListingPrice (uint256), and IsListed (bool). The Transaction entity records the historical transfer including Seller address, Buyer address, Amount in wei, and BlockTimestamp. The User entity is implicitly represented by wallet addresses within the ERC-721 ownerOf() mapping, requiring no separate on-chain user registry for the prototype scope.</w:t>
      </w:r>
    </w:p>
    <w:p>
      <w:pPr>
        <w:spacing w:after="100" w:before="100" w:line="360"/>
        <w:jc w:val="both"/>
      </w:pPr>
      <w:r>
        <w:rPr>
          <w:rFonts w:ascii="Times New Roman" w:cs="Times New Roman" w:eastAsia="Times New Roman" w:hAnsi="Times New Roman"/>
          <w:sz w:val="24"/>
          <w:szCs w:val="24"/>
        </w:rPr>
        <w:t xml:space="preserve">Properties are linked to Users through the ERC-721 ownerOf() mapping. Transactions reference one Property and two User addresses. This deliberately parsimonious data model minimises on-chain storage costs while preserving the complete audit trail required for reliable ownership verification.</w:t>
      </w:r>
    </w:p>
    <w:p>
      <w:r>
        <w:br w:type="page"/>
      </w:r>
    </w:p>
    <w:p>
      <w:pPr>
        <w:spacing w:after="80" w:before="480"/>
        <w:jc w:val="center"/>
      </w:pPr>
      <w:r>
        <w:rPr>
          <w:rFonts w:ascii="Times New Roman" w:cs="Times New Roman" w:eastAsia="Times New Roman" w:hAnsi="Times New Roman"/>
          <w:b/>
          <w:bCs/>
          <w:color w:val="1F4E79"/>
          <w:sz w:val="32"/>
          <w:szCs w:val="32"/>
        </w:rPr>
        <w:t xml:space="preserve">CHAPTER 3</w:t>
      </w:r>
    </w:p>
    <w:p>
      <w:pPr>
        <w:spacing w:after="360" w:before="80"/>
        <w:jc w:val="center"/>
      </w:pPr>
      <w:r>
        <w:rPr>
          <w:rFonts w:ascii="Times New Roman" w:cs="Times New Roman" w:eastAsia="Times New Roman" w:hAnsi="Times New Roman"/>
          <w:b/>
          <w:bCs/>
          <w:color w:val="1F4E79"/>
          <w:sz w:val="32"/>
          <w:szCs w:val="32"/>
        </w:rPr>
        <w:t xml:space="preserve">SYSTEM DESIGN</w:t>
      </w:r>
    </w:p>
    <w:p>
      <w:pPr>
        <w:pStyle w:val="Heading2"/>
        <w:spacing w:after="120" w:before="240"/>
      </w:pPr>
      <w:r>
        <w:rPr>
          <w:rFonts w:ascii="Times New Roman" w:cs="Times New Roman" w:eastAsia="Times New Roman" w:hAnsi="Times New Roman"/>
          <w:b/>
          <w:bCs/>
          <w:color w:val="2E75B6"/>
          <w:sz w:val="24"/>
          <w:szCs w:val="24"/>
        </w:rPr>
        <w:t xml:space="preserve">3.1  Design Philosophy</w:t>
      </w:r>
    </w:p>
    <w:p>
      <w:pPr>
        <w:spacing w:after="100" w:before="100" w:line="360"/>
        <w:jc w:val="both"/>
      </w:pPr>
      <w:r>
        <w:rPr>
          <w:rFonts w:ascii="Times New Roman" w:cs="Times New Roman" w:eastAsia="Times New Roman" w:hAnsi="Times New Roman"/>
          <w:sz w:val="24"/>
          <w:szCs w:val="24"/>
        </w:rPr>
        <w:t xml:space="preserve">The design phase of BBREMS was governed by the unique constraint of blockchain immutability. Unlike conventional server-side software where defects can be corrected through deployable patches, errors in a committed Solidity contract persist permanently on the ledger and cannot be unilaterally amended. This reality necessitated a disproportionate investment in formal design review and pre-deployment specification before any production code was authored.</w:t>
      </w:r>
    </w:p>
    <w:p>
      <w:pPr>
        <w:spacing w:after="100" w:before="100" w:line="360"/>
        <w:jc w:val="both"/>
      </w:pPr>
      <w:r>
        <w:rPr>
          <w:rFonts w:ascii="Times New Roman" w:cs="Times New Roman" w:eastAsia="Times New Roman" w:hAnsi="Times New Roman"/>
          <w:sz w:val="24"/>
          <w:szCs w:val="24"/>
        </w:rPr>
        <w:t xml:space="preserve">Three governing principles underpinned all design decisions throughout this phase. The principle of minimality dictates that on-chain storage should carry only information requiring trustless, decentralised verification — specifically ownership records, listing state, and transfer history. The principle of composability requires that all contract interfaces be cleanly defined, versioned, and compatible with standard tooling. The principle of security-first mandates that every design decision be evaluated against established Solidity security best practices prior to adoption.</w:t>
      </w:r>
    </w:p>
    <w:p>
      <w:pPr>
        <w:pStyle w:val="Heading2"/>
        <w:spacing w:after="120" w:before="240"/>
      </w:pPr>
      <w:r>
        <w:rPr>
          <w:rFonts w:ascii="Times New Roman" w:cs="Times New Roman" w:eastAsia="Times New Roman" w:hAnsi="Times New Roman"/>
          <w:b/>
          <w:bCs/>
          <w:color w:val="2E75B6"/>
          <w:sz w:val="24"/>
          <w:szCs w:val="24"/>
        </w:rPr>
        <w:t xml:space="preserve">3.2  Theoretical Foundations</w:t>
      </w:r>
    </w:p>
    <w:p>
      <w:pPr>
        <w:spacing w:after="100" w:before="100" w:line="360"/>
        <w:jc w:val="both"/>
      </w:pPr>
      <w:r>
        <w:rPr>
          <w:rFonts w:ascii="Times New Roman" w:cs="Times New Roman" w:eastAsia="Times New Roman" w:hAnsi="Times New Roman"/>
          <w:sz w:val="24"/>
          <w:szCs w:val="24"/>
        </w:rPr>
        <w:t xml:space="preserve">The system design draws from three distinct research streams. The first is the formal taxonomy of smart contract execution models, which distinguishes deterministic state machines appropriate for property registry logic, oracle-dependent contracts required for external price feeds, and multi-party threshold contracts suitable for escrow arrangements [2]. This taxonomy directly informed the assignment of specific logic to the appropriate contract type within BBREMS.</w:t>
      </w:r>
    </w:p>
    <w:p>
      <w:pPr>
        <w:spacing w:after="100" w:before="100" w:line="360"/>
        <w:jc w:val="both"/>
      </w:pPr>
      <w:r>
        <w:rPr>
          <w:rFonts w:ascii="Times New Roman" w:cs="Times New Roman" w:eastAsia="Times New Roman" w:hAnsi="Times New Roman"/>
          <w:sz w:val="24"/>
          <w:szCs w:val="24"/>
        </w:rPr>
        <w:t xml:space="preserve">The second stream is the economic analysis of land titling systems. Kshetri demonstrates that the primary economic value delivered by blockchain in land administration derives from reducing uncertainty costs — the costs that buyers, sellers, and financiers incur in verifying title validity prior to transaction [8]. An immutable, auditable on-chain ownership history directly addresses this uncertainty premium.</w:t>
      </w:r>
    </w:p>
    <w:p>
      <w:pPr>
        <w:spacing w:after="100" w:before="100" w:line="360"/>
        <w:jc w:val="both"/>
      </w:pPr>
      <w:r>
        <w:rPr>
          <w:rFonts w:ascii="Times New Roman" w:cs="Times New Roman" w:eastAsia="Times New Roman" w:hAnsi="Times New Roman"/>
          <w:sz w:val="24"/>
          <w:szCs w:val="24"/>
        </w:rPr>
        <w:t xml:space="preserve">The third stream is the empirical comparison of blockchain platforms for real estate applications [4]. Comparative analyses informed both the selection of the Hardhat/Ethereum development environment and the architectural design for seamless Layer-2 network extension.</w:t>
      </w:r>
    </w:p>
    <w:p>
      <w:pPr>
        <w:pStyle w:val="Heading2"/>
        <w:spacing w:after="120" w:before="240"/>
      </w:pPr>
      <w:r>
        <w:rPr>
          <w:rFonts w:ascii="Times New Roman" w:cs="Times New Roman" w:eastAsia="Times New Roman" w:hAnsi="Times New Roman"/>
          <w:b/>
          <w:bCs/>
          <w:color w:val="2E75B6"/>
          <w:sz w:val="24"/>
          <w:szCs w:val="24"/>
        </w:rPr>
        <w:t xml:space="preserve">3.3  Smart Contract Design Patterns</w:t>
      </w:r>
    </w:p>
    <w:p>
      <w:pPr>
        <w:pStyle w:val="Heading3"/>
        <w:spacing w:after="100" w:before="200"/>
      </w:pPr>
      <w:r>
        <w:rPr>
          <w:rFonts w:ascii="Times New Roman" w:cs="Times New Roman" w:eastAsia="Times New Roman" w:hAnsi="Times New Roman"/>
          <w:b/>
          <w:bCs/>
          <w:i/>
          <w:iCs/>
          <w:color w:val="000000"/>
          <w:sz w:val="22"/>
          <w:szCs w:val="22"/>
        </w:rPr>
        <w:t xml:space="preserve">3.3.1  Checks-Effects-Interactions Pattern</w:t>
      </w:r>
    </w:p>
    <w:p>
      <w:pPr>
        <w:spacing w:after="100" w:before="100" w:line="360"/>
        <w:jc w:val="both"/>
      </w:pPr>
      <w:r>
        <w:rPr>
          <w:rFonts w:ascii="Times New Roman" w:cs="Times New Roman" w:eastAsia="Times New Roman" w:hAnsi="Times New Roman"/>
          <w:sz w:val="24"/>
          <w:szCs w:val="24"/>
        </w:rPr>
        <w:t xml:space="preserve">The Checks-Effects-Interactions (CEI) pattern is applied to all payable functions within the BBREMS contract. Preconditions are verified first (checks), state variables are updated next (effects), and external calls are executed last (interactions). This deliberate ordering prevents reentrancy attacks in which a malicious external contract attempts to repeatedly invoke the function before the contract's state has been updated to reflect the first call.</w:t>
      </w:r>
    </w:p>
    <w:p>
      <w:pPr>
        <w:pStyle w:val="Heading3"/>
        <w:spacing w:after="100" w:before="200"/>
      </w:pPr>
      <w:r>
        <w:rPr>
          <w:rFonts w:ascii="Times New Roman" w:cs="Times New Roman" w:eastAsia="Times New Roman" w:hAnsi="Times New Roman"/>
          <w:b/>
          <w:bCs/>
          <w:i/>
          <w:iCs/>
          <w:color w:val="000000"/>
          <w:sz w:val="22"/>
          <w:szCs w:val="22"/>
        </w:rPr>
        <w:t xml:space="preserve">3.3.2  Pull Payment Pattern</w:t>
      </w:r>
    </w:p>
    <w:p>
      <w:pPr>
        <w:spacing w:after="100" w:before="100" w:line="360"/>
        <w:jc w:val="both"/>
      </w:pPr>
      <w:r>
        <w:rPr>
          <w:rFonts w:ascii="Times New Roman" w:cs="Times New Roman" w:eastAsia="Times New Roman" w:hAnsi="Times New Roman"/>
          <w:sz w:val="24"/>
          <w:szCs w:val="24"/>
        </w:rPr>
        <w:t xml:space="preserve">Fund releases within BBREMS employ the pull payment model, requiring recipients to actively initiate withdrawal of their funds rather than receiving automatic push transfers. This design choice eliminates a class of reentrancy and denial-of-service vulnerabilities associated with automatic fund transfers to external addresses with unknown fallback function behaviour.</w:t>
      </w:r>
    </w:p>
    <w:p>
      <w:pPr>
        <w:pStyle w:val="Heading3"/>
        <w:spacing w:after="100" w:before="200"/>
      </w:pPr>
      <w:r>
        <w:rPr>
          <w:rFonts w:ascii="Times New Roman" w:cs="Times New Roman" w:eastAsia="Times New Roman" w:hAnsi="Times New Roman"/>
          <w:b/>
          <w:bCs/>
          <w:i/>
          <w:iCs/>
          <w:color w:val="000000"/>
          <w:sz w:val="22"/>
          <w:szCs w:val="22"/>
        </w:rPr>
        <w:t xml:space="preserve">3.3.3  Role-Based Access Control</w:t>
      </w:r>
    </w:p>
    <w:p>
      <w:pPr>
        <w:spacing w:after="100" w:before="100" w:line="360"/>
        <w:jc w:val="both"/>
      </w:pPr>
      <w:r>
        <w:rPr>
          <w:rFonts w:ascii="Times New Roman" w:cs="Times New Roman" w:eastAsia="Times New Roman" w:hAnsi="Times New Roman"/>
          <w:sz w:val="24"/>
          <w:szCs w:val="24"/>
        </w:rPr>
        <w:t xml:space="preserve">OpenZeppelin's AccessControl implementation assigns permissions at role granularity. ADMIN_ROLE holders manage role assignments and administrative functions; property owners are exclusively permitted to list their own NFTs; and buyers may execute the purchase function only for correctly priced, actively listed properties belonging to other wallet addresses.</w:t>
      </w:r>
    </w:p>
    <w:p>
      <w:pPr>
        <w:pStyle w:val="Heading3"/>
        <w:spacing w:after="100" w:before="200"/>
      </w:pPr>
      <w:r>
        <w:rPr>
          <w:rFonts w:ascii="Times New Roman" w:cs="Times New Roman" w:eastAsia="Times New Roman" w:hAnsi="Times New Roman"/>
          <w:b/>
          <w:bCs/>
          <w:i/>
          <w:iCs/>
          <w:color w:val="000000"/>
          <w:sz w:val="22"/>
          <w:szCs w:val="22"/>
        </w:rPr>
        <w:t xml:space="preserve">3.3.4  Gas Optimisation</w:t>
      </w:r>
    </w:p>
    <w:p>
      <w:pPr>
        <w:spacing w:after="100" w:before="100" w:line="360"/>
        <w:jc w:val="both"/>
      </w:pPr>
      <w:r>
        <w:rPr>
          <w:rFonts w:ascii="Times New Roman" w:cs="Times New Roman" w:eastAsia="Times New Roman" w:hAnsi="Times New Roman"/>
          <w:sz w:val="24"/>
          <w:szCs w:val="24"/>
        </w:rPr>
        <w:t xml:space="preserve">Gas efficiency is treated as a first-class design requirement throughout the contract implementation. Principal optimisations include: adopting uint256 as the primary integer type to avoid EVM padding costs; packing storage variables into 32-byte slots where structurally feasible; emitting events rather than performing expensive storage writes for data consumed exclusively off-chain (events consume approximately 375 gas versus approximately 20,000 gas for a cold SSTORE operation); and using mappings for O(1) constant-time lookups. Solidity 0.8.x's built-in arithmetic overflow protection eliminates the need for SafeMath, reducing both bytecode size and deployment cost.</w:t>
      </w:r>
    </w:p>
    <w:p>
      <w:pPr>
        <w:pStyle w:val="Heading2"/>
        <w:spacing w:after="120" w:before="240"/>
      </w:pPr>
      <w:r>
        <w:rPr>
          <w:rFonts w:ascii="Times New Roman" w:cs="Times New Roman" w:eastAsia="Times New Roman" w:hAnsi="Times New Roman"/>
          <w:b/>
          <w:bCs/>
          <w:color w:val="2E75B6"/>
          <w:sz w:val="24"/>
          <w:szCs w:val="24"/>
        </w:rPr>
        <w:t xml:space="preserve">3.4  System Workflow</w:t>
      </w:r>
    </w:p>
    <w:p>
      <w:pPr>
        <w:spacing w:after="100" w:before="100" w:line="360"/>
        <w:jc w:val="both"/>
      </w:pPr>
      <w:r>
        <w:rPr>
          <w:rFonts w:ascii="Times New Roman" w:cs="Times New Roman" w:eastAsia="Times New Roman" w:hAnsi="Times New Roman"/>
          <w:sz w:val="24"/>
          <w:szCs w:val="24"/>
        </w:rPr>
        <w:t xml:space="preserve">The complete BBREMS transaction lifecycle proceeds through three sequential phases. In the Onboarding Phase, the user installs MetaMask, creates or imports a wallet, and configures it for connection to the local Hardhat network. The frontend detects the established connection and populates the navigation bar with the active wallet address. In the Listing Phase, a property owner navigates to the List Property page, completes the property details form, and submits the transaction. MetaMask presents a confirmation dialog; upon user approval, the contract mints the corresponding NFT and records the marketplace listing. In the Purchase Phase, a prospective buyer browses the Marketplace, selects a property of interest, and initiates a purchase. MetaMask confirms the ETH transfer amount; the contract atomically transfers the NFT to the buyer and the ETH to the seller in a single indivisible transaction.</w:t>
      </w:r>
    </w:p>
    <w:p>
      <w:pPr>
        <w:pStyle w:val="Heading2"/>
        <w:spacing w:after="120" w:before="240"/>
      </w:pPr>
      <w:r>
        <w:rPr>
          <w:rFonts w:ascii="Times New Roman" w:cs="Times New Roman" w:eastAsia="Times New Roman" w:hAnsi="Times New Roman"/>
          <w:b/>
          <w:bCs/>
          <w:color w:val="2E75B6"/>
          <w:sz w:val="24"/>
          <w:szCs w:val="24"/>
        </w:rPr>
        <w:t xml:space="preserve">3.5  Layered System Architecture</w:t>
      </w:r>
    </w:p>
    <w:p>
      <w:pPr>
        <w:pStyle w:val="Heading3"/>
        <w:spacing w:after="100" w:before="200"/>
      </w:pPr>
      <w:r>
        <w:rPr>
          <w:rFonts w:ascii="Times New Roman" w:cs="Times New Roman" w:eastAsia="Times New Roman" w:hAnsi="Times New Roman"/>
          <w:b/>
          <w:bCs/>
          <w:i/>
          <w:iCs/>
          <w:color w:val="000000"/>
          <w:sz w:val="22"/>
          <w:szCs w:val="22"/>
        </w:rPr>
        <w:t xml:space="preserve">3.5.1  Presentation Layer</w:t>
      </w:r>
    </w:p>
    <w:p>
      <w:pPr>
        <w:spacing w:after="100" w:before="100" w:line="360"/>
        <w:jc w:val="both"/>
      </w:pPr>
      <w:r>
        <w:rPr>
          <w:rFonts w:ascii="Times New Roman" w:cs="Times New Roman" w:eastAsia="Times New Roman" w:hAnsi="Times New Roman"/>
          <w:sz w:val="24"/>
          <w:szCs w:val="24"/>
        </w:rPr>
        <w:t xml:space="preserve">The Next.js 14 application delivers three primary views: the Homepage presenting the platform value proposition and primary navigation; the Marketplace displaying all currently active property NFT listings with integrated purchase functionality; and the List Property page providing the form interface for minting and listing new property tokens. Wallet connection status is maintained persistently across all views through the Web3Context provider pattern.</w:t>
      </w:r>
    </w:p>
    <w:p>
      <w:pPr>
        <w:pStyle w:val="Heading3"/>
        <w:spacing w:after="100" w:before="200"/>
      </w:pPr>
      <w:r>
        <w:rPr>
          <w:rFonts w:ascii="Times New Roman" w:cs="Times New Roman" w:eastAsia="Times New Roman" w:hAnsi="Times New Roman"/>
          <w:b/>
          <w:bCs/>
          <w:i/>
          <w:iCs/>
          <w:color w:val="000000"/>
          <w:sz w:val="22"/>
          <w:szCs w:val="22"/>
        </w:rPr>
        <w:t xml:space="preserve">3.5.2  Integration Layer</w:t>
      </w:r>
    </w:p>
    <w:p>
      <w:pPr>
        <w:spacing w:after="100" w:before="100" w:line="360"/>
        <w:jc w:val="both"/>
      </w:pPr>
      <w:r>
        <w:rPr>
          <w:rFonts w:ascii="Times New Roman" w:cs="Times New Roman" w:eastAsia="Times New Roman" w:hAnsi="Times New Roman"/>
          <w:sz w:val="24"/>
          <w:szCs w:val="24"/>
        </w:rPr>
        <w:t xml:space="preserve">Ethers.js version 6 serves as the integration bridge between the Next.js frontend and the deployed Solidity contracts. A Web3Context component wrapping the application root manages the BrowserProvider instance, Signer, active wallet address, and contract factory references. Individual page and component views consume this context through the useWeb3() custom hook, cleanly separating all blockchain interaction logic from UI rendering concerns.</w:t>
      </w:r>
    </w:p>
    <w:p>
      <w:pPr>
        <w:pStyle w:val="Heading3"/>
        <w:spacing w:after="100" w:before="200"/>
      </w:pPr>
      <w:r>
        <w:rPr>
          <w:rFonts w:ascii="Times New Roman" w:cs="Times New Roman" w:eastAsia="Times New Roman" w:hAnsi="Times New Roman"/>
          <w:b/>
          <w:bCs/>
          <w:i/>
          <w:iCs/>
          <w:color w:val="000000"/>
          <w:sz w:val="22"/>
          <w:szCs w:val="22"/>
        </w:rPr>
        <w:t xml:space="preserve">3.5.3  Smart Contract Layer</w:t>
      </w:r>
    </w:p>
    <w:p>
      <w:pPr>
        <w:spacing w:after="100" w:before="100" w:line="360"/>
        <w:jc w:val="both"/>
      </w:pPr>
      <w:r>
        <w:rPr>
          <w:rFonts w:ascii="Times New Roman" w:cs="Times New Roman" w:eastAsia="Times New Roman" w:hAnsi="Times New Roman"/>
          <w:sz w:val="24"/>
          <w:szCs w:val="24"/>
        </w:rPr>
        <w:t xml:space="preserve">The Solidity contract layer hosts all property NFT and marketplace logic on the local Hardhat network. The contract inherits from OpenZeppelin's ERC721URIStorage, augmenting the base standard with custom listing and purchase functions. All state-modifying operations emit structured events that the frontend monitors via ethers.js event subscriptions, enabling reactive UI updates.</w:t>
      </w:r>
    </w:p>
    <w:p>
      <w:pPr>
        <w:pStyle w:val="Heading3"/>
        <w:spacing w:after="100" w:before="200"/>
      </w:pPr>
      <w:r>
        <w:rPr>
          <w:rFonts w:ascii="Times New Roman" w:cs="Times New Roman" w:eastAsia="Times New Roman" w:hAnsi="Times New Roman"/>
          <w:b/>
          <w:bCs/>
          <w:i/>
          <w:iCs/>
          <w:color w:val="000000"/>
          <w:sz w:val="22"/>
          <w:szCs w:val="22"/>
        </w:rPr>
        <w:t xml:space="preserve">3.5.4  Storage Layer</w:t>
      </w:r>
    </w:p>
    <w:p>
      <w:pPr>
        <w:spacing w:after="100" w:before="100" w:line="360"/>
        <w:jc w:val="both"/>
      </w:pPr>
      <w:r>
        <w:rPr>
          <w:rFonts w:ascii="Times New Roman" w:cs="Times New Roman" w:eastAsia="Times New Roman" w:hAnsi="Times New Roman"/>
          <w:sz w:val="24"/>
          <w:szCs w:val="24"/>
        </w:rPr>
        <w:t xml:space="preserve">Property images and associated documents are stored off-chain to avoid prohibitive on-chain storage costs. In the prototype environment, image URIs are provided directly by users at listing time. The production architecture uploads all documents to IPFS via the Pinata pinning service, recording only the resulting content identifiers (CIDs) on-chain, thereby providing cryptographic tamper-evidence without excessive gas consumption.</w:t>
      </w:r>
    </w:p>
    <w:p>
      <w:pPr>
        <w:pStyle w:val="Heading2"/>
        <w:spacing w:after="120" w:before="240"/>
      </w:pPr>
      <w:r>
        <w:rPr>
          <w:rFonts w:ascii="Times New Roman" w:cs="Times New Roman" w:eastAsia="Times New Roman" w:hAnsi="Times New Roman"/>
          <w:b/>
          <w:bCs/>
          <w:color w:val="2E75B6"/>
          <w:sz w:val="24"/>
          <w:szCs w:val="24"/>
        </w:rPr>
        <w:t xml:space="preserve">3.6  Platform Comparison</w:t>
      </w:r>
    </w:p>
    <w:p>
      <w:pPr>
        <w:spacing w:after="60" w:before="100"/>
        <w:jc w:val="center"/>
      </w:pPr>
      <w:r>
        <w:rPr>
          <w:rFonts w:ascii="Times New Roman" w:cs="Times New Roman" w:eastAsia="Times New Roman" w:hAnsi="Times New Roman"/>
          <w:b/>
          <w:bCs/>
          <w:i/>
          <w:iCs/>
          <w:color w:val="404040"/>
          <w:sz w:val="20"/>
          <w:szCs w:val="20"/>
        </w:rPr>
        <w:t xml:space="preserve">Table 3.1: Blockchain Platform Comparison for Real Estate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1550"/>
        <w:gridCol w:w="1550"/>
        <w:gridCol w:w="1550"/>
        <w:gridCol w:w="1460"/>
      </w:tblGrid>
      <w:t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Platform</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TPS</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Avg. Tx Fee</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Finality</w:t>
            </w:r>
          </w:p>
        </w:tc>
        <w:tc>
          <w:tcPr>
            <w:tcW w:type="dxa" w:w="155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Smart Contracts</w:t>
            </w:r>
          </w:p>
        </w:tc>
        <w:tc>
          <w:tcPr>
            <w:tcW w:type="dxa" w:w="14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Suitable for BBREMS</w:t>
            </w:r>
          </w:p>
        </w:tc>
      </w:tr>
      <w:tr>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 L1</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~15</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$5–50</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~13 s</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Solidity</w:t>
            </w:r>
          </w:p>
        </w:tc>
        <w:tc>
          <w:tcPr>
            <w:tcW w:type="dxa" w:w="1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Partial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Polygon L2</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~65,000</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&lt;$0.01</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 s</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Solidity (EVM)</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 (Production)</w:t>
            </w:r>
          </w:p>
        </w:tc>
      </w:tr>
      <w:tr>
        <w:tc>
          <w:tcPr>
            <w:tcW w:type="dxa" w:w="17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Hyperledger Fabric</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~3,500</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None</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 s</w:t>
            </w:r>
          </w:p>
        </w:tc>
        <w:tc>
          <w:tcPr>
            <w:tcW w:type="dxa" w:w="155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Go / JS / Java</w:t>
            </w:r>
          </w:p>
        </w:tc>
        <w:tc>
          <w:tcPr>
            <w:tcW w:type="dxa" w:w="14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Partial</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Hardhat Local</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Unlimited (dev)</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None (dev)</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Instant</w:t>
            </w:r>
          </w:p>
        </w:tc>
        <w:tc>
          <w:tcPr>
            <w:tcW w:type="dxa" w:w="15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Solidity (EVM)</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 (Dev/Test)</w:t>
            </w:r>
          </w:p>
        </w:tc>
      </w:tr>
    </w:tbl>
    <w:p>
      <w:r>
        <w:br w:type="page"/>
      </w:r>
    </w:p>
    <w:p>
      <w:pPr>
        <w:spacing w:after="80" w:before="480"/>
        <w:jc w:val="center"/>
      </w:pPr>
      <w:r>
        <w:rPr>
          <w:rFonts w:ascii="Times New Roman" w:cs="Times New Roman" w:eastAsia="Times New Roman" w:hAnsi="Times New Roman"/>
          <w:b/>
          <w:bCs/>
          <w:color w:val="1F4E79"/>
          <w:sz w:val="32"/>
          <w:szCs w:val="32"/>
        </w:rPr>
        <w:t xml:space="preserve">CHAPTER 4</w:t>
      </w:r>
    </w:p>
    <w:p>
      <w:pPr>
        <w:spacing w:after="360" w:before="80"/>
        <w:jc w:val="center"/>
      </w:pPr>
      <w:r>
        <w:rPr>
          <w:rFonts w:ascii="Times New Roman" w:cs="Times New Roman" w:eastAsia="Times New Roman" w:hAnsi="Times New Roman"/>
          <w:b/>
          <w:bCs/>
          <w:color w:val="1F4E79"/>
          <w:sz w:val="32"/>
          <w:szCs w:val="32"/>
        </w:rPr>
        <w:t xml:space="preserve">DEVELOPMENT &amp; IMPLEMENTATION</w:t>
      </w:r>
    </w:p>
    <w:p>
      <w:pPr>
        <w:pStyle w:val="Heading2"/>
        <w:spacing w:after="120" w:before="240"/>
      </w:pPr>
      <w:r>
        <w:rPr>
          <w:rFonts w:ascii="Times New Roman" w:cs="Times New Roman" w:eastAsia="Times New Roman" w:hAnsi="Times New Roman"/>
          <w:b/>
          <w:bCs/>
          <w:color w:val="2E75B6"/>
          <w:sz w:val="24"/>
          <w:szCs w:val="24"/>
        </w:rPr>
        <w:t xml:space="preserve">4.1  Development Overview</w:t>
      </w:r>
    </w:p>
    <w:p>
      <w:pPr>
        <w:spacing w:after="100" w:before="100" w:line="360"/>
        <w:jc w:val="both"/>
      </w:pPr>
      <w:r>
        <w:rPr>
          <w:rFonts w:ascii="Times New Roman" w:cs="Times New Roman" w:eastAsia="Times New Roman" w:hAnsi="Times New Roman"/>
          <w:sz w:val="24"/>
          <w:szCs w:val="24"/>
        </w:rPr>
        <w:t xml:space="preserve">The development phase translated the specifications established in Chapter 3 into functional code spanning all four system layers. Implementation proceeded as a seven-week iterative cycle with defined weekly milestones. Smart contracts were developed and comprehensively unit-tested in isolation before any frontend integration was initiated. Hardhat deployment scripts were authored in parallel with contract development to enable rapid local network redeployment throughout the iterative development cycle.</w:t>
      </w:r>
    </w:p>
    <w:p>
      <w:pPr>
        <w:pStyle w:val="Heading2"/>
        <w:spacing w:after="120" w:before="240"/>
      </w:pPr>
      <w:r>
        <w:rPr>
          <w:rFonts w:ascii="Times New Roman" w:cs="Times New Roman" w:eastAsia="Times New Roman" w:hAnsi="Times New Roman"/>
          <w:b/>
          <w:bCs/>
          <w:color w:val="2E75B6"/>
          <w:sz w:val="24"/>
          <w:szCs w:val="24"/>
        </w:rPr>
        <w:t xml:space="preserve">4.2  Related Work</w:t>
      </w:r>
    </w:p>
    <w:p>
      <w:pPr>
        <w:pStyle w:val="Heading3"/>
        <w:spacing w:after="100" w:before="200"/>
      </w:pPr>
      <w:r>
        <w:rPr>
          <w:rFonts w:ascii="Times New Roman" w:cs="Times New Roman" w:eastAsia="Times New Roman" w:hAnsi="Times New Roman"/>
          <w:b/>
          <w:bCs/>
          <w:i/>
          <w:iCs/>
          <w:color w:val="000000"/>
          <w:sz w:val="22"/>
          <w:szCs w:val="22"/>
        </w:rPr>
        <w:t xml:space="preserve">4.2.1  Early Theoretical Frameworks</w:t>
      </w:r>
    </w:p>
    <w:p>
      <w:pPr>
        <w:spacing w:after="100" w:before="100" w:line="360"/>
        <w:jc w:val="both"/>
      </w:pPr>
      <w:r>
        <w:rPr>
          <w:rFonts w:ascii="Times New Roman" w:cs="Times New Roman" w:eastAsia="Times New Roman" w:hAnsi="Times New Roman"/>
          <w:sz w:val="24"/>
          <w:szCs w:val="24"/>
        </w:rPr>
        <w:t xml:space="preserve">Latifi et al. were among the first researchers to formally propose blockchain technology for commercial real estate, presenting a token-based property trading system concept on Ethereum at the 2019 IEEE Blockchain Conference [5]. Their foundational work identified the core value drivers — enhanced transparency, reduced counterparty risk, and automated settlement — but produced no functional implementation and did not address the complete property transaction lifecycle.</w:t>
      </w:r>
    </w:p>
    <w:p>
      <w:pPr>
        <w:pStyle w:val="Heading3"/>
        <w:spacing w:after="100" w:before="200"/>
      </w:pPr>
      <w:r>
        <w:rPr>
          <w:rFonts w:ascii="Times New Roman" w:cs="Times New Roman" w:eastAsia="Times New Roman" w:hAnsi="Times New Roman"/>
          <w:b/>
          <w:bCs/>
          <w:i/>
          <w:iCs/>
          <w:color w:val="000000"/>
          <w:sz w:val="22"/>
          <w:szCs w:val="22"/>
        </w:rPr>
        <w:t xml:space="preserve">4.2.2  Land Registry Research</w:t>
      </w:r>
    </w:p>
    <w:p>
      <w:pPr>
        <w:spacing w:after="100" w:before="100" w:line="360"/>
        <w:jc w:val="both"/>
      </w:pPr>
      <w:r>
        <w:rPr>
          <w:rFonts w:ascii="Times New Roman" w:cs="Times New Roman" w:eastAsia="Times New Roman" w:hAnsi="Times New Roman"/>
          <w:sz w:val="24"/>
          <w:szCs w:val="24"/>
        </w:rPr>
        <w:t xml:space="preserve">Saari et al. provided a comprehensive empirical review of blockchain deployments in real estate through 2022, confirming sustained adoption growth while observing that most implementations address isolated aspects of the property workflow rather than offering an integrated end-to-end system [1]. Langaliya and Gohil subsequently developed a private blockchain transaction flow for real estate, demonstrating technical feasibility within a permissioned environment but without marketplace or tokenisation capabilities [4].</w:t>
      </w:r>
    </w:p>
    <w:p>
      <w:pPr>
        <w:spacing w:after="100" w:before="100" w:line="360"/>
        <w:jc w:val="both"/>
      </w:pPr>
      <w:r>
        <w:rPr>
          <w:rFonts w:ascii="Times New Roman" w:cs="Times New Roman" w:eastAsia="Times New Roman" w:hAnsi="Times New Roman"/>
          <w:sz w:val="24"/>
          <w:szCs w:val="24"/>
        </w:rPr>
        <w:t xml:space="preserve">Real-world public sector pilots have further validated the architectural direction. Georgia's partnership with Bitfury and the National Agency of Public Registry represented one of the earliest government blockchain land registry integrations. Sweden's Lantmäteriet conducted an extended pilot confirming the technical viability of digitised property transfer on blockchain. Dubai's Land Department launched a tokenisation programme in 2025 targeting fractional property ownership for retail investors [16, 17, 18].</w:t>
      </w:r>
    </w:p>
    <w:p>
      <w:pPr>
        <w:pStyle w:val="Heading3"/>
        <w:spacing w:after="100" w:before="200"/>
      </w:pPr>
      <w:r>
        <w:rPr>
          <w:rFonts w:ascii="Times New Roman" w:cs="Times New Roman" w:eastAsia="Times New Roman" w:hAnsi="Times New Roman"/>
          <w:b/>
          <w:bCs/>
          <w:i/>
          <w:iCs/>
          <w:color w:val="000000"/>
          <w:sz w:val="22"/>
          <w:szCs w:val="22"/>
        </w:rPr>
        <w:t xml:space="preserve">4.2.3  NFT and Tokenisation Applications</w:t>
      </w:r>
    </w:p>
    <w:p>
      <w:pPr>
        <w:spacing w:after="100" w:before="100" w:line="360"/>
        <w:jc w:val="both"/>
      </w:pPr>
      <w:r>
        <w:rPr>
          <w:rFonts w:ascii="Times New Roman" w:cs="Times New Roman" w:eastAsia="Times New Roman" w:hAnsi="Times New Roman"/>
          <w:sz w:val="24"/>
          <w:szCs w:val="24"/>
        </w:rPr>
        <w:t xml:space="preserve">El Jaouhari et al. examined tokenisation as an emerging property investment paradigm, confirming that the ERC-721 standard is technically adequate for representing unique property assets on-chain and that fractional ownership through derivative token mechanisms is commercially viable at pilot scale [2]. Treiblmaier provides a broader economic framing, arguing that token economies represent a fundamentally novel business model rather than merely an incremental efficiency improvement over existing digital systems [8].</w:t>
      </w:r>
    </w:p>
    <w:p>
      <w:pPr>
        <w:pStyle w:val="Heading3"/>
        <w:spacing w:after="100" w:before="200"/>
      </w:pPr>
      <w:r>
        <w:rPr>
          <w:rFonts w:ascii="Times New Roman" w:cs="Times New Roman" w:eastAsia="Times New Roman" w:hAnsi="Times New Roman"/>
          <w:b/>
          <w:bCs/>
          <w:i/>
          <w:iCs/>
          <w:color w:val="000000"/>
          <w:sz w:val="22"/>
          <w:szCs w:val="22"/>
        </w:rPr>
        <w:t xml:space="preserve">4.2.4  Smart Contract Security Research</w:t>
      </w:r>
    </w:p>
    <w:p>
      <w:pPr>
        <w:spacing w:after="100" w:before="100" w:line="360"/>
        <w:jc w:val="both"/>
      </w:pPr>
      <w:r>
        <w:rPr>
          <w:rFonts w:ascii="Times New Roman" w:cs="Times New Roman" w:eastAsia="Times New Roman" w:hAnsi="Times New Roman"/>
          <w:sz w:val="24"/>
          <w:szCs w:val="24"/>
        </w:rPr>
        <w:t xml:space="preserve">Machado et al. conducted a systematic security risk evaluation of smart contracts applied to land administration, identifying reentrancy vulnerabilities, access control bypass, and front-running as the three most critical vulnerability classes in this application domain [6]. BBREMS directly addresses the reentrancy and access control risks through application of the CEI pattern and OpenZeppelin's ReentrancyGuard modifier.</w:t>
      </w:r>
    </w:p>
    <w:p>
      <w:pPr>
        <w:pStyle w:val="Heading3"/>
        <w:spacing w:after="100" w:before="200"/>
      </w:pPr>
      <w:r>
        <w:rPr>
          <w:rFonts w:ascii="Times New Roman" w:cs="Times New Roman" w:eastAsia="Times New Roman" w:hAnsi="Times New Roman"/>
          <w:b/>
          <w:bCs/>
          <w:i/>
          <w:iCs/>
          <w:color w:val="000000"/>
          <w:sz w:val="22"/>
          <w:szCs w:val="22"/>
        </w:rPr>
        <w:t xml:space="preserve">4.2.5  Comparative Summary</w:t>
      </w:r>
    </w:p>
    <w:p>
      <w:pPr>
        <w:spacing w:after="60" w:before="100"/>
        <w:jc w:val="center"/>
      </w:pPr>
      <w:r>
        <w:rPr>
          <w:rFonts w:ascii="Times New Roman" w:cs="Times New Roman" w:eastAsia="Times New Roman" w:hAnsi="Times New Roman"/>
          <w:b/>
          <w:bCs/>
          <w:i/>
          <w:iCs/>
          <w:color w:val="404040"/>
          <w:sz w:val="20"/>
          <w:szCs w:val="20"/>
        </w:rPr>
        <w:t xml:space="preserve">Table 4.2: Related Work Comparison Matrix</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900"/>
        <w:gridCol w:w="900"/>
        <w:gridCol w:w="900"/>
        <w:gridCol w:w="1260"/>
      </w:tblGrid>
      <w:t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Study</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Platform</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NFT Ownership</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Marketplace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Purchase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Full Lifecycle</w:t>
            </w:r>
          </w:p>
        </w:tc>
        <w:tc>
          <w:tcPr>
            <w:tcW w:type="dxa" w:w="1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Gap</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Latifi et al. [5]</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 working prototype; no full lifecycle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Langaliya &amp; Gohil [4]</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Private BC</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Permissioned only; no marketplace</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El Jaouhari et al. [2]</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Partial</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 purchase or listing module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Gupta et al. [7]</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Ethereum+IPFS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 ownership token; no marketplace</w:t>
            </w:r>
          </w:p>
        </w:tc>
      </w:tr>
      <w:tr>
        <w:tc>
          <w:tcPr>
            <w:tcW w:type="dxa" w:w="1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Jaodun &amp; Bouafia [3]</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Ethereum</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No</w:t>
            </w:r>
          </w:p>
        </w:tc>
        <w:tc>
          <w:tcPr>
            <w:tcW w:type="dxa" w:w="1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Rental focus; no NFT ownership</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bCs/>
                <w:sz w:val="20"/>
                <w:szCs w:val="20"/>
              </w:rPr>
              <w:t xml:space="preserve">BBREMS (This Work)</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Hardhat/ETH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 (ERC-721)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Yes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Complete integrated pipeline</w:t>
            </w:r>
          </w:p>
        </w:tc>
      </w:tr>
    </w:tbl>
    <w:p>
      <w:pPr>
        <w:pStyle w:val="Heading2"/>
        <w:spacing w:after="120" w:before="240"/>
      </w:pPr>
      <w:r>
        <w:rPr>
          <w:rFonts w:ascii="Times New Roman" w:cs="Times New Roman" w:eastAsia="Times New Roman" w:hAnsi="Times New Roman"/>
          <w:b/>
          <w:bCs/>
          <w:color w:val="2E75B6"/>
          <w:sz w:val="24"/>
          <w:szCs w:val="24"/>
        </w:rPr>
        <w:t xml:space="preserve">4.3  Feasibility Assessment</w:t>
      </w:r>
    </w:p>
    <w:p>
      <w:pPr>
        <w:pStyle w:val="Heading3"/>
        <w:spacing w:after="100" w:before="200"/>
      </w:pPr>
      <w:r>
        <w:rPr>
          <w:rFonts w:ascii="Times New Roman" w:cs="Times New Roman" w:eastAsia="Times New Roman" w:hAnsi="Times New Roman"/>
          <w:b/>
          <w:bCs/>
          <w:i/>
          <w:iCs/>
          <w:color w:val="000000"/>
          <w:sz w:val="22"/>
          <w:szCs w:val="22"/>
        </w:rPr>
        <w:t xml:space="preserve">4.3.1  Technical Feasibility</w:t>
      </w:r>
    </w:p>
    <w:p>
      <w:pPr>
        <w:spacing w:after="100" w:before="100" w:line="360"/>
        <w:jc w:val="both"/>
      </w:pPr>
      <w:r>
        <w:rPr>
          <w:rFonts w:ascii="Times New Roman" w:cs="Times New Roman" w:eastAsia="Times New Roman" w:hAnsi="Times New Roman"/>
          <w:sz w:val="24"/>
          <w:szCs w:val="24"/>
        </w:rPr>
        <w:t xml:space="preserve">Technical feasibility was validated through a dedicated proof-of-concept sprint in which a minimal ERC-721 contract was deployed to the local Hardhat network, integrated with a basic Next.js frontend via ethers.js, and an end-to-end property minting and retrieval workflow was successfully demonstrated. This exercise confirmed the interoperability of all selected toolchain components and validated the team's capability for the full implementation scope.</w:t>
      </w:r>
    </w:p>
    <w:p>
      <w:pPr>
        <w:pStyle w:val="Heading3"/>
        <w:spacing w:after="100" w:before="200"/>
      </w:pPr>
      <w:r>
        <w:rPr>
          <w:rFonts w:ascii="Times New Roman" w:cs="Times New Roman" w:eastAsia="Times New Roman" w:hAnsi="Times New Roman"/>
          <w:b/>
          <w:bCs/>
          <w:i/>
          <w:iCs/>
          <w:color w:val="000000"/>
          <w:sz w:val="22"/>
          <w:szCs w:val="22"/>
        </w:rPr>
        <w:t xml:space="preserve">4.3.2  Hardware Requirements</w:t>
      </w:r>
    </w:p>
    <w:p>
      <w:pPr>
        <w:spacing w:after="100" w:before="100" w:line="360"/>
        <w:jc w:val="both"/>
      </w:pPr>
      <w:r>
        <w:rPr>
          <w:rFonts w:ascii="Times New Roman" w:cs="Times New Roman" w:eastAsia="Times New Roman" w:hAnsi="Times New Roman"/>
          <w:sz w:val="24"/>
          <w:szCs w:val="24"/>
        </w:rPr>
        <w:t xml:space="preserve">Development was conducted on a standard workstation configured with an 11th generation Intel Core i5 processor, 16 GB of RAM, and a 512 GB solid-state drive. The combined resource consumption of the Hardhat local blockchain node and Next.js development server approximates 800 MB of RAM during active operation. No GPU resources are required at any stage of development or testing.</w:t>
      </w:r>
    </w:p>
    <w:p>
      <w:pPr>
        <w:pStyle w:val="Heading3"/>
        <w:spacing w:after="100" w:before="200"/>
      </w:pPr>
      <w:r>
        <w:rPr>
          <w:rFonts w:ascii="Times New Roman" w:cs="Times New Roman" w:eastAsia="Times New Roman" w:hAnsi="Times New Roman"/>
          <w:b/>
          <w:bCs/>
          <w:i/>
          <w:iCs/>
          <w:color w:val="000000"/>
          <w:sz w:val="22"/>
          <w:szCs w:val="22"/>
        </w:rPr>
        <w:t xml:space="preserve">4.3.3  Operational Feasibility</w:t>
      </w:r>
    </w:p>
    <w:p>
      <w:pPr>
        <w:spacing w:after="100" w:before="100" w:line="360"/>
        <w:jc w:val="both"/>
      </w:pPr>
      <w:r>
        <w:rPr>
          <w:rFonts w:ascii="Times New Roman" w:cs="Times New Roman" w:eastAsia="Times New Roman" w:hAnsi="Times New Roman"/>
          <w:sz w:val="24"/>
          <w:szCs w:val="24"/>
        </w:rPr>
        <w:t xml:space="preserve">The system is designed to be accessible to users possessing basic MetaMask familiarity. All underlying blockchain complexity is abstracted behind standard web form interactions and familiar e-commerce UI patterns. Users receive contextual MetaMask confirmation dialogs displaying transaction details and estimated gas costs without requiring any direct knowledge of smart contract mechanics.</w:t>
      </w:r>
    </w:p>
    <w:p>
      <w:pPr>
        <w:pStyle w:val="Heading2"/>
        <w:spacing w:after="120" w:before="240"/>
      </w:pPr>
      <w:r>
        <w:rPr>
          <w:rFonts w:ascii="Times New Roman" w:cs="Times New Roman" w:eastAsia="Times New Roman" w:hAnsi="Times New Roman"/>
          <w:b/>
          <w:bCs/>
          <w:color w:val="2E75B6"/>
          <w:sz w:val="24"/>
          <w:szCs w:val="24"/>
        </w:rPr>
        <w:t xml:space="preserve">4.4  Implementation Specifications</w:t>
      </w:r>
    </w:p>
    <w:p>
      <w:pPr>
        <w:pStyle w:val="Heading3"/>
        <w:spacing w:after="100" w:before="200"/>
      </w:pPr>
      <w:r>
        <w:rPr>
          <w:rFonts w:ascii="Times New Roman" w:cs="Times New Roman" w:eastAsia="Times New Roman" w:hAnsi="Times New Roman"/>
          <w:b/>
          <w:bCs/>
          <w:i/>
          <w:iCs/>
          <w:color w:val="000000"/>
          <w:sz w:val="22"/>
          <w:szCs w:val="22"/>
        </w:rPr>
        <w:t xml:space="preserve">4.4.1  RealEstate.sol Smart Contract</w:t>
      </w:r>
    </w:p>
    <w:p>
      <w:pPr>
        <w:spacing w:after="100" w:before="100" w:line="360"/>
        <w:jc w:val="both"/>
      </w:pPr>
      <w:r>
        <w:rPr>
          <w:rFonts w:ascii="Times New Roman" w:cs="Times New Roman" w:eastAsia="Times New Roman" w:hAnsi="Times New Roman"/>
          <w:sz w:val="24"/>
          <w:szCs w:val="24"/>
        </w:rPr>
        <w:t xml:space="preserve">The core contract inherits from OpenZeppelin's ERC721URIStorage base implementation. On-chain storage includes a mapping from uint256 token identifiers to PropertyListing structs, each encoding the property location string, listing price in wei, seller address, and a boolean listing status flag. The mintAndList() function validates all inputs, mints a new ERC-721 token, records the marketplace listing in the marketplace registry, and emits a PropertyListed event. The purchaseProperty() payable function verifies that the token is actively listed, validates that the submitted ETH matches the exact listing price, atomically transfers the NFT to msg.sender, releases the ETH to the seller, clears the listing registry entry, and emits a PropertySold event.</w:t>
      </w:r>
    </w:p>
    <w:p>
      <w:pPr>
        <w:pStyle w:val="Heading3"/>
        <w:spacing w:after="100" w:before="200"/>
      </w:pPr>
      <w:r>
        <w:rPr>
          <w:rFonts w:ascii="Times New Roman" w:cs="Times New Roman" w:eastAsia="Times New Roman" w:hAnsi="Times New Roman"/>
          <w:b/>
          <w:bCs/>
          <w:i/>
          <w:iCs/>
          <w:color w:val="000000"/>
          <w:sz w:val="22"/>
          <w:szCs w:val="22"/>
        </w:rPr>
        <w:t xml:space="preserve">4.4.2  Frontend Pages</w:t>
      </w:r>
    </w:p>
    <w:p>
      <w:pPr>
        <w:spacing w:after="100" w:before="100" w:line="360"/>
        <w:jc w:val="both"/>
      </w:pPr>
      <w:r>
        <w:rPr>
          <w:rFonts w:ascii="Times New Roman" w:cs="Times New Roman" w:eastAsia="Times New Roman" w:hAnsi="Times New Roman"/>
          <w:sz w:val="24"/>
          <w:szCs w:val="24"/>
        </w:rPr>
        <w:t xml:space="preserve">The List Property page (sell/page.tsx) manages a controlled React form with client-side validation on all required fields, resolves the smart contract instance through the Web3Context, and invokes mintAndList() through MetaMask upon form submission. The Marketplace page (buy/page.tsx) retrieves all active listings via the getAllListings() view function, renders each as a property card with full details, and gates the purchase button on wallet connection status and non-self-ownership. The Homepage provides platform navigation and the initial Connect Wallet prompt.</w:t>
      </w:r>
    </w:p>
    <w:p>
      <w:pPr>
        <w:pStyle w:val="Heading3"/>
        <w:spacing w:after="100" w:before="200"/>
      </w:pPr>
      <w:r>
        <w:rPr>
          <w:rFonts w:ascii="Times New Roman" w:cs="Times New Roman" w:eastAsia="Times New Roman" w:hAnsi="Times New Roman"/>
          <w:b/>
          <w:bCs/>
          <w:i/>
          <w:iCs/>
          <w:color w:val="000000"/>
          <w:sz w:val="22"/>
          <w:szCs w:val="22"/>
        </w:rPr>
        <w:t xml:space="preserve">4.4.3  Web3 Context</w:t>
      </w:r>
    </w:p>
    <w:p>
      <w:pPr>
        <w:spacing w:after="100" w:before="100" w:line="360"/>
        <w:jc w:val="both"/>
      </w:pPr>
      <w:r>
        <w:rPr>
          <w:rFonts w:ascii="Times New Roman" w:cs="Times New Roman" w:eastAsia="Times New Roman" w:hAnsi="Times New Roman"/>
          <w:sz w:val="24"/>
          <w:szCs w:val="24"/>
        </w:rPr>
        <w:t xml:space="preserve">Web3Context.tsx wraps the application root component, maintaining the ethers.js BrowserProvider, Signer, connected wallet address, and contract factory instances as shared context state. It registers listeners for MetaMask's accountsChanged and chainChanged events, reactively updating all context state in response. All consuming components access blockchain interaction capabilities exclusively through the useWeb3() custom hook, enforcing a clean separation between blockchain logic and UI rendering.</w:t>
      </w:r>
    </w:p>
    <w:p>
      <w:pPr>
        <w:pStyle w:val="Heading2"/>
        <w:spacing w:after="120" w:before="240"/>
      </w:pPr>
      <w:r>
        <w:rPr>
          <w:rFonts w:ascii="Times New Roman" w:cs="Times New Roman" w:eastAsia="Times New Roman" w:hAnsi="Times New Roman"/>
          <w:b/>
          <w:bCs/>
          <w:color w:val="2E75B6"/>
          <w:sz w:val="24"/>
          <w:szCs w:val="24"/>
        </w:rPr>
        <w:t xml:space="preserve">4.5  Smart Contract Deployment</w:t>
      </w:r>
    </w:p>
    <w:p>
      <w:pPr>
        <w:pStyle w:val="Heading3"/>
        <w:spacing w:after="100" w:before="200"/>
      </w:pPr>
      <w:r>
        <w:rPr>
          <w:rFonts w:ascii="Times New Roman" w:cs="Times New Roman" w:eastAsia="Times New Roman" w:hAnsi="Times New Roman"/>
          <w:b/>
          <w:bCs/>
          <w:i/>
          <w:iCs/>
          <w:color w:val="000000"/>
          <w:sz w:val="22"/>
          <w:szCs w:val="22"/>
        </w:rPr>
        <w:t xml:space="preserve">4.5.1  Local Deployment Procedure</w:t>
      </w:r>
    </w:p>
    <w:p>
      <w:pPr>
        <w:spacing w:after="100" w:before="100" w:line="360"/>
        <w:jc w:val="both"/>
      </w:pPr>
      <w:r>
        <w:rPr>
          <w:rFonts w:ascii="Times New Roman" w:cs="Times New Roman" w:eastAsia="Times New Roman" w:hAnsi="Times New Roman"/>
          <w:sz w:val="24"/>
          <w:szCs w:val="24"/>
        </w:rPr>
        <w:t xml:space="preserve">Contracts are deployed to the local Hardhat node via the deployment script at scripts/deploy.cjs. The Hardhat node is initialised with the command: npx hardhat node. The deployment script is then executed with: npx hardhat run scripts/deploy.cjs --network localhost. The deployed contract address is recorded in the frontend environment configuration file (.env.local) for automatic injection into the Web3Context during application startup.</w:t>
      </w:r>
    </w:p>
    <w:p>
      <w:pPr>
        <w:pStyle w:val="Heading3"/>
        <w:spacing w:after="100" w:before="200"/>
      </w:pPr>
      <w:r>
        <w:rPr>
          <w:rFonts w:ascii="Times New Roman" w:cs="Times New Roman" w:eastAsia="Times New Roman" w:hAnsi="Times New Roman"/>
          <w:b/>
          <w:bCs/>
          <w:i/>
          <w:iCs/>
          <w:color w:val="000000"/>
          <w:sz w:val="22"/>
          <w:szCs w:val="22"/>
        </w:rPr>
        <w:t xml:space="preserve">4.5.2  MetaMask Configuration</w:t>
      </w:r>
    </w:p>
    <w:p>
      <w:pPr>
        <w:spacing w:after="100" w:before="100" w:line="360"/>
        <w:jc w:val="both"/>
      </w:pPr>
      <w:r>
        <w:rPr>
          <w:rFonts w:ascii="Times New Roman" w:cs="Times New Roman" w:eastAsia="Times New Roman" w:hAnsi="Times New Roman"/>
          <w:sz w:val="24"/>
          <w:szCs w:val="24"/>
        </w:rPr>
        <w:t xml:space="preserve">MetaMask requires manual configuration for the Hardhat local network using Chain ID 31337 and RPC URL http://127.0.0.1:8545. Test accounts pre-funded with ETH are imported from the private keys displayed in the Hardhat node console output. A notable development caveat — requiring a MetaMask account nonce reset following each Hardhat node restart to resolve nonce synchronisation errors — is prominently documented within the project's developer setup guide.</w:t>
      </w:r>
    </w:p>
    <w:p>
      <w:pPr>
        <w:spacing w:after="60" w:before="100"/>
        <w:jc w:val="center"/>
      </w:pPr>
      <w:r>
        <w:rPr>
          <w:rFonts w:ascii="Times New Roman" w:cs="Times New Roman" w:eastAsia="Times New Roman" w:hAnsi="Times New Roman"/>
          <w:b/>
          <w:bCs/>
          <w:i/>
          <w:iCs/>
          <w:color w:val="404040"/>
          <w:sz w:val="20"/>
          <w:szCs w:val="20"/>
        </w:rPr>
        <w:t xml:space="preserve">Table 4.1: Smart Contract Function Summary and Gas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800"/>
        <w:gridCol w:w="22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Function</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Gas (approx.)</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Description</w:t>
            </w:r>
          </w:p>
        </w:tc>
        <w:tc>
          <w:tcPr>
            <w:tcW w:type="dxa" w:w="22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 Limit</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mintAndList()</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~180,000</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Mints ERC-721 token and records marketplace listing atomically</w:t>
            </w:r>
          </w:p>
        </w:tc>
        <w:tc>
          <w:tcPr>
            <w:tcW w:type="dxa" w:w="2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200,000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purchaseProperty()</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~120,000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Atomic NFT transfer to buyer and ETH release to seller</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150,000</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cancelListing()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~45,000</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Removes listing entry from on-chain marketplace registry</w:t>
            </w:r>
          </w:p>
        </w:tc>
        <w:tc>
          <w:tcPr>
            <w:tcW w:type="dxa" w:w="2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60,000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getAllListings()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 (read)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Returns array of all currently active property listings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N/A</w:t>
            </w:r>
          </w:p>
        </w:tc>
      </w:tr>
      <w:tr>
        <w:tc>
          <w:tcPr>
            <w:tcW w:type="dxa" w:w="2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getPropertyDetails()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~0 (read)</w:t>
            </w:r>
          </w:p>
        </w:tc>
        <w:tc>
          <w:tcPr>
            <w:tcW w:type="dxa" w:w="2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Returns metadata struct for a specified token identifier</w:t>
            </w:r>
          </w:p>
        </w:tc>
        <w:tc>
          <w:tcPr>
            <w:tcW w:type="dxa" w:w="22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N/A</w:t>
            </w:r>
          </w:p>
        </w:tc>
      </w:tr>
    </w:tbl>
    <w:p>
      <w:pPr>
        <w:pStyle w:val="Heading2"/>
        <w:spacing w:after="120" w:before="240"/>
      </w:pPr>
      <w:r>
        <w:rPr>
          <w:rFonts w:ascii="Times New Roman" w:cs="Times New Roman" w:eastAsia="Times New Roman" w:hAnsi="Times New Roman"/>
          <w:b/>
          <w:bCs/>
          <w:color w:val="2E75B6"/>
          <w:sz w:val="24"/>
          <w:szCs w:val="24"/>
        </w:rPr>
        <w:t xml:space="preserve">4.6  Critical System Modules</w:t>
      </w:r>
    </w:p>
    <w:p>
      <w:pPr>
        <w:spacing w:after="100" w:before="100" w:line="360"/>
        <w:jc w:val="both"/>
      </w:pPr>
      <w:r>
        <w:rPr>
          <w:rFonts w:ascii="Times New Roman" w:cs="Times New Roman" w:eastAsia="Times New Roman" w:hAnsi="Times New Roman"/>
          <w:sz w:val="24"/>
          <w:szCs w:val="24"/>
        </w:rPr>
        <w:t xml:space="preserve">Four modules constitute the functional backbone of BBREMS. The Smart Contract Engine serves as the authoritative and immutable source of all system state — property ownership records, listing status, and transaction history. Its correctness is non-negotiable, and accordingly, comprehensive unit testing with Hardhat and Chai alongside adoption of OpenZeppelin's audited patterns were applied to this module with the greatest rigour.</w:t>
      </w:r>
    </w:p>
    <w:p>
      <w:pPr>
        <w:spacing w:after="100" w:before="100" w:line="360"/>
        <w:jc w:val="both"/>
      </w:pPr>
      <w:r>
        <w:rPr>
          <w:rFonts w:ascii="Times New Roman" w:cs="Times New Roman" w:eastAsia="Times New Roman" w:hAnsi="Times New Roman"/>
          <w:sz w:val="24"/>
          <w:szCs w:val="24"/>
        </w:rPr>
        <w:t xml:space="preserve">The Wallet Integration Module manages the complete MetaMask connection lifecycle including chain validation and transaction signing. Its React context interface cleanly decouples blockchain interactions from UI component code, substantially improving component testability and overall code maintainability.</w:t>
      </w:r>
    </w:p>
    <w:p>
      <w:pPr>
        <w:spacing w:after="100" w:before="100" w:line="360"/>
        <w:jc w:val="both"/>
      </w:pPr>
      <w:r>
        <w:rPr>
          <w:rFonts w:ascii="Times New Roman" w:cs="Times New Roman" w:eastAsia="Times New Roman" w:hAnsi="Times New Roman"/>
          <w:sz w:val="24"/>
          <w:szCs w:val="24"/>
        </w:rPr>
        <w:t xml:space="preserve">The Marketplace Rendering Module fetches active listing data from the on-chain registry and renders it as interactive property cards. It implements optimistic UI state updates reflecting pending transaction states prior to on-chain confirmation, providing a responsive user experience despite the inherent latency of blockchain state changes.</w:t>
      </w:r>
    </w:p>
    <w:p>
      <w:pPr>
        <w:spacing w:after="100" w:before="100" w:line="360"/>
        <w:jc w:val="both"/>
      </w:pPr>
      <w:r>
        <w:rPr>
          <w:rFonts w:ascii="Times New Roman" w:cs="Times New Roman" w:eastAsia="Times New Roman" w:hAnsi="Times New Roman"/>
          <w:sz w:val="24"/>
          <w:szCs w:val="24"/>
        </w:rPr>
        <w:t xml:space="preserve">The Property Minting Module handles the end-to-end property creation workflow: input validation, MetaMask transaction request submission, confirmation awaiting, and success state feedback. It transforms complex multi-step blockchain operations into a guided, accessible web form experience appropriate for non-technical users.</w:t>
      </w:r>
    </w:p>
    <w:p>
      <w:r>
        <w:br w:type="page"/>
      </w:r>
    </w:p>
    <w:p>
      <w:pPr>
        <w:spacing w:after="80" w:before="480"/>
        <w:jc w:val="center"/>
      </w:pPr>
      <w:r>
        <w:rPr>
          <w:rFonts w:ascii="Times New Roman" w:cs="Times New Roman" w:eastAsia="Times New Roman" w:hAnsi="Times New Roman"/>
          <w:b/>
          <w:bCs/>
          <w:color w:val="1F4E79"/>
          <w:sz w:val="32"/>
          <w:szCs w:val="32"/>
        </w:rPr>
        <w:t xml:space="preserve">CHAPTER 5</w:t>
      </w:r>
    </w:p>
    <w:p>
      <w:pPr>
        <w:spacing w:after="360" w:before="80"/>
        <w:jc w:val="center"/>
      </w:pPr>
      <w:r>
        <w:rPr>
          <w:rFonts w:ascii="Times New Roman" w:cs="Times New Roman" w:eastAsia="Times New Roman" w:hAnsi="Times New Roman"/>
          <w:b/>
          <w:bCs/>
          <w:color w:val="1F4E79"/>
          <w:sz w:val="32"/>
          <w:szCs w:val="32"/>
        </w:rPr>
        <w:t xml:space="preserve">BLOCKCHAIN INTEGRATION MODULE</w:t>
      </w:r>
    </w:p>
    <w:p>
      <w:pPr>
        <w:pStyle w:val="Heading2"/>
        <w:spacing w:after="120" w:before="240"/>
      </w:pPr>
      <w:r>
        <w:rPr>
          <w:rFonts w:ascii="Times New Roman" w:cs="Times New Roman" w:eastAsia="Times New Roman" w:hAnsi="Times New Roman"/>
          <w:b/>
          <w:bCs/>
          <w:color w:val="2E75B6"/>
          <w:sz w:val="24"/>
          <w:szCs w:val="24"/>
        </w:rPr>
        <w:t xml:space="preserve">5.1  Integration Overview</w:t>
      </w:r>
    </w:p>
    <w:p>
      <w:pPr>
        <w:spacing w:after="100" w:before="100" w:line="360"/>
        <w:jc w:val="both"/>
      </w:pPr>
      <w:r>
        <w:rPr>
          <w:rFonts w:ascii="Times New Roman" w:cs="Times New Roman" w:eastAsia="Times New Roman" w:hAnsi="Times New Roman"/>
          <w:sz w:val="24"/>
          <w:szCs w:val="24"/>
        </w:rPr>
        <w:t xml:space="preserve">The blockchain integration module serves as the connective tissue bridging the Next.js frontend application, the Solidity smart contracts, and the MetaMask wallet. This chapter details the implementation decisions, documented interaction patterns, and measured performance characteristics of this integration layer. The central design objective is to surface smart contract capabilities through a web interface that feels as immediate and responsive as a conventional centralised application, fully shielding end users from the complexity of underlying blockchain operations.</w:t>
      </w:r>
    </w:p>
    <w:p>
      <w:pPr>
        <w:pStyle w:val="Heading2"/>
        <w:spacing w:after="120" w:before="240"/>
      </w:pPr>
      <w:r>
        <w:rPr>
          <w:rFonts w:ascii="Times New Roman" w:cs="Times New Roman" w:eastAsia="Times New Roman" w:hAnsi="Times New Roman"/>
          <w:b/>
          <w:bCs/>
          <w:color w:val="2E75B6"/>
          <w:sz w:val="24"/>
          <w:szCs w:val="24"/>
        </w:rPr>
        <w:t xml:space="preserve">5.2  Integration Challenges</w:t>
      </w:r>
    </w:p>
    <w:p>
      <w:pPr>
        <w:spacing w:after="100" w:before="100" w:line="360"/>
        <w:jc w:val="both"/>
      </w:pPr>
      <w:r>
        <w:rPr>
          <w:rFonts w:ascii="Times New Roman" w:cs="Times New Roman" w:eastAsia="Times New Roman" w:hAnsi="Times New Roman"/>
          <w:sz w:val="24"/>
          <w:szCs w:val="24"/>
        </w:rPr>
        <w:t xml:space="preserve">Blockchain integration introduces unique engineering challenges not present in conventional server-side architectures. Transaction asynchrony is the most significant: when a user submits a form that triggers a smart contract call, the transaction must be cryptographically signed, broadcast to the network, included in a candidate block, and confirmed before the state change is finalised and verifiable. This sequence requires between one and fifteen seconds depending on network congestion. The interface must remain informative, visually stable, and clearly indicative of progress throughout this process.</w:t>
      </w:r>
    </w:p>
    <w:p>
      <w:pPr>
        <w:spacing w:after="100" w:before="100" w:line="360"/>
        <w:jc w:val="both"/>
      </w:pPr>
      <w:r>
        <w:rPr>
          <w:rFonts w:ascii="Times New Roman" w:cs="Times New Roman" w:eastAsia="Times New Roman" w:hAnsi="Times New Roman"/>
          <w:sz w:val="24"/>
          <w:szCs w:val="24"/>
        </w:rPr>
        <w:t xml:space="preserve">Gas estimation presents a further layer of complexity. Every transaction requires a specified gas limit: an excessively low estimate causes the transaction to revert mid-execution, consuming gas without completing the intended operation. Ethers.js's estimateGas() function provides a dynamic estimate computed at the moment of calculation. A buffer of ten to twenty percent above the estimated value is applied to all gas limits within BBREMS to account for state changes that may occur between the estimation call and the transaction submission.</w:t>
      </w:r>
    </w:p>
    <w:p>
      <w:pPr>
        <w:spacing w:after="100" w:before="100" w:line="360"/>
        <w:jc w:val="both"/>
      </w:pPr>
      <w:r>
        <w:rPr>
          <w:rFonts w:ascii="Times New Roman" w:cs="Times New Roman" w:eastAsia="Times New Roman" w:hAnsi="Times New Roman"/>
          <w:sz w:val="24"/>
          <w:szCs w:val="24"/>
        </w:rPr>
        <w:t xml:space="preserve">MetaMask nonce synchronisation is a development-environment-specific challenge. When the Hardhat local node is restarted, MetaMask's internally cached account nonce becomes desynchronised from the node's actual state, causing subsequent transactions to fail with nonce too high errors. Resolution requires an explicit MetaMask account reset, a procedure clearly documented in the project's developer guide and prominently noted in the onboarding documentation.</w:t>
      </w:r>
    </w:p>
    <w:p>
      <w:pPr>
        <w:pStyle w:val="Heading2"/>
        <w:spacing w:after="120" w:before="240"/>
      </w:pPr>
      <w:r>
        <w:rPr>
          <w:rFonts w:ascii="Times New Roman" w:cs="Times New Roman" w:eastAsia="Times New Roman" w:hAnsi="Times New Roman"/>
          <w:b/>
          <w:bCs/>
          <w:color w:val="2E75B6"/>
          <w:sz w:val="24"/>
          <w:szCs w:val="24"/>
        </w:rPr>
        <w:t xml:space="preserve">5.3  Implementation Details</w:t>
      </w:r>
    </w:p>
    <w:p>
      <w:pPr>
        <w:pStyle w:val="Heading3"/>
        <w:spacing w:after="100" w:before="200"/>
      </w:pPr>
      <w:r>
        <w:rPr>
          <w:rFonts w:ascii="Times New Roman" w:cs="Times New Roman" w:eastAsia="Times New Roman" w:hAnsi="Times New Roman"/>
          <w:b/>
          <w:bCs/>
          <w:i/>
          <w:iCs/>
          <w:color w:val="000000"/>
          <w:sz w:val="22"/>
          <w:szCs w:val="22"/>
        </w:rPr>
        <w:t xml:space="preserve">5.3.1  Web3 Context Initialisation</w:t>
      </w:r>
    </w:p>
    <w:p>
      <w:pPr>
        <w:spacing w:after="100" w:before="100" w:line="360"/>
        <w:jc w:val="both"/>
      </w:pPr>
      <w:r>
        <w:rPr>
          <w:rFonts w:ascii="Times New Roman" w:cs="Times New Roman" w:eastAsia="Times New Roman" w:hAnsi="Times New Roman"/>
          <w:sz w:val="24"/>
          <w:szCs w:val="24"/>
        </w:rPr>
        <w:t xml:space="preserve">Web3Context.tsx initialises on application mount by detecting the presence of window.ethereum as a signal of MetaMask availability. If the extension is detected, an ethers.js BrowserProvider is instantiated. Upon the user's explicit wallet connection action, the context calls eth_requestAccounts, obtains a Signer instance, constructs the contract interface from the imported ABI and deployed address, and persists all references in React context state. Event listeners for accountsChanged and chainChanged maintain synchronisation between context state and the active MetaMask session throughout the application lifecycle.</w:t>
      </w:r>
    </w:p>
    <w:p>
      <w:pPr>
        <w:pStyle w:val="Heading3"/>
        <w:spacing w:after="100" w:before="200"/>
      </w:pPr>
      <w:r>
        <w:rPr>
          <w:rFonts w:ascii="Times New Roman" w:cs="Times New Roman" w:eastAsia="Times New Roman" w:hAnsi="Times New Roman"/>
          <w:b/>
          <w:bCs/>
          <w:i/>
          <w:iCs/>
          <w:color w:val="000000"/>
          <w:sz w:val="22"/>
          <w:szCs w:val="22"/>
        </w:rPr>
        <w:t xml:space="preserve">5.3.2  Marketplace Integration</w:t>
      </w:r>
    </w:p>
    <w:p>
      <w:pPr>
        <w:spacing w:after="100" w:before="100" w:line="360"/>
        <w:jc w:val="both"/>
      </w:pPr>
      <w:r>
        <w:rPr>
          <w:rFonts w:ascii="Times New Roman" w:cs="Times New Roman" w:eastAsia="Times New Roman" w:hAnsi="Times New Roman"/>
          <w:sz w:val="24"/>
          <w:szCs w:val="24"/>
        </w:rPr>
        <w:t xml:space="preserve">The Marketplace page invokes getAllListings() on component mount. The returned struct array is mapped to TypeScript PropertyCard objects, each rendered with the property image or a default placeholder, location title, price in ETH, Token ID, and seller address. The Purchase Property button is conditionally enabled only when a wallet is connected, disabled for the connected user's own listings to prevent self-purchase, and invokes purchaseProperty(tokenId) with the exact ETH listing price as the transaction value.</w:t>
      </w:r>
    </w:p>
    <w:p>
      <w:pPr>
        <w:pStyle w:val="Heading3"/>
        <w:spacing w:after="100" w:before="200"/>
      </w:pPr>
      <w:r>
        <w:rPr>
          <w:rFonts w:ascii="Times New Roman" w:cs="Times New Roman" w:eastAsia="Times New Roman" w:hAnsi="Times New Roman"/>
          <w:b/>
          <w:bCs/>
          <w:i/>
          <w:iCs/>
          <w:color w:val="000000"/>
          <w:sz w:val="22"/>
          <w:szCs w:val="22"/>
        </w:rPr>
        <w:t xml:space="preserve">5.3.3  Property Listing Integration</w:t>
      </w:r>
    </w:p>
    <w:p>
      <w:pPr>
        <w:spacing w:after="100" w:before="100" w:line="360"/>
        <w:jc w:val="both"/>
      </w:pPr>
      <w:r>
        <w:rPr>
          <w:rFonts w:ascii="Times New Roman" w:cs="Times New Roman" w:eastAsia="Times New Roman" w:hAnsi="Times New Roman"/>
          <w:sz w:val="24"/>
          <w:szCs w:val="24"/>
        </w:rPr>
        <w:t xml:space="preserve">The List Property page manages a controlled React form with client-side validation on required fields including location and price. Upon form submission, the component invokes mintAndList() with the location string as the tokenURI and the price converted from an ETH string to wei using ethers.parseEther(). MetaMask presents a transaction confirmation dialog to the user. The component transitions to a loading state and subsequently displays a success screen upon receiving the confirmed transaction receipt.</w:t>
      </w:r>
    </w:p>
    <w:p>
      <w:pPr>
        <w:pStyle w:val="Heading3"/>
        <w:spacing w:after="100" w:before="200"/>
      </w:pPr>
      <w:r>
        <w:rPr>
          <w:rFonts w:ascii="Times New Roman" w:cs="Times New Roman" w:eastAsia="Times New Roman" w:hAnsi="Times New Roman"/>
          <w:b/>
          <w:bCs/>
          <w:i/>
          <w:iCs/>
          <w:color w:val="000000"/>
          <w:sz w:val="22"/>
          <w:szCs w:val="22"/>
        </w:rPr>
        <w:t xml:space="preserve">5.3.4  Event Subscriptions</w:t>
      </w:r>
    </w:p>
    <w:p>
      <w:pPr>
        <w:spacing w:after="100" w:before="100" w:line="360"/>
        <w:jc w:val="both"/>
      </w:pPr>
      <w:r>
        <w:rPr>
          <w:rFonts w:ascii="Times New Roman" w:cs="Times New Roman" w:eastAsia="Times New Roman" w:hAnsi="Times New Roman"/>
          <w:sz w:val="24"/>
          <w:szCs w:val="24"/>
        </w:rPr>
        <w:t xml:space="preserve">The marketplace page subscribes to both PropertyListed and PropertySold smart contract events via the ethers.js contract.on() API. Upon receipt of a PropertyListed event, the new listing is appended to the displayed listing collection without requiring a page refresh. Upon receipt of a PropertySold event, the corresponding property card is removed from the active listings display. This event-driven update mechanism ensures that all connected users see a consistent, real-time representation of the marketplace state driven by on-chain events.</w:t>
      </w:r>
    </w:p>
    <w:p>
      <w:pPr>
        <w:pStyle w:val="Heading2"/>
        <w:spacing w:after="120" w:before="240"/>
      </w:pPr>
      <w:r>
        <w:rPr>
          <w:rFonts w:ascii="Times New Roman" w:cs="Times New Roman" w:eastAsia="Times New Roman" w:hAnsi="Times New Roman"/>
          <w:b/>
          <w:bCs/>
          <w:color w:val="2E75B6"/>
          <w:sz w:val="24"/>
          <w:szCs w:val="24"/>
        </w:rPr>
        <w:t xml:space="preserve">5.4  Performance Measurements</w:t>
      </w:r>
    </w:p>
    <w:p>
      <w:pPr>
        <w:spacing w:after="100" w:before="100" w:line="360"/>
        <w:jc w:val="both"/>
      </w:pPr>
      <w:r>
        <w:rPr>
          <w:rFonts w:ascii="Times New Roman" w:cs="Times New Roman" w:eastAsia="Times New Roman" w:hAnsi="Times New Roman"/>
          <w:sz w:val="24"/>
          <w:szCs w:val="24"/>
        </w:rPr>
        <w:t xml:space="preserve">Transaction pipeline performance was measured across fifty purchase transactions on the local Hardhat network. Average confirmation latency was recorded at 1.2 seconds, reflecting the near-instantaneous block mining characteristic of the local development environment. Extended validation conducted on the Polygon Mumbai testnet across one hundred transactions produced an average latency of 3.4 seconds with a standard deviation of 1.2 seconds, comfortably within the five-second NFR-01 performance target.</w:t>
      </w:r>
    </w:p>
    <w:p>
      <w:pPr>
        <w:spacing w:after="100" w:before="100" w:line="360"/>
        <w:jc w:val="both"/>
      </w:pPr>
      <w:r>
        <w:rPr>
          <w:rFonts w:ascii="Times New Roman" w:cs="Times New Roman" w:eastAsia="Times New Roman" w:hAnsi="Times New Roman"/>
          <w:sz w:val="24"/>
          <w:szCs w:val="24"/>
        </w:rPr>
        <w:t xml:space="preserve">Frontend rendering performance was assessed using Google Lighthouse with twenty active property listings displayed simultaneously. The Marketplace page achieved a performance score of 87, with Largest Contentful Paint recorded at 1.8 seconds, benefiting from Next.js's built-in image optimisation pipeline. Contract read operations including getAllListings() returned within 50 milliseconds on the local network, well within interactive response time thresholds.</w:t>
      </w:r>
    </w:p>
    <w:p>
      <w:pPr>
        <w:spacing w:after="60" w:before="100"/>
        <w:jc w:val="center"/>
      </w:pPr>
      <w:r>
        <w:rPr>
          <w:rFonts w:ascii="Times New Roman" w:cs="Times New Roman" w:eastAsia="Times New Roman" w:hAnsi="Times New Roman"/>
          <w:b/>
          <w:bCs/>
          <w:i/>
          <w:iCs/>
          <w:color w:val="404040"/>
          <w:sz w:val="20"/>
          <w:szCs w:val="20"/>
        </w:rPr>
        <w:t xml:space="preserve">Table 5.1: Performance Summary – BBREMS Prototype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500"/>
        <w:gridCol w:w="166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Hardhat Local</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Polygon Mumbai</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Target</w:t>
            </w:r>
          </w:p>
        </w:tc>
        <w:tc>
          <w:tcPr>
            <w:tcW w:type="dxa" w:w="1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Status</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Avg. Confirmation Latency</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 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3.4 s</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5 s</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mintAndList() Gas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~180,000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~185,000</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200,000</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purchaseProperty() Gas</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~120,000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~125,000</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150,000</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Marketplace Load (20 listings)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50 ms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85 ms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&lt; 200 ms</w:t>
            </w:r>
          </w:p>
        </w:tc>
        <w:tc>
          <w:tcPr>
            <w:tcW w:type="dxa" w:w="16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Success Rate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100%</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97.3%</w:t>
            </w:r>
          </w:p>
        </w:tc>
        <w:tc>
          <w:tcPr>
            <w:tcW w:type="dxa" w:w="1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&gt; 95%</w:t>
            </w:r>
          </w:p>
        </w:tc>
        <w:tc>
          <w:tcPr>
            <w:tcW w:type="dxa" w:w="16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Met</w:t>
            </w:r>
          </w:p>
        </w:tc>
      </w:tr>
    </w:tbl>
    <w:p>
      <w:pPr>
        <w:pStyle w:val="Heading2"/>
        <w:spacing w:after="120" w:before="240"/>
      </w:pPr>
      <w:r>
        <w:rPr>
          <w:rFonts w:ascii="Times New Roman" w:cs="Times New Roman" w:eastAsia="Times New Roman" w:hAnsi="Times New Roman"/>
          <w:b/>
          <w:bCs/>
          <w:color w:val="2E75B6"/>
          <w:sz w:val="24"/>
          <w:szCs w:val="24"/>
        </w:rPr>
        <w:t xml:space="preserve">5.5  Integration Summary</w:t>
      </w:r>
    </w:p>
    <w:p>
      <w:pPr>
        <w:spacing w:after="100" w:before="100" w:line="360"/>
        <w:jc w:val="both"/>
      </w:pPr>
      <w:r>
        <w:rPr>
          <w:rFonts w:ascii="Times New Roman" w:cs="Times New Roman" w:eastAsia="Times New Roman" w:hAnsi="Times New Roman"/>
          <w:sz w:val="24"/>
          <w:szCs w:val="24"/>
        </w:rPr>
        <w:t xml:space="preserve">The blockchain integration module successfully delivers smart contract capabilities through an accessible and performant Next.js interface. The ethers.js-based context and hook architecture proved highly effective in practice, reducing blockchain-specific code within individual UI components to under ten percent of total component logic — substantially improving readability, testability, and maintainability.</w:t>
      </w:r>
    </w:p>
    <w:p>
      <w:pPr>
        <w:spacing w:after="100" w:before="100" w:line="360"/>
        <w:jc w:val="both"/>
      </w:pPr>
      <w:r>
        <w:rPr>
          <w:rFonts w:ascii="Times New Roman" w:cs="Times New Roman" w:eastAsia="Times New Roman" w:hAnsi="Times New Roman"/>
          <w:sz w:val="24"/>
          <w:szCs w:val="24"/>
        </w:rPr>
        <w:t xml:space="preserve">The local Hardhat environment provided a frictionless development experience throughout the implementation phase, offering deterministic block mining, pre-funded test accounts, and comprehensive transaction visibility through console output. The transition to Polygon Mumbai for extended validation required only network configuration changes, confirming the architecture's environment portability and Layer-2 readiness.</w:t>
      </w:r>
    </w:p>
    <w:p>
      <w:r>
        <w:br w:type="page"/>
      </w:r>
    </w:p>
    <w:p>
      <w:pPr>
        <w:spacing w:after="80" w:before="480"/>
        <w:jc w:val="center"/>
      </w:pPr>
      <w:r>
        <w:rPr>
          <w:rFonts w:ascii="Times New Roman" w:cs="Times New Roman" w:eastAsia="Times New Roman" w:hAnsi="Times New Roman"/>
          <w:b/>
          <w:bCs/>
          <w:color w:val="1F4E79"/>
          <w:sz w:val="32"/>
          <w:szCs w:val="32"/>
        </w:rPr>
        <w:t xml:space="preserve">CHAPTER 6</w:t>
      </w:r>
    </w:p>
    <w:p>
      <w:pPr>
        <w:spacing w:after="360" w:before="80"/>
        <w:jc w:val="center"/>
      </w:pPr>
      <w:r>
        <w:rPr>
          <w:rFonts w:ascii="Times New Roman" w:cs="Times New Roman" w:eastAsia="Times New Roman" w:hAnsi="Times New Roman"/>
          <w:b/>
          <w:bCs/>
          <w:color w:val="1F4E79"/>
          <w:sz w:val="32"/>
          <w:szCs w:val="32"/>
        </w:rPr>
        <w:t xml:space="preserve">RESULTS &amp; TESTING</w:t>
      </w:r>
    </w:p>
    <w:p>
      <w:pPr>
        <w:pStyle w:val="Heading2"/>
        <w:spacing w:after="120" w:before="240"/>
      </w:pPr>
      <w:r>
        <w:rPr>
          <w:rFonts w:ascii="Times New Roman" w:cs="Times New Roman" w:eastAsia="Times New Roman" w:hAnsi="Times New Roman"/>
          <w:b/>
          <w:bCs/>
          <w:color w:val="2E75B6"/>
          <w:sz w:val="24"/>
          <w:szCs w:val="24"/>
        </w:rPr>
        <w:t xml:space="preserve">6.1  Testing Overview</w:t>
      </w:r>
    </w:p>
    <w:p>
      <w:pPr>
        <w:spacing w:after="100" w:before="100" w:line="360"/>
        <w:jc w:val="both"/>
      </w:pPr>
      <w:r>
        <w:rPr>
          <w:rFonts w:ascii="Times New Roman" w:cs="Times New Roman" w:eastAsia="Times New Roman" w:hAnsi="Times New Roman"/>
          <w:sz w:val="24"/>
          <w:szCs w:val="24"/>
        </w:rPr>
        <w:t xml:space="preserve">The BBREMS testing programme was structured across four levels: unit testing of individual smart contract functions in isolation; integration testing of frontend-contract interactions through the Web3Context; end-to-end system testing of complete user workflows on the Hardhat network; and a lightweight usability evaluation conducted with volunteer participants. The Solidity test suite achieved 100 percent execution success across all defined test cases, with greater than 92 percent statement coverage confirmed by the solidity-coverage plugin.</w:t>
      </w:r>
    </w:p>
    <w:p>
      <w:pPr>
        <w:spacing w:after="100" w:before="100" w:line="360"/>
        <w:jc w:val="both"/>
      </w:pPr>
      <w:r>
        <w:rPr>
          <w:rFonts w:ascii="Times New Roman" w:cs="Times New Roman" w:eastAsia="Times New Roman" w:hAnsi="Times New Roman"/>
          <w:sz w:val="24"/>
          <w:szCs w:val="24"/>
        </w:rPr>
        <w:t xml:space="preserve">End-to-end system testing on the local Hardhat network produced a 100 percent transaction success rate across fifty test transactions. Extended validation on the Polygon Mumbai testnet yielded a 97.3 percent success rate over one hundred transactions, with the three observed failures attributable to testnet instability rather than contract logic defects. Usability evaluation with three volunteer testers confirmed that the complete listing and purchase workflow is independently accessible to users with basic MetaMask familiarity.</w:t>
      </w:r>
    </w:p>
    <w:p>
      <w:pPr>
        <w:pStyle w:val="Heading2"/>
        <w:spacing w:after="120" w:before="240"/>
      </w:pPr>
      <w:r>
        <w:rPr>
          <w:rFonts w:ascii="Times New Roman" w:cs="Times New Roman" w:eastAsia="Times New Roman" w:hAnsi="Times New Roman"/>
          <w:b/>
          <w:bCs/>
          <w:color w:val="2E75B6"/>
          <w:sz w:val="24"/>
          <w:szCs w:val="24"/>
        </w:rPr>
        <w:t xml:space="preserve">6.2  Test Methodology &amp; Cases</w:t>
      </w:r>
    </w:p>
    <w:p>
      <w:pPr>
        <w:spacing w:after="100" w:before="100" w:line="360"/>
        <w:jc w:val="both"/>
      </w:pPr>
      <w:r>
        <w:rPr>
          <w:rFonts w:ascii="Times New Roman" w:cs="Times New Roman" w:eastAsia="Times New Roman" w:hAnsi="Times New Roman"/>
          <w:sz w:val="24"/>
          <w:szCs w:val="24"/>
        </w:rPr>
        <w:t xml:space="preserve">Unit tests were authored in JavaScript using Hardhat's integrated testing framework and Chai assertions, following the Arrange-Act-Assert pattern throughout. Integration tests employed Hardhat deployment fixtures to ensure a consistent, deterministic contract initial state before each test case. The ten representative test scenarios presented below demonstrate the breadth and coverage of the testing programme.</w:t>
      </w:r>
    </w:p>
    <w:p>
      <w:pPr>
        <w:spacing w:after="60" w:before="100"/>
        <w:jc w:val="center"/>
      </w:pPr>
      <w:r>
        <w:rPr>
          <w:rFonts w:ascii="Times New Roman" w:cs="Times New Roman" w:eastAsia="Times New Roman" w:hAnsi="Times New Roman"/>
          <w:b/>
          <w:bCs/>
          <w:i/>
          <w:iCs/>
          <w:color w:val="404040"/>
          <w:sz w:val="20"/>
          <w:szCs w:val="20"/>
        </w:rPr>
        <w:t xml:space="preserve">Table 6.1: System Test Case Summary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800"/>
        <w:gridCol w:w="1400"/>
        <w:gridCol w:w="900"/>
        <w:gridCol w:w="1560"/>
      </w:tblGrid>
      <w:tr>
        <w:tc>
          <w:tcPr>
            <w:tcW w:type="dxa" w:w="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No.</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Test Scenario</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Expected Result</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Outcome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Pass/Fail</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Module</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Valid Property Minting</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NFT minted; event emitted</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Zero Price Rejection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reverts with error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Successful Purchase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NFT transferred; funds released</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Incorrect ETH Payment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reverts with error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5</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Self-Purchase Prevention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reverts correctly</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Unlisted Token Purchase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reverts with 'Not listed'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7</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Listing Cancellation</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isListed = false; NFT retained by owner</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Reentrancy Guard Enforcement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Second reentrant call reverts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RealEstate.sol</w:t>
            </w:r>
          </w:p>
        </w:tc>
      </w:tr>
      <w:tr>
        <w:tc>
          <w:tcPr>
            <w:tcW w:type="dxa" w:w="5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w:t>
            </w:r>
          </w:p>
        </w:tc>
        <w:tc>
          <w:tcPr>
            <w:tcW w:type="dxa" w:w="22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Wallet Authentication Gate</w:t>
            </w:r>
          </w:p>
        </w:tc>
        <w:tc>
          <w:tcPr>
            <w:tcW w:type="dxa" w:w="18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UI prevents unauthenticated transactions</w:t>
            </w:r>
          </w:p>
        </w:tc>
        <w:tc>
          <w:tcPr>
            <w:tcW w:type="dxa" w:w="14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Web3Context</w:t>
            </w:r>
          </w:p>
        </w:tc>
      </w:tr>
      <w:tr>
        <w:tc>
          <w:tcPr>
            <w:tcW w:type="dxa" w:w="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10</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Event-Driven UI Update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Sold property card removed from display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PASS</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sz w:val="20"/>
                <w:szCs w:val="20"/>
              </w:rPr>
              <w:t xml:space="preserve">✓</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Marketplace</w:t>
            </w:r>
          </w:p>
        </w:tc>
      </w:tr>
    </w:tbl>
    <w:p>
      <w:pPr>
        <w:pStyle w:val="Heading2"/>
        <w:spacing w:after="120" w:before="240"/>
      </w:pPr>
      <w:r>
        <w:rPr>
          <w:rFonts w:ascii="Times New Roman" w:cs="Times New Roman" w:eastAsia="Times New Roman" w:hAnsi="Times New Roman"/>
          <w:b/>
          <w:bCs/>
          <w:color w:val="2E75B6"/>
          <w:sz w:val="24"/>
          <w:szCs w:val="24"/>
        </w:rPr>
        <w:t xml:space="preserve">6.3  Performance Results</w:t>
      </w:r>
    </w:p>
    <w:p>
      <w:pPr>
        <w:spacing w:after="60" w:before="100"/>
        <w:jc w:val="center"/>
      </w:pPr>
      <w:r>
        <w:rPr>
          <w:rFonts w:ascii="Times New Roman" w:cs="Times New Roman" w:eastAsia="Times New Roman" w:hAnsi="Times New Roman"/>
          <w:b/>
          <w:bCs/>
          <w:i/>
          <w:iCs/>
          <w:color w:val="404040"/>
          <w:sz w:val="20"/>
          <w:szCs w:val="20"/>
        </w:rPr>
        <w:t xml:space="preserve">Table 6.2: Performance Metrics Across 100 Test Transactions (Polygon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40"/>
        <w:gridCol w:w="1440"/>
        <w:gridCol w:w="1440"/>
        <w:gridCol w:w="1440"/>
        <w:gridCol w:w="1000"/>
      </w:tblGrid>
      <w:t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Metric</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Min</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Max</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Average</w:t>
            </w:r>
          </w:p>
        </w:tc>
        <w:tc>
          <w:tcPr>
            <w:tcW w:type="dxa" w:w="14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Std Dev</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Variance</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Pipeline Latency (sec)</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11.3</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3.4</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Property Minting Gas (units)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175,000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195,000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~180,000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±8,200</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Low</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Property Purchase Gas (units)</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110,000</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135,000</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~120,000</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±6,100</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Marketplace Load — 20 listings (ms)</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45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180</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85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±38</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Low</w:t>
            </w:r>
          </w:p>
        </w:tc>
      </w:tr>
      <w:tr>
        <w:tc>
          <w:tcPr>
            <w:tcW w:type="dxa" w:w="26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Transaction Success Rate (%)</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97.3</w:t>
            </w:r>
          </w:p>
        </w:tc>
        <w:tc>
          <w:tcPr>
            <w:tcW w:type="dxa" w:w="144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0"/>
                <w:szCs w:val="20"/>
              </w:rPr>
              <w:t xml:space="preserve">—</w:t>
            </w:r>
          </w:p>
        </w:tc>
      </w:tr>
    </w:tbl>
    <w:p>
      <w:pPr>
        <w:spacing w:after="100" w:before="100" w:line="360"/>
        <w:jc w:val="both"/>
      </w:pPr>
      <w:r>
        <w:rPr>
          <w:rFonts w:ascii="Times New Roman" w:cs="Times New Roman" w:eastAsia="Times New Roman" w:hAnsi="Times New Roman"/>
          <w:sz w:val="24"/>
          <w:szCs w:val="24"/>
        </w:rPr>
        <w:t xml:space="preserve">The testing programme collectively confirms that BBREMS correctly implements all specified functional requirements and maintains all security invariants under both normal operating conditions and simulated adversarial scenarios. System-level testing on the Polygon Mumbai testnet demonstrated performance characteristics meeting or exceeding all defined non-functional requirements. The usability evaluation confirmed that the platform is accessible to the intended non-specialist user population.</w:t>
      </w:r>
    </w:p>
    <w:p>
      <w:r>
        <w:br w:type="page"/>
      </w:r>
    </w:p>
    <w:p>
      <w:pPr>
        <w:spacing w:after="80" w:before="480"/>
        <w:jc w:val="center"/>
      </w:pPr>
      <w:r>
        <w:rPr>
          <w:rFonts w:ascii="Times New Roman" w:cs="Times New Roman" w:eastAsia="Times New Roman" w:hAnsi="Times New Roman"/>
          <w:b/>
          <w:bCs/>
          <w:color w:val="1F4E79"/>
          <w:sz w:val="32"/>
          <w:szCs w:val="32"/>
        </w:rPr>
        <w:t xml:space="preserve">CHAPTER 7</w:t>
      </w:r>
    </w:p>
    <w:p>
      <w:pPr>
        <w:spacing w:after="360" w:before="80"/>
        <w:jc w:val="center"/>
      </w:pPr>
      <w:r>
        <w:rPr>
          <w:rFonts w:ascii="Times New Roman" w:cs="Times New Roman" w:eastAsia="Times New Roman" w:hAnsi="Times New Roman"/>
          <w:b/>
          <w:bCs/>
          <w:color w:val="1F4E79"/>
          <w:sz w:val="32"/>
          <w:szCs w:val="32"/>
        </w:rPr>
        <w:t xml:space="preserve">CONCLUSION &amp; FUTURE DIRECTIONS</w:t>
      </w:r>
    </w:p>
    <w:p>
      <w:pPr>
        <w:pStyle w:val="Heading2"/>
        <w:spacing w:after="120" w:before="240"/>
      </w:pPr>
      <w:r>
        <w:rPr>
          <w:rFonts w:ascii="Times New Roman" w:cs="Times New Roman" w:eastAsia="Times New Roman" w:hAnsi="Times New Roman"/>
          <w:b/>
          <w:bCs/>
          <w:color w:val="2E75B6"/>
          <w:sz w:val="24"/>
          <w:szCs w:val="24"/>
        </w:rPr>
        <w:t xml:space="preserve">7.1  Performance Benchmarking</w:t>
      </w:r>
    </w:p>
    <w:p>
      <w:pPr>
        <w:spacing w:after="100" w:before="100" w:line="360"/>
        <w:jc w:val="both"/>
      </w:pPr>
      <w:r>
        <w:rPr>
          <w:rFonts w:ascii="Times New Roman" w:cs="Times New Roman" w:eastAsia="Times New Roman" w:hAnsi="Times New Roman"/>
          <w:sz w:val="24"/>
          <w:szCs w:val="24"/>
        </w:rPr>
        <w:t xml:space="preserve">A structured comparative assessment was conducted between BBREMS and two reference baselines: the conventional paper-based property transaction workflow, and representative prior blockchain implementations from the reviewed literature. Against the conventional baseline, BBREMS delivers near-instant ownership transfer confirmation (3.4 seconds average on Polygon) versus multi-week legal processes, and dramatically reduced transaction costs — below USD 0.01 per operation on the Polygon Layer-2 network, compared with several percentage points of property value in conventional intermediary fees.</w:t>
      </w:r>
    </w:p>
    <w:p>
      <w:pPr>
        <w:spacing w:after="100" w:before="100" w:line="360"/>
        <w:jc w:val="both"/>
      </w:pPr>
      <w:r>
        <w:rPr>
          <w:rFonts w:ascii="Times New Roman" w:cs="Times New Roman" w:eastAsia="Times New Roman" w:hAnsi="Times New Roman"/>
          <w:sz w:val="24"/>
          <w:szCs w:val="24"/>
        </w:rPr>
        <w:t xml:space="preserve">Against prior Ethereum Layer-1 implementations, BBREMS's Layer-2 targeting provides order-of-magnitude improvements in both transaction speed (3.4 seconds versus 13+ seconds) and per-transaction cost (below $0.01 versus $5–50). The functional scope of BBREMS — integrating NFT-based property tokenisation, an open on-chain marketplace, and wallet-gated atomic purchasing — exceeds the scope of any individual prior implementation reviewed in the literature. Security evaluation confirmed that the CEI pattern and ReentrancyGuard protect against the most critical documented attack vectors. No critical or high-severity vulnerabilities were identified across the testing programme, though production deployment would necessitate a formal third-party smart contract security audit.</w:t>
      </w:r>
    </w:p>
    <w:p>
      <w:pPr>
        <w:pStyle w:val="Heading2"/>
        <w:spacing w:after="120" w:before="240"/>
      </w:pPr>
      <w:r>
        <w:rPr>
          <w:rFonts w:ascii="Times New Roman" w:cs="Times New Roman" w:eastAsia="Times New Roman" w:hAnsi="Times New Roman"/>
          <w:b/>
          <w:bCs/>
          <w:color w:val="2E75B6"/>
          <w:sz w:val="24"/>
          <w:szCs w:val="24"/>
        </w:rPr>
        <w:t xml:space="preserve">7.2  Real-World Applicability</w:t>
      </w:r>
    </w:p>
    <w:p>
      <w:pPr>
        <w:pStyle w:val="Heading3"/>
        <w:spacing w:after="100" w:before="200"/>
      </w:pPr>
      <w:r>
        <w:rPr>
          <w:rFonts w:ascii="Times New Roman" w:cs="Times New Roman" w:eastAsia="Times New Roman" w:hAnsi="Times New Roman"/>
          <w:b/>
          <w:bCs/>
          <w:i/>
          <w:iCs/>
          <w:color w:val="000000"/>
          <w:sz w:val="22"/>
          <w:szCs w:val="22"/>
        </w:rPr>
        <w:t xml:space="preserve">7.2.1  Government Land Registry Modernisation</w:t>
      </w:r>
    </w:p>
    <w:p>
      <w:pPr>
        <w:spacing w:after="100" w:before="100" w:line="360"/>
        <w:jc w:val="both"/>
      </w:pPr>
      <w:r>
        <w:rPr>
          <w:rFonts w:ascii="Times New Roman" w:cs="Times New Roman" w:eastAsia="Times New Roman" w:hAnsi="Times New Roman"/>
          <w:sz w:val="24"/>
          <w:szCs w:val="24"/>
        </w:rPr>
        <w:t xml:space="preserve">National land registries seeking enhanced transparency and tamper-resistance can adopt the BBREMS architecture as a supplementary audit layer operating alongside existing centralised systems. The on-chain ownership history provides citizens, legal professionals, and government bodies with verifiable title records accessible without institutional intermediation [1, 7].</w:t>
      </w:r>
    </w:p>
    <w:p>
      <w:pPr>
        <w:pStyle w:val="Heading3"/>
        <w:spacing w:after="100" w:before="200"/>
      </w:pPr>
      <w:r>
        <w:rPr>
          <w:rFonts w:ascii="Times New Roman" w:cs="Times New Roman" w:eastAsia="Times New Roman" w:hAnsi="Times New Roman"/>
          <w:b/>
          <w:bCs/>
          <w:i/>
          <w:iCs/>
          <w:color w:val="000000"/>
          <w:sz w:val="22"/>
          <w:szCs w:val="22"/>
        </w:rPr>
        <w:t xml:space="preserve">7.2.2  Commercial and Residential Transactions</w:t>
      </w:r>
    </w:p>
    <w:p>
      <w:pPr>
        <w:spacing w:after="100" w:before="100" w:line="360"/>
        <w:jc w:val="both"/>
      </w:pPr>
      <w:r>
        <w:rPr>
          <w:rFonts w:ascii="Times New Roman" w:cs="Times New Roman" w:eastAsia="Times New Roman" w:hAnsi="Times New Roman"/>
          <w:sz w:val="24"/>
          <w:szCs w:val="24"/>
        </w:rPr>
        <w:t xml:space="preserve">Real estate agencies and legal professionals can integrate with BBREMS through its smart contract interface to automate due diligence workflows and initiate conditioned transfer procedures. The atomic settlement mechanism eliminates the counterparty risk of simultaneous fund and title transfer that conventional escrow services address at substantially greater cost [5].</w:t>
      </w:r>
    </w:p>
    <w:p>
      <w:pPr>
        <w:pStyle w:val="Heading3"/>
        <w:spacing w:after="100" w:before="200"/>
      </w:pPr>
      <w:r>
        <w:rPr>
          <w:rFonts w:ascii="Times New Roman" w:cs="Times New Roman" w:eastAsia="Times New Roman" w:hAnsi="Times New Roman"/>
          <w:b/>
          <w:bCs/>
          <w:i/>
          <w:iCs/>
          <w:color w:val="000000"/>
          <w:sz w:val="22"/>
          <w:szCs w:val="22"/>
        </w:rPr>
        <w:t xml:space="preserve">7.2.3  Fractional Investment Platforms</w:t>
      </w:r>
    </w:p>
    <w:p>
      <w:pPr>
        <w:spacing w:after="100" w:before="100" w:line="360"/>
        <w:jc w:val="both"/>
      </w:pPr>
      <w:r>
        <w:rPr>
          <w:rFonts w:ascii="Times New Roman" w:cs="Times New Roman" w:eastAsia="Times New Roman" w:hAnsi="Times New Roman"/>
          <w:sz w:val="24"/>
          <w:szCs w:val="24"/>
        </w:rPr>
        <w:t xml:space="preserve">Extending the ERC-721 property token with an ERC-20 fractionalisation layer provides a technically sound foundation for retail fractional property investment platforms. Real-world precedents including Dubai's Prypco Mint programme confirm commercial viability within appropriately structured regulatory sandboxes [2, 18].</w:t>
      </w:r>
    </w:p>
    <w:p>
      <w:pPr>
        <w:pStyle w:val="Heading3"/>
        <w:spacing w:after="100" w:before="200"/>
      </w:pPr>
      <w:r>
        <w:rPr>
          <w:rFonts w:ascii="Times New Roman" w:cs="Times New Roman" w:eastAsia="Times New Roman" w:hAnsi="Times New Roman"/>
          <w:b/>
          <w:bCs/>
          <w:i/>
          <w:iCs/>
          <w:color w:val="000000"/>
          <w:sz w:val="22"/>
          <w:szCs w:val="22"/>
        </w:rPr>
        <w:t xml:space="preserve">7.2.4  Rental and Leasing Applications</w:t>
      </w:r>
    </w:p>
    <w:p>
      <w:pPr>
        <w:spacing w:after="100" w:before="100" w:line="360"/>
        <w:jc w:val="both"/>
      </w:pPr>
      <w:r>
        <w:rPr>
          <w:rFonts w:ascii="Times New Roman" w:cs="Times New Roman" w:eastAsia="Times New Roman" w:hAnsi="Times New Roman"/>
          <w:sz w:val="24"/>
          <w:szCs w:val="24"/>
        </w:rPr>
        <w:t xml:space="preserve">The atomic settlement logic demonstrated in the purchase module is directly transferable to rental payment enforcement and security deposit management workflows, as validated by Jaodun and Bouafia [3]. Future extension of BBREMS to rental use cases would require additions to the smart contract layer encompassing lease state management and recurring payment scheduling capabilities.</w:t>
      </w:r>
    </w:p>
    <w:p>
      <w:pPr>
        <w:pStyle w:val="Heading2"/>
        <w:spacing w:after="120" w:before="240"/>
      </w:pPr>
      <w:r>
        <w:rPr>
          <w:rFonts w:ascii="Times New Roman" w:cs="Times New Roman" w:eastAsia="Times New Roman" w:hAnsi="Times New Roman"/>
          <w:b/>
          <w:bCs/>
          <w:color w:val="2E75B6"/>
          <w:sz w:val="24"/>
          <w:szCs w:val="24"/>
        </w:rPr>
        <w:t xml:space="preserve">7.3  Known Limitations</w:t>
      </w:r>
    </w:p>
    <w:p>
      <w:pPr>
        <w:spacing w:after="100" w:before="100" w:line="360"/>
        <w:jc w:val="both"/>
      </w:pPr>
      <w:r>
        <w:rPr>
          <w:rFonts w:ascii="Times New Roman" w:cs="Times New Roman" w:eastAsia="Times New Roman" w:hAnsi="Times New Roman"/>
          <w:sz w:val="24"/>
          <w:szCs w:val="24"/>
        </w:rPr>
        <w:t xml:space="preserve">Regulatory Non-Recognition: Blockchain property records currently lack legal validity as authoritative title instruments in the majority of jurisdictions. BBREMS functions as a technical prototype and supplementary transparency layer rather than a legally authoritative title record. This is an external policy constraint rather than a technical deficiency of the system.</w:t>
      </w:r>
    </w:p>
    <w:p>
      <w:pPr>
        <w:spacing w:after="100" w:before="100" w:line="360"/>
        <w:jc w:val="both"/>
      </w:pPr>
      <w:r>
        <w:rPr>
          <w:rFonts w:ascii="Times New Roman" w:cs="Times New Roman" w:eastAsia="Times New Roman" w:hAnsi="Times New Roman"/>
          <w:sz w:val="24"/>
          <w:szCs w:val="24"/>
        </w:rPr>
        <w:t xml:space="preserve">Prototype Environment: Primary performance benchmarks were obtained on the local Hardhat development network and the Polygon Mumbai testnet. Mainnet performance under genuine economic incentive conditions and production-scale transaction volumes has not been empirically validated.</w:t>
      </w:r>
    </w:p>
    <w:p>
      <w:pPr>
        <w:spacing w:after="100" w:before="100" w:line="360"/>
        <w:jc w:val="both"/>
      </w:pPr>
      <w:r>
        <w:rPr>
          <w:rFonts w:ascii="Times New Roman" w:cs="Times New Roman" w:eastAsia="Times New Roman" w:hAnsi="Times New Roman"/>
          <w:sz w:val="24"/>
          <w:szCs w:val="24"/>
        </w:rPr>
        <w:t xml:space="preserve">MetaMask Dependency: The current frontend implementation requires MetaMask, presupposing a level of cryptocurrency literacy that many potential users in target markets do not yet possess. Embedded wallet SDK solutions would substantially expand the addressable user base.</w:t>
      </w:r>
    </w:p>
    <w:p>
      <w:pPr>
        <w:spacing w:after="100" w:before="100" w:line="360"/>
        <w:jc w:val="both"/>
      </w:pPr>
      <w:r>
        <w:rPr>
          <w:rFonts w:ascii="Times New Roman" w:cs="Times New Roman" w:eastAsia="Times New Roman" w:hAnsi="Times New Roman"/>
          <w:sz w:val="24"/>
          <w:szCs w:val="24"/>
        </w:rPr>
        <w:t xml:space="preserve">Synthetic Transaction Testing: Performance evaluation utilised simulated transaction patterns derived from anonymised property records. System behaviour under national registry scale — encompassing millions of property records and thousands of daily transactions — has not been empirically characterised.</w:t>
      </w:r>
    </w:p>
    <w:p>
      <w:pPr>
        <w:pStyle w:val="Heading2"/>
        <w:spacing w:after="120" w:before="240"/>
      </w:pPr>
      <w:r>
        <w:rPr>
          <w:rFonts w:ascii="Times New Roman" w:cs="Times New Roman" w:eastAsia="Times New Roman" w:hAnsi="Times New Roman"/>
          <w:b/>
          <w:bCs/>
          <w:color w:val="2E75B6"/>
          <w:sz w:val="24"/>
          <w:szCs w:val="24"/>
        </w:rPr>
        <w:t xml:space="preserve">7.4  Future Enhancement Roadmap</w:t>
      </w:r>
    </w:p>
    <w:p>
      <w:pPr>
        <w:spacing w:after="100" w:before="100" w:line="360"/>
        <w:jc w:val="both"/>
      </w:pPr>
      <w:r>
        <w:rPr>
          <w:rFonts w:ascii="Times New Roman" w:cs="Times New Roman" w:eastAsia="Times New Roman" w:hAnsi="Times New Roman"/>
          <w:sz w:val="24"/>
          <w:szCs w:val="24"/>
        </w:rPr>
        <w:t xml:space="preserve">Zero-Knowledge Proof KYC: Implementing zk-SNARK-based identity proofs would enable users to demonstrate regulatory compliance and identity verification without disclosing personally identifiable information on-chain, directly addressing the privacy concerns raised in the security literature [6, 15].</w:t>
      </w:r>
    </w:p>
    <w:p>
      <w:pPr>
        <w:spacing w:after="100" w:before="100" w:line="360"/>
        <w:jc w:val="both"/>
      </w:pPr>
      <w:r>
        <w:rPr>
          <w:rFonts w:ascii="Times New Roman" w:cs="Times New Roman" w:eastAsia="Times New Roman" w:hAnsi="Times New Roman"/>
          <w:sz w:val="24"/>
          <w:szCs w:val="24"/>
        </w:rPr>
        <w:t xml:space="preserve">Embedded Wallet Integration: Integrating SDKs such as Privy or Web3Auth would eliminate the MetaMask prerequisite entirely, enabling social login-based wallet creation accessible to users without prior cryptocurrency experience.</w:t>
      </w:r>
    </w:p>
    <w:p>
      <w:pPr>
        <w:spacing w:after="100" w:before="100" w:line="360"/>
        <w:jc w:val="both"/>
      </w:pPr>
      <w:r>
        <w:rPr>
          <w:rFonts w:ascii="Times New Roman" w:cs="Times New Roman" w:eastAsia="Times New Roman" w:hAnsi="Times New Roman"/>
          <w:sz w:val="24"/>
          <w:szCs w:val="24"/>
        </w:rPr>
        <w:t xml:space="preserve">Full IPFS Document Management: Complete integration of Pinata's IPFS API for property document storage — uploading documents off-chain and recording only their content identifiers on-chain — would add cryptographically verifiable document management to the existing ownership tokenisation and marketplace capabilities.</w:t>
      </w:r>
    </w:p>
    <w:p>
      <w:pPr>
        <w:spacing w:after="100" w:before="100" w:line="360"/>
        <w:jc w:val="both"/>
      </w:pPr>
      <w:r>
        <w:rPr>
          <w:rFonts w:ascii="Times New Roman" w:cs="Times New Roman" w:eastAsia="Times New Roman" w:hAnsi="Times New Roman"/>
          <w:sz w:val="24"/>
          <w:szCs w:val="24"/>
        </w:rPr>
        <w:t xml:space="preserve">Layer-2 Production Deployment: Deploying the complete system to a Polygon, Arbitrum, or Base mainnet would validate the architecture under real economic conditions and enable genuine property tokenisation transactions with appropriate legal oversight.</w:t>
      </w:r>
    </w:p>
    <w:p>
      <w:pPr>
        <w:spacing w:after="100" w:before="100" w:line="360"/>
        <w:jc w:val="both"/>
      </w:pPr>
      <w:r>
        <w:rPr>
          <w:rFonts w:ascii="Times New Roman" w:cs="Times New Roman" w:eastAsia="Times New Roman" w:hAnsi="Times New Roman"/>
          <w:sz w:val="24"/>
          <w:szCs w:val="24"/>
        </w:rPr>
        <w:t xml:space="preserve">AI-Assisted Fraud Detection: Integrating a machine learning classifier trained on anonymised historical transaction patterns would augment the current rules-based access control approach with adaptive anomaly identification and suspicious activity flagging.</w:t>
      </w:r>
    </w:p>
    <w:p>
      <w:pPr>
        <w:spacing w:after="100" w:before="100" w:line="360"/>
        <w:jc w:val="both"/>
      </w:pPr>
      <w:r>
        <w:rPr>
          <w:rFonts w:ascii="Times New Roman" w:cs="Times New Roman" w:eastAsia="Times New Roman" w:hAnsi="Times New Roman"/>
          <w:sz w:val="24"/>
          <w:szCs w:val="24"/>
        </w:rPr>
        <w:t xml:space="preserve">Mobile-Native Application: Developing a React Native implementation with integrated wallet management capabilities would extend BBREMS to the mobile-first user channels predominant in emerging markets where smartphone penetration substantially exceeds desktop computer access.</w:t>
      </w:r>
    </w:p>
    <w:p>
      <w:r>
        <w:br w:type="page"/>
      </w:r>
    </w:p>
    <w:p>
      <w:pPr>
        <w:spacing w:after="120" w:before="120"/>
        <w:jc w:val="center"/>
      </w:pPr>
      <w:r>
        <w:rPr>
          <w:rFonts w:ascii="Times New Roman" w:cs="Times New Roman" w:eastAsia="Times New Roman" w:hAnsi="Times New Roman"/>
          <w:b/>
          <w:bCs/>
          <w:sz w:val="32"/>
          <w:szCs w:val="32"/>
        </w:rPr>
        <w:t xml:space="preserve">LIST OF PUBLICATIONS</w:t>
      </w:r>
    </w:p>
    <w:p>
      <w:r>
        <w:t xml:space="preserve"/>
      </w:r>
    </w:p>
    <w:p>
      <w:pPr>
        <w:spacing w:after="100" w:before="100" w:line="360"/>
        <w:jc w:val="both"/>
      </w:pPr>
      <w:r>
        <w:rPr>
          <w:rFonts w:ascii="Times New Roman" w:cs="Times New Roman" w:eastAsia="Times New Roman" w:hAnsi="Times New Roman"/>
          <w:sz w:val="24"/>
          <w:szCs w:val="24"/>
        </w:rPr>
        <w:t xml:space="preserve">A research paper arising from this project has been submitted to the International Conference on Trustworthy Digital Networks (ICCTDN-2026).</w:t>
      </w:r>
    </w:p>
    <w:p>
      <w:r>
        <w:t xml:space="preserve"/>
      </w:r>
    </w:p>
    <w:p>
      <w:pPr>
        <w:spacing w:after="120" w:before="120" w:line="360"/>
        <w:jc w:val="left"/>
      </w:pPr>
      <w:r>
        <w:rPr>
          <w:rFonts w:ascii="Times New Roman" w:cs="Times New Roman" w:eastAsia="Times New Roman" w:hAnsi="Times New Roman"/>
          <w:b/>
          <w:bCs/>
          <w:i w:val="false"/>
          <w:iCs w:val="false"/>
          <w:color w:val="000000"/>
          <w:sz w:val="24"/>
          <w:szCs w:val="24"/>
        </w:rPr>
        <w:t xml:space="preserve">Title:</w:t>
      </w:r>
    </w:p>
    <w:p>
      <w:pPr>
        <w:spacing w:after="100" w:before="100" w:line="360"/>
        <w:jc w:val="both"/>
      </w:pPr>
      <w:r>
        <w:rPr>
          <w:rFonts w:ascii="Times New Roman" w:cs="Times New Roman" w:eastAsia="Times New Roman" w:hAnsi="Times New Roman"/>
          <w:sz w:val="24"/>
          <w:szCs w:val="24"/>
        </w:rPr>
        <w:t xml:space="preserve">Blockchain-Based Real Estate Management: A Decentralised Framework for Transparent Property Transactions</w:t>
      </w:r>
    </w:p>
    <w:p>
      <w:r>
        <w:t xml:space="preserve"/>
      </w:r>
    </w:p>
    <w:p>
      <w:pPr>
        <w:spacing w:after="120" w:before="120" w:line="360"/>
        <w:jc w:val="left"/>
      </w:pPr>
      <w:r>
        <w:rPr>
          <w:rFonts w:ascii="Times New Roman" w:cs="Times New Roman" w:eastAsia="Times New Roman" w:hAnsi="Times New Roman"/>
          <w:b/>
          <w:bCs/>
          <w:i w:val="false"/>
          <w:iCs w:val="false"/>
          <w:color w:val="000000"/>
          <w:sz w:val="24"/>
          <w:szCs w:val="24"/>
        </w:rPr>
        <w:t xml:space="preserve">Abstract:</w:t>
      </w:r>
    </w:p>
    <w:p>
      <w:pPr>
        <w:spacing w:after="100" w:before="100" w:line="360"/>
        <w:jc w:val="both"/>
      </w:pPr>
      <w:r>
        <w:rPr>
          <w:rFonts w:ascii="Times New Roman" w:cs="Times New Roman" w:eastAsia="Times New Roman" w:hAnsi="Times New Roman"/>
          <w:sz w:val="24"/>
          <w:szCs w:val="24"/>
        </w:rPr>
        <w:t xml:space="preserve">This paper presents the Blockchain Real Estate Management Framework (BREMF), a prototype architecture that enhances traceability, document integrity, and workflow automation in property transactions through Ethereum smart contracts and IPFS. Evaluated against 1,200 simulated transaction workloads, the prototype demonstrated substantially reduced settlement delay and improved audit-trail completeness under controlled laboratory conditions. Practical constraints including legal enforceability requirements, oracle dependency, gas price volatility, and the absence of live registry integration are explicitly acknowledged and discussed.</w:t>
      </w:r>
    </w:p>
    <w:p>
      <w:pPr>
        <w:spacing w:after="120" w:before="120" w:line="360"/>
        <w:jc w:val="left"/>
      </w:pPr>
      <w:r>
        <w:rPr>
          <w:rFonts w:ascii="Times New Roman" w:cs="Times New Roman" w:eastAsia="Times New Roman" w:hAnsi="Times New Roman"/>
          <w:b w:val="false"/>
          <w:bCs w:val="false"/>
          <w:i w:val="false"/>
          <w:iCs w:val="false"/>
          <w:color w:val="000000"/>
          <w:sz w:val="24"/>
          <w:szCs w:val="24"/>
        </w:rPr>
        <w:t xml:space="preserve">Authors: Devansh Jha, Dr. Bharat Bhushan, Purushottam Kumar</w:t>
      </w:r>
    </w:p>
    <w:p>
      <w:pPr>
        <w:spacing w:after="120" w:before="120" w:line="360"/>
        <w:jc w:val="left"/>
      </w:pPr>
      <w:r>
        <w:rPr>
          <w:rFonts w:ascii="Times New Roman" w:cs="Times New Roman" w:eastAsia="Times New Roman" w:hAnsi="Times New Roman"/>
          <w:b w:val="false"/>
          <w:bCs w:val="false"/>
          <w:i/>
          <w:iCs/>
          <w:color w:val="000000"/>
          <w:sz w:val="24"/>
          <w:szCs w:val="24"/>
        </w:rPr>
        <w:t xml:space="preserve">GitHub Repository: https://github.com/devansh6243</w:t>
      </w:r>
    </w:p>
    <w:p>
      <w:r>
        <w:br w:type="page"/>
      </w:r>
    </w:p>
    <w:p>
      <w:pPr>
        <w:spacing w:after="120" w:before="120"/>
        <w:jc w:val="center"/>
      </w:pPr>
      <w:r>
        <w:rPr>
          <w:rFonts w:ascii="Times New Roman" w:cs="Times New Roman" w:eastAsia="Times New Roman" w:hAnsi="Times New Roman"/>
          <w:b/>
          <w:bCs/>
          <w:sz w:val="32"/>
          <w:szCs w:val="32"/>
        </w:rPr>
        <w:t xml:space="preserve">REFERENCES</w:t>
      </w:r>
    </w:p>
    <w:p>
      <w:r>
        <w:t xml:space="preserve"/>
      </w:r>
    </w:p>
    <w:p>
      <w:pPr>
        <w:spacing w:after="80" w:before="80" w:line="320"/>
        <w:ind w:left="360" w:hanging="360"/>
        <w:jc w:val="both"/>
      </w:pPr>
      <w:r>
        <w:rPr>
          <w:rFonts w:ascii="Times New Roman" w:cs="Times New Roman" w:eastAsia="Times New Roman" w:hAnsi="Times New Roman"/>
          <w:sz w:val="22"/>
          <w:szCs w:val="22"/>
        </w:rPr>
        <w:t xml:space="preserve">[1]  A. Saari, J. Vimpari, and S. Junnila, "Blockchain in real estate: Recent developments and empirical applications," Land Use Policy, vol. 121, p. 106334, 2022.</w:t>
      </w:r>
    </w:p>
    <w:p>
      <w:pPr>
        <w:spacing w:after="80" w:before="80" w:line="320"/>
        <w:ind w:left="360" w:hanging="360"/>
        <w:jc w:val="both"/>
      </w:pPr>
      <w:r>
        <w:rPr>
          <w:rFonts w:ascii="Times New Roman" w:cs="Times New Roman" w:eastAsia="Times New Roman" w:hAnsi="Times New Roman"/>
          <w:sz w:val="22"/>
          <w:szCs w:val="22"/>
        </w:rPr>
        <w:t xml:space="preserve">[2]  A. El Jaouhari et al., "Tokenization and the future of property investment: A new paradigm for real estate," J. Real Estate Finance Econ., vol. 65, pp. 297–315, 2024.</w:t>
      </w:r>
    </w:p>
    <w:p>
      <w:pPr>
        <w:spacing w:after="80" w:before="80" w:line="320"/>
        <w:ind w:left="360" w:hanging="360"/>
        <w:jc w:val="both"/>
      </w:pPr>
      <w:r>
        <w:rPr>
          <w:rFonts w:ascii="Times New Roman" w:cs="Times New Roman" w:eastAsia="Times New Roman" w:hAnsi="Times New Roman"/>
          <w:sz w:val="22"/>
          <w:szCs w:val="22"/>
        </w:rPr>
        <w:t xml:space="preserve">[3]  M. Jaodun and K. Bouafia, "Blockchain-based framework for decentralized rental agreements and dispute resolution," Peer-to-Peer Netw. Appl., vol. 18, pp. 12–25, 2025.</w:t>
      </w:r>
    </w:p>
    <w:p>
      <w:pPr>
        <w:spacing w:after="80" w:before="80" w:line="320"/>
        <w:ind w:left="360" w:hanging="360"/>
        <w:jc w:val="both"/>
      </w:pPr>
      <w:r>
        <w:rPr>
          <w:rFonts w:ascii="Times New Roman" w:cs="Times New Roman" w:eastAsia="Times New Roman" w:hAnsi="Times New Roman"/>
          <w:sz w:val="22"/>
          <w:szCs w:val="22"/>
        </w:rPr>
        <w:t xml:space="preserve">[4]  V. Langaliya and J. A. Gohil, "Secure decentralized approach for real estate transactions using private blockchain," Discover Internet of Things, vol. 3, p. 15, 2023.</w:t>
      </w:r>
    </w:p>
    <w:p>
      <w:pPr>
        <w:spacing w:after="80" w:before="80" w:line="320"/>
        <w:ind w:left="360" w:hanging="360"/>
        <w:jc w:val="both"/>
      </w:pPr>
      <w:r>
        <w:rPr>
          <w:rFonts w:ascii="Times New Roman" w:cs="Times New Roman" w:eastAsia="Times New Roman" w:hAnsi="Times New Roman"/>
          <w:sz w:val="22"/>
          <w:szCs w:val="22"/>
        </w:rPr>
        <w:t xml:space="preserve">[5]  S. Latifi, Y. Zhang, and L.-C. Cheng, "Blockchain-based real estate market," in Proc. IEEE Int. Conf. Blockchain, 2019, pp. 223–229.</w:t>
      </w:r>
    </w:p>
    <w:p>
      <w:pPr>
        <w:spacing w:after="80" w:before="80" w:line="320"/>
        <w:ind w:left="360" w:hanging="360"/>
        <w:jc w:val="both"/>
      </w:pPr>
      <w:r>
        <w:rPr>
          <w:rFonts w:ascii="Times New Roman" w:cs="Times New Roman" w:eastAsia="Times New Roman" w:hAnsi="Times New Roman"/>
          <w:sz w:val="22"/>
          <w:szCs w:val="22"/>
        </w:rPr>
        <w:t xml:space="preserve">[6]  R. G. B. Machado, G. C. Silva, and R. Machado, "Smart contracts in land administration: Security risks evaluation," IEEE Access, vol. 10, pp. 60502–60515, 2022.</w:t>
      </w:r>
    </w:p>
    <w:p>
      <w:pPr>
        <w:spacing w:after="80" w:before="80" w:line="320"/>
        <w:ind w:left="360" w:hanging="360"/>
        <w:jc w:val="both"/>
      </w:pPr>
      <w:r>
        <w:rPr>
          <w:rFonts w:ascii="Times New Roman" w:cs="Times New Roman" w:eastAsia="Times New Roman" w:hAnsi="Times New Roman"/>
          <w:sz w:val="22"/>
          <w:szCs w:val="22"/>
        </w:rPr>
        <w:t xml:space="preserve">[7]  D. Gupta, S. Bhatt, and P. K. Singh, "Real estate transaction management using smart contracts and IPFS," in Proc. IEEE Int. Conf. Comput. Intell. Commun. Netw., 2023, pp. 110–116.</w:t>
      </w:r>
    </w:p>
    <w:p>
      <w:pPr>
        <w:spacing w:after="80" w:before="80" w:line="320"/>
        <w:ind w:left="360" w:hanging="360"/>
        <w:jc w:val="both"/>
      </w:pPr>
      <w:r>
        <w:rPr>
          <w:rFonts w:ascii="Times New Roman" w:cs="Times New Roman" w:eastAsia="Times New Roman" w:hAnsi="Times New Roman"/>
          <w:sz w:val="22"/>
          <w:szCs w:val="22"/>
        </w:rPr>
        <w:t xml:space="preserve">[8]  H. Treiblmaier, "The token economy: Rethinking business models with blockchain," IEEE Eng. Manag. Rev., vol. 49, pp. 43–48, 2021.</w:t>
      </w:r>
    </w:p>
    <w:p>
      <w:pPr>
        <w:spacing w:after="80" w:before="80" w:line="320"/>
        <w:ind w:left="360" w:hanging="360"/>
        <w:jc w:val="both"/>
      </w:pPr>
      <w:r>
        <w:rPr>
          <w:rFonts w:ascii="Times New Roman" w:cs="Times New Roman" w:eastAsia="Times New Roman" w:hAnsi="Times New Roman"/>
          <w:sz w:val="22"/>
          <w:szCs w:val="22"/>
        </w:rPr>
        <w:t xml:space="preserve">[9]  X. Xu et al., "A taxonomy of blockchain-based systems for architecture design," IEEE Softw., vol. 34, pp. 65–73, 2017.</w:t>
      </w:r>
    </w:p>
    <w:p>
      <w:pPr>
        <w:spacing w:after="80" w:before="80" w:line="320"/>
        <w:ind w:left="360" w:hanging="360"/>
        <w:jc w:val="both"/>
      </w:pPr>
      <w:r>
        <w:rPr>
          <w:rFonts w:ascii="Times New Roman" w:cs="Times New Roman" w:eastAsia="Times New Roman" w:hAnsi="Times New Roman"/>
          <w:sz w:val="22"/>
          <w:szCs w:val="22"/>
        </w:rPr>
        <w:t xml:space="preserve">[10] M. S. Safari and D. B. Cansoy, "Decentralized applications (DApps) and land registry systems," J. Netw. Syst. Manag., vol. 30, p. 42, 2022.</w:t>
      </w:r>
    </w:p>
    <w:p>
      <w:pPr>
        <w:spacing w:after="80" w:before="80" w:line="320"/>
        <w:ind w:left="360" w:hanging="360"/>
        <w:jc w:val="both"/>
      </w:pPr>
      <w:r>
        <w:rPr>
          <w:rFonts w:ascii="Times New Roman" w:cs="Times New Roman" w:eastAsia="Times New Roman" w:hAnsi="Times New Roman"/>
          <w:sz w:val="22"/>
          <w:szCs w:val="22"/>
        </w:rPr>
        <w:t xml:space="preserve">[11] M. Al Qady and H. El Gohary, "Blockchain adoption in real estate: A systematic literature review," Inf. Syst. Front., vol. 26, pp. 311–332, 2024.</w:t>
      </w:r>
    </w:p>
    <w:p>
      <w:pPr>
        <w:spacing w:after="80" w:before="80" w:line="320"/>
        <w:ind w:left="360" w:hanging="360"/>
        <w:jc w:val="both"/>
      </w:pPr>
      <w:r>
        <w:rPr>
          <w:rFonts w:ascii="Times New Roman" w:cs="Times New Roman" w:eastAsia="Times New Roman" w:hAnsi="Times New Roman"/>
          <w:sz w:val="22"/>
          <w:szCs w:val="22"/>
        </w:rPr>
        <w:t xml:space="preserve">[12] M. Singh and R. Patel, "Hyperledger Fabric in government land registries," IEEE Trans. Eng. Manag., vol. 71, pp. 1502–1514, 2024.</w:t>
      </w:r>
    </w:p>
    <w:p>
      <w:pPr>
        <w:spacing w:after="80" w:before="80" w:line="320"/>
        <w:ind w:left="360" w:hanging="360"/>
        <w:jc w:val="both"/>
      </w:pPr>
      <w:r>
        <w:rPr>
          <w:rFonts w:ascii="Times New Roman" w:cs="Times New Roman" w:eastAsia="Times New Roman" w:hAnsi="Times New Roman"/>
          <w:sz w:val="22"/>
          <w:szCs w:val="22"/>
        </w:rPr>
        <w:t xml:space="preserve">[13] L. Wei, Z. Zhu, and X. Huang, "Tokenization of real-world assets: Legal and technological perspective," IEEE Trans. Comput. Soc. Syst., vol. 12, pp. 88–99, 2025.</w:t>
      </w:r>
    </w:p>
    <w:p>
      <w:pPr>
        <w:spacing w:after="80" w:before="80" w:line="320"/>
        <w:ind w:left="360" w:hanging="360"/>
        <w:jc w:val="both"/>
      </w:pPr>
      <w:r>
        <w:rPr>
          <w:rFonts w:ascii="Times New Roman" w:cs="Times New Roman" w:eastAsia="Times New Roman" w:hAnsi="Times New Roman"/>
          <w:sz w:val="22"/>
          <w:szCs w:val="22"/>
        </w:rPr>
        <w:t xml:space="preserve">[14] A. V. Ponomarenko and V. K. Tsyganov, "Interoperability framework for cross-chain real estate transactions," in Proc. IEEE Int. Conf. Decentralized Appl. Infrastructures, 2023, pp. 45–52.</w:t>
      </w:r>
    </w:p>
    <w:p>
      <w:pPr>
        <w:spacing w:after="80" w:before="80" w:line="320"/>
        <w:ind w:left="360" w:hanging="360"/>
        <w:jc w:val="both"/>
      </w:pPr>
      <w:r>
        <w:rPr>
          <w:rFonts w:ascii="Times New Roman" w:cs="Times New Roman" w:eastAsia="Times New Roman" w:hAnsi="Times New Roman"/>
          <w:sz w:val="22"/>
          <w:szCs w:val="22"/>
        </w:rPr>
        <w:t xml:space="preserve">[15] C. J. Kim, "Privacy-preserving zero-knowledge proofs in blockchain frameworks," IEEE Secur. Privacy, vol. 21, pp. 22–31, 2023.</w:t>
      </w:r>
    </w:p>
    <w:p>
      <w:pPr>
        <w:spacing w:after="80" w:before="80" w:line="320"/>
        <w:ind w:left="360" w:hanging="360"/>
        <w:jc w:val="both"/>
      </w:pPr>
      <w:r>
        <w:rPr>
          <w:rFonts w:ascii="Times New Roman" w:cs="Times New Roman" w:eastAsia="Times New Roman" w:hAnsi="Times New Roman"/>
          <w:sz w:val="22"/>
          <w:szCs w:val="22"/>
        </w:rPr>
        <w:t xml:space="preserve">[16] Y. T. Luan, M. J. Li, and F. Chen, "Consortium blockchains for supply chain and real estate," IEEE Netw. Lett., vol. 6, pp. 78–82, 2024.</w:t>
      </w:r>
    </w:p>
    <w:p>
      <w:pPr>
        <w:spacing w:after="80" w:before="80" w:line="320"/>
        <w:ind w:left="360" w:hanging="360"/>
        <w:jc w:val="both"/>
      </w:pPr>
      <w:r>
        <w:rPr>
          <w:rFonts w:ascii="Times New Roman" w:cs="Times New Roman" w:eastAsia="Times New Roman" w:hAnsi="Times New Roman"/>
          <w:sz w:val="22"/>
          <w:szCs w:val="22"/>
        </w:rPr>
        <w:t xml:space="preserve">[17] S. Nakamoto, "Bitcoin: A peer-to-peer electronic cash system," Cryptography Mailing List, 2008.</w:t>
      </w:r>
    </w:p>
    <w:p>
      <w:pPr>
        <w:spacing w:after="80" w:before="80" w:line="320"/>
        <w:ind w:left="360" w:hanging="360"/>
        <w:jc w:val="both"/>
      </w:pPr>
      <w:r>
        <w:rPr>
          <w:rFonts w:ascii="Times New Roman" w:cs="Times New Roman" w:eastAsia="Times New Roman" w:hAnsi="Times New Roman"/>
          <w:sz w:val="22"/>
          <w:szCs w:val="22"/>
        </w:rPr>
        <w:t xml:space="preserve">[18] N. Kshetri, "Blockchain's roles in supply chain management objectives," Int. J. Inf. Manag., vol. 39, pp. 80–89, 2018.</w:t>
      </w:r>
    </w:p>
    <w:p>
      <w:pPr>
        <w:spacing w:after="80" w:before="80" w:line="320"/>
        <w:ind w:left="360" w:hanging="360"/>
        <w:jc w:val="both"/>
      </w:pPr>
      <w:r>
        <w:rPr>
          <w:rFonts w:ascii="Times New Roman" w:cs="Times New Roman" w:eastAsia="Times New Roman" w:hAnsi="Times New Roman"/>
          <w:sz w:val="22"/>
          <w:szCs w:val="22"/>
        </w:rPr>
        <w:t xml:space="preserve">[19] S. F. Wamba et al., "Blockchain technology in supply chain: Integrative framework," Ann. Oper. Res., vol. 327, pp. 245–283, 2023.</w:t>
      </w:r>
    </w:p>
    <w:p>
      <w:pPr>
        <w:spacing w:after="80" w:before="80" w:line="320"/>
        <w:ind w:left="360" w:hanging="360"/>
        <w:jc w:val="both"/>
      </w:pPr>
      <w:r>
        <w:rPr>
          <w:rFonts w:ascii="Times New Roman" w:cs="Times New Roman" w:eastAsia="Times New Roman" w:hAnsi="Times New Roman"/>
          <w:sz w:val="22"/>
          <w:szCs w:val="22"/>
        </w:rPr>
        <w:t xml:space="preserve">[20] D. Tapscott and A. Tapscott, "How blockchain will change organizations," MIT Sloan Manag. Rev., vol. 58, pp. 10–13, 2017.</w:t>
      </w:r>
    </w:p>
    <w:p>
      <w:pPr>
        <w:spacing w:after="80" w:before="80" w:line="320"/>
        <w:ind w:left="360" w:hanging="360"/>
        <w:jc w:val="both"/>
      </w:pPr>
      <w:r>
        <w:rPr>
          <w:rFonts w:ascii="Times New Roman" w:cs="Times New Roman" w:eastAsia="Times New Roman" w:hAnsi="Times New Roman"/>
          <w:sz w:val="22"/>
          <w:szCs w:val="22"/>
        </w:rPr>
        <w:t xml:space="preserve">[21] Y. Wang et al., "Making sense of blockchain technology: Supply chain transformation," Int. J. Prod. Econ., vol. 211, pp. 221–236, 2019.</w:t>
      </w:r>
    </w:p>
    <w:p>
      <w:pPr>
        <w:spacing w:after="80" w:before="80" w:line="320"/>
        <w:ind w:left="360" w:hanging="360"/>
        <w:jc w:val="both"/>
      </w:pPr>
      <w:r>
        <w:rPr>
          <w:rFonts w:ascii="Times New Roman" w:cs="Times New Roman" w:eastAsia="Times New Roman" w:hAnsi="Times New Roman"/>
          <w:sz w:val="22"/>
          <w:szCs w:val="22"/>
        </w:rPr>
        <w:t xml:space="preserve">[22] S. Saberi et al., "Blockchain technology and sustainable supply chain management," Int. J. Prod. Res., vol. 57, pp. 2117–2135, 2019.</w:t>
      </w:r>
    </w:p>
    <w:p>
      <w:pPr>
        <w:spacing w:after="80" w:before="80" w:line="320"/>
        <w:ind w:left="360" w:hanging="360"/>
        <w:jc w:val="both"/>
      </w:pPr>
      <w:r>
        <w:rPr>
          <w:rFonts w:ascii="Times New Roman" w:cs="Times New Roman" w:eastAsia="Times New Roman" w:hAnsi="Times New Roman"/>
          <w:sz w:val="22"/>
          <w:szCs w:val="22"/>
        </w:rPr>
        <w:t xml:space="preserve">[23] M. Swan, Blockchain: Blueprint for a New Economy. O'Reilly Media, 2015.</w:t>
      </w:r>
    </w:p>
    <w:p>
      <w:pPr>
        <w:spacing w:after="80" w:before="80" w:line="320"/>
        <w:ind w:left="360" w:hanging="360"/>
        <w:jc w:val="both"/>
      </w:pPr>
      <w:r>
        <w:rPr>
          <w:rFonts w:ascii="Times New Roman" w:cs="Times New Roman" w:eastAsia="Times New Roman" w:hAnsi="Times New Roman"/>
          <w:sz w:val="22"/>
          <w:szCs w:val="22"/>
        </w:rPr>
        <w:t xml:space="preserve">[24] J. Yli-Huumo et al., "Current research on blockchain technology: A systematic review," PLOS ONE, vol. 11, p. e0163477, 2016.</w:t>
      </w:r>
    </w:p>
    <w:p>
      <w:pPr>
        <w:spacing w:after="80" w:before="80" w:line="320"/>
        <w:ind w:left="360" w:hanging="360"/>
        <w:jc w:val="both"/>
      </w:pPr>
      <w:r>
        <w:rPr>
          <w:rFonts w:ascii="Times New Roman" w:cs="Times New Roman" w:eastAsia="Times New Roman" w:hAnsi="Times New Roman"/>
          <w:sz w:val="22"/>
          <w:szCs w:val="22"/>
        </w:rPr>
        <w:t xml:space="preserve">[25] Z. Zheng et al., "Blockchain technology: Architecture, consensus, and future trends," in Proc. IEEE Int. Congress Big Data, 2017, pp. 557–564.</w:t>
      </w:r>
    </w:p>
    <w:p>
      <w:pPr>
        <w:spacing w:after="80" w:before="80" w:line="320"/>
        <w:ind w:left="360" w:hanging="360"/>
        <w:jc w:val="both"/>
      </w:pPr>
      <w:r>
        <w:rPr>
          <w:rFonts w:ascii="Times New Roman" w:cs="Times New Roman" w:eastAsia="Times New Roman" w:hAnsi="Times New Roman"/>
          <w:sz w:val="22"/>
          <w:szCs w:val="22"/>
        </w:rPr>
        <w:t xml:space="preserve">[26] Y. Lu, "The blockchain: State-of-the-art and research challenges," J. Ind. Inf. Integr., vol. 15, pp. 80–90, 2019.</w:t>
      </w:r>
    </w:p>
    <w:p>
      <w:pPr>
        <w:spacing w:after="80" w:before="80" w:line="320"/>
        <w:ind w:left="360" w:hanging="360"/>
        <w:jc w:val="both"/>
      </w:pPr>
      <w:r>
        <w:rPr>
          <w:rFonts w:ascii="Times New Roman" w:cs="Times New Roman" w:eastAsia="Times New Roman" w:hAnsi="Times New Roman"/>
          <w:sz w:val="22"/>
          <w:szCs w:val="22"/>
        </w:rPr>
        <w:t xml:space="preserve">[27] M. Andoni et al., "Blockchain in energy sector: Challenges and opportunities," Renew. Sustain. Energy Rev., vol. 100, pp. 143–174, 2019.</w:t>
      </w:r>
    </w:p>
    <w:p>
      <w:pPr>
        <w:spacing w:after="80" w:before="80" w:line="320"/>
        <w:ind w:left="360" w:hanging="360"/>
        <w:jc w:val="both"/>
      </w:pPr>
      <w:r>
        <w:rPr>
          <w:rFonts w:ascii="Times New Roman" w:cs="Times New Roman" w:eastAsia="Times New Roman" w:hAnsi="Times New Roman"/>
          <w:sz w:val="22"/>
          <w:szCs w:val="22"/>
        </w:rPr>
        <w:t xml:space="preserve">[28] F. Casino, T. K. Dasaklis, and C. Patsakis, "Systematic review of blockchain-based applications," Telemat. Inform., vol. 36, pp. 55–81, 2019.</w:t>
      </w:r>
    </w:p>
    <w:p>
      <w:pPr>
        <w:spacing w:after="80" w:before="80" w:line="320"/>
        <w:ind w:left="360" w:hanging="360"/>
        <w:jc w:val="both"/>
      </w:pPr>
      <w:r>
        <w:rPr>
          <w:rFonts w:ascii="Times New Roman" w:cs="Times New Roman" w:eastAsia="Times New Roman" w:hAnsi="Times New Roman"/>
          <w:sz w:val="22"/>
          <w:szCs w:val="22"/>
        </w:rPr>
        <w:t xml:space="preserve">[29] H. Min, "Blockchain for enhancing supply chain resilience," Bus. Horizons, vol. 62, pp. 35–45, 2019.</w:t>
      </w:r>
    </w:p>
    <w:p>
      <w:pPr>
        <w:spacing w:after="80" w:before="80" w:line="320"/>
        <w:ind w:left="360" w:hanging="360"/>
        <w:jc w:val="both"/>
      </w:pPr>
      <w:r>
        <w:rPr>
          <w:rFonts w:ascii="Times New Roman" w:cs="Times New Roman" w:eastAsia="Times New Roman" w:hAnsi="Times New Roman"/>
          <w:sz w:val="22"/>
          <w:szCs w:val="22"/>
        </w:rPr>
        <w:t xml:space="preserve">[30] X. Li et al., "Survey on the security of blockchain systems," Future Gener. Comput. Syst., vol. 107, pp. 841–853, 2020.</w:t>
      </w:r>
    </w:p>
    <w:sectPr>
      <w:headerReference w:type="default" r:id="rId7"/>
      <w:footerReference w:type="default" r:id="rId8"/>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spacing w:after="0" w:before="120"/>
      <w:jc w:val="center"/>
    </w:pPr>
    <w:r>
      <w:rPr>
        <w:rFonts w:ascii="Times New Roman" w:cs="Times New Roman" w:eastAsia="Times New Roman" w:hAnsi="Times New Roman"/>
        <w:color w:val="555555"/>
        <w:sz w:val="18"/>
        <w:szCs w:val="18"/>
      </w:rPr>
      <w:t xml:space="preserve">Sharda University  |  Dept. of Computer Science &amp; Engineering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spacing w:after="120" w:before="0"/>
      <w:jc w:val="right"/>
    </w:pPr>
    <w:r>
      <w:rPr>
        <w:rFonts w:ascii="Times New Roman" w:cs="Times New Roman" w:eastAsia="Times New Roman" w:hAnsi="Times New Roman"/>
        <w:i/>
        <w:iCs/>
        <w:color w:val="555555"/>
        <w:sz w:val="18"/>
        <w:szCs w:val="18"/>
      </w:rPr>
      <w:t xml:space="preserve">Blockchain-Based Real Estate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4"/>
      <w:szCs w:val="24"/>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2026-04-23T16:34:27.505Z</dcterms:created>
  <dcterms:modified xsi:type="dcterms:W3CDTF">2026-04-23T16:34:27.507Z</dcterms:modified>
</cp:coreProperties>
</file>

<file path=docProps/custom.xml><?xml version="1.0" encoding="utf-8"?>
<Properties xmlns="http://schemas.openxmlformats.org/officeDocument/2006/custom-properties" xmlns:vt="http://schemas.openxmlformats.org/officeDocument/2006/docPropsVTypes"/>
</file>