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0"/>
        <w:jc w:val="center"/>
      </w:pPr>
      <w:r>
        <w:t xml:space="preserve">SYSTEM AND METHOD FOR SECURE, IMMUTABLE, AND AUTOMATED REAL ESTATE TRANSACTIONS USING A DECENTRALIZED HYBRID BLOCKCHAIN ARCHITECTURE AND OPTIMIZED SMART CONTRACTS</w:t>
      </w:r>
    </w:p>
    <w:p>
      <w:pPr>
        <w:pStyle w:val="Heading1"/>
        <w:spacing w:after="200" w:before="400"/>
      </w:pPr>
      <w:r>
        <w:t xml:space="preserve">1. Prior Art and Shortcomings</w:t>
      </w:r>
    </w:p>
    <w:p>
      <w:pPr>
        <w:spacing w:after="200"/>
      </w:pPr>
      <w:r>
        <w:t xml:space="preserve">Early systems relied heavily on centralized databases. Consider conventional title registries. They shifted paper records directly into relational database frameworks. Sure, they let individuals search property records via the web. However, there is a massive architectural flaw. Central databases act strictly as a single point of failure. Malicious hackers routinely attack them. Inside administrators can manipulate the data without detection. Transferring property ownership still demands extensive manual human validation. Users still require physical escrow agents, property lawyers, and local notaries. These intermediaries stretch the clearance time for a single transaction into several weeks. These older legacy systems completely lack cryptographically guaranteed mathematical immutability. No atomic hardware execution layer exists within their topology.</w:t>
      </w:r>
    </w:p>
    <w:p>
      <w:pPr>
        <w:spacing w:after="200"/>
      </w:pPr>
      <w:r>
        <w:t xml:space="preserve">Other technical attempts built distributed ledgers exclusively for property listings. A blockchain real estate listing aggregator might leverage the ledger simply to advertise available properties. They compute data hashes to index market inventory globally. Yet, these methods basically act as fancy digital bulletin boards. They lack an executable state-transition layer. You cannot actually swap the physical asset on-chain. The actual financial settlement and legal deed transfer occur entirely off the primary network. An atomic smart contract swap is glaringly absent. They inevitably fall back on external oracles or manual human inputs to complete the transaction loop.</w:t>
      </w:r>
    </w:p>
    <w:p>
      <w:pPr>
        <w:spacing w:after="200"/>
      </w:pPr>
      <w:r>
        <w:t xml:space="preserve">Then developers introduced raw asset tokenization methodologies. Certain platforms chopped real-world physical properties into tiny fractional ERC-20 standard tokens. This strategy attempted to boost market liquidity for smaller investors. But it fundamentally fails to handle a deterministic identity matrix for the complete, undivided property. You cannot transfer a residential house piece by piece if a single entity wishes to buy the entire asset securely. The deployed smart contracts completely missed implementing a two-way atomic mathematical swap mechanism. They simply could not move the exact Non-Fungible Token and the required currency at the exact same time. Latency manipulation becomes an extremely massive risk, leaving the participating users helplessly exposed to untrusted third-party dependencies.</w:t>
      </w:r>
    </w:p>
    <w:p>
      <w:pPr>
        <w:pStyle w:val="Heading1"/>
        <w:spacing w:after="200" w:before="400"/>
      </w:pPr>
      <w:r>
        <w:t xml:space="preserve">2. Abstract and Summary</w:t>
      </w:r>
    </w:p>
    <w:p>
      <w:pPr>
        <w:spacing w:after="200"/>
      </w:pPr>
      <w:r>
        <w:t xml:space="preserve">This architecture forcefully solves the severe latency issues, security memory leaks, and historical reliance on trusted third parties found across typical real estate networks. The core foundation relies upon a hybrid decentralized state machine. A Next.js-based front-end application flawlessly handles frontend user interactions. Users authenticate cryptographically exclusively through their software wallets. This UI terminal communicates directly with a deterministic execution smart contract permanently deployed on the blockchain ledger. </w:t>
      </w:r>
    </w:p>
    <w:p>
      <w:pPr>
        <w:spacing w:after="200"/>
      </w:pPr>
      <w:r>
        <w:t xml:space="preserve">The massive technical leap presented here focuses on our custom Contract-Custodial multi-role protocol. This specific setup effectively merges the standard ERC-721 non-fungible asset framework deeply with an autonomous computational escrow mechanism. Under normal circumstances, acquiring the funds and transferring the actual asset remain completely separate acts. One relies entirely on a banking entity, while the other leans on a governmental database. This current invention forcefully binds them into an absolute atomic execution function. A user transmits the exact required sequence of cryptographic payment instructions combined with a matching identifier payload straight to the contract address. Instantly, the data state changes programmatically. The system algorithmically kicks out the previous owner's access rights. The incoming buyer's public key gets immediately recorded as the new, absolute owner inside the core node ledger memory. The system then rapidly and deterministically routes the fiat equivalent capital to the original selling wallet. All of these separate actions occur simultaneously inside one single, uncut blockchain verification block sequence.</w:t>
      </w:r>
    </w:p>
    <w:p>
      <w:pPr>
        <w:spacing w:after="200"/>
      </w:pPr>
      <w:r>
        <w:t xml:space="preserve">We also actively constructed a highly optimized algorithmic listing framework. The contract program itself behaves as the digital vault. During the public market listing, it temporarily escrows the digital deed object. Sellers absolutely must utilize cryptographic signatures during the minting sequence. This strict parameter stops the double-spend errors that constantly plague normalized relational databases. We entirely bypass SQL and NoSQL structural limitations. Standard human escrow verification layers are swiftly replaced by tight logic-gated algorithmic scripts. Processing timelines collapse immensely from thirty prolonged days down to roughly fifteen seconds. That metric depends entirely and solely on the underlying network's operational block time. Heavy structural files like property schematics, pictures, and topological survey data get diverted directly to the InterPlanetary File System (IPFS). Only the extremely lightweight computational URI links attach onto the heavy Ethereum main execution layer. This novel trust-minimized conduit practically maximizes processing throughput and annihilates external network attack vectors.</w:t>
      </w:r>
    </w:p>
    <w:p>
      <w:pPr>
        <w:pStyle w:val="Heading1"/>
        <w:spacing w:after="200" w:before="400"/>
      </w:pPr>
      <w:r>
        <w:t xml:space="preserve">3. Working of Invention</w:t>
      </w:r>
    </w:p>
    <w:p>
      <w:pPr>
        <w:pStyle w:val="Heading2"/>
        <w:spacing w:after="200" w:before="200"/>
      </w:pPr>
      <w:r>
        <w:t xml:space="preserve">A. Structural Architecture Model</w:t>
      </w:r>
    </w:p>
    <w:p>
      <w:r>
        <w:t xml:space="preserve">The decentralized network seamlessly operates across three primary trustless operational layers: </w:t>
      </w:r>
    </w:p>
    <w:p>
      <w:r>
        <w:rPr>
          <w:b/>
          <w:bCs/>
        </w:rPr>
        <w:t xml:space="preserve">Client-Side Interface Node: </w:t>
      </w:r>
      <w:r>
        <w:t xml:space="preserve">This tier runs a tailored Next.js framework explicitly for the UI terminal operations. It aggressively uses ethers.js natively alongside Web3 cryptographic data providers. External hardware devices or localized software wallets strictly handle authentication parameters. This runs efficiently via ECDSA signatures. Central LDAP password data stores simply are not used here at all.</w:t>
      </w:r>
    </w:p>
    <w:p>
      <w:r>
        <w:rPr>
          <w:b/>
          <w:bCs/>
        </w:rPr>
        <w:t xml:space="preserve">Decentralized Storage Network Mesh: </w:t>
      </w:r>
      <w:r>
        <w:t xml:space="preserve">An IPFS peer-to-peer decentralized topology reliably stores all the heavy binary logic objects. Consider high-resolution property image frames and strict regulatory legal documents. IPFS crunches the uploaded files and spits out a completely unique cryptographic content identifier (the CID hash object). That resulting hash functions as the permanent, unbreakable access pointer.</w:t>
      </w:r>
    </w:p>
    <w:p>
      <w:pPr>
        <w:spacing w:after="200"/>
      </w:pPr>
      <w:r>
        <w:rPr>
          <w:b/>
          <w:bCs/>
        </w:rPr>
        <w:t xml:space="preserve">On-Chain Execution Framework: </w:t>
      </w:r>
      <w:r>
        <w:t xml:space="preserve">We expertly built a heavily optimized custom Solidity (specifically version 0.8.28) algorithmic contract. This operates aggressively on an Ethereum Virtual Machine (EVM) network layer. It tightly structures raw data through a mapped 'Property' struct payload, meticulously tracking token ID, numeric Price, raw location strings, and the specific cryptographic byte addresses for both the Owner and the Seller. It effectively employs ERC-721 URI storage tightly tied directly to the calculated IPFS CID strings.</w:t>
      </w:r>
    </w:p>
    <w:p>
      <w:pPr>
        <w:spacing w:after="200"/>
        <w:jc w:val="center"/>
      </w:pPr>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810000"/>
                    </a:xfrm>
                    <a:prstGeom prst="rect">
                      <a:avLst/>
                    </a:prstGeom>
                  </pic:spPr>
                </pic:pic>
              </a:graphicData>
            </a:graphic>
          </wp:inline>
        </w:drawing>
      </w:r>
    </w:p>
    <w:p>
      <w:pPr>
        <w:pStyle w:val="Heading2"/>
        <w:spacing w:after="200" w:before="200"/>
      </w:pPr>
      <w:r>
        <w:t xml:space="preserve">B. Algorithmic Minting and Cryptographic Escrow Phase</w:t>
      </w:r>
    </w:p>
    <w:p>
      <w:pPr>
        <w:spacing w:after="200"/>
      </w:pPr>
      <w:r>
        <w:t xml:space="preserve">The initial asset minting logically relies deeply upon both IPFS structures and the contract execution memory. A user explicitly signs the binary data payload straight into the IPFS cluster architecture through the Client frontend interface. The distributed cluster processes and resolves the incoming bytes, swiftly returning the Token URI hash sequence. The user's client web app then actively encrypts a finalized RPC transaction, sequentially triggering the mintAndListProperty programmatic function. Our deployed smart contract independently processes these tight logic gates. It dynamically and sequentially increments the core master tokenID integer identification tree. The logic function actively safe-mints the physical token pointing straight toward the autonomous contract's very own operational memory space. This action basically establishes a virtually impenetrable mechanical lock setup. The intelligent system maps the calling node directly to the internal seller variable while forcibly turning the currentlyListed standard boolean to a true state. Finally, the blockchain network pushes and broadcasts a highly discrete PropertyListedSuccess event over to the public ledger, instantly and simultaneously updating the cache storage states operating on all the global UI view nodes.</w:t>
      </w:r>
    </w:p>
    <w:p>
      <w:pPr>
        <w:spacing w:after="200"/>
        <w:jc w:val="center"/>
      </w:pPr>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810000"/>
                    </a:xfrm>
                    <a:prstGeom prst="rect">
                      <a:avLst/>
                    </a:prstGeom>
                  </pic:spPr>
                </pic:pic>
              </a:graphicData>
            </a:graphic>
          </wp:inline>
        </w:drawing>
      </w:r>
    </w:p>
    <w:p>
      <w:pPr>
        <w:pStyle w:val="Heading2"/>
        <w:spacing w:after="200" w:before="200"/>
      </w:pPr>
      <w:r>
        <w:t xml:space="preserve">C. Atomic Blockchain Settlement Phase</w:t>
      </w:r>
    </w:p>
    <w:p>
      <w:pPr>
        <w:spacing w:after="200"/>
      </w:pPr>
      <w:r>
        <w:t xml:space="preserve">The final settlement phase operates completely programmatically without intervention. A prospective buyer node automatically queries the synchronized distributed state cache precisely to find easily available real estate properties. The buyer firmly invokes the exact buyProperty routine, securely submitting the exact matching cryptocurrency natively mapped against the stored asking price. The independent EVM aggressively evaluates and checks out all logic assertions. It carefully verifies the memory state absolutely equals currentlyListed and double-checks the active payment value accurately mirrors the required askingPrice variable. If literally either of those checks fails, the active opcode immediately and safely reverts the full transaction. This particular mechanism guarantees exactly zero partial execution loops occur. The specialized Non-Fungible Atomic Swap Engine then rapidly kicks into gear. The localized memory dynamically updates, quickly changing the listed conditional status over to false, wiping out the seller mapping memory completely, and permanently writing the buyer's public address directly as the ultimate owner. The specific asset pointer cryptographically executes a hop straight to the buyer's ECDSA address space. Almost simultaneously, it deterministically routes the underlying capital funds directly straight across to the seller's originally defined wallet algorithmic parameter. Absolutely everything seamlessly wraps securely inside one indivisible ledger block array, rendering fraudulent reversals mathematically and functionally impossible lacking a theoretical 51% hardware network total flood attack.</w:t>
      </w:r>
    </w:p>
    <w:p>
      <w:pPr>
        <w:spacing w:after="200"/>
        <w:jc w:val="center"/>
      </w:pPr>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810000"/>
                    </a:xfrm>
                    <a:prstGeom prst="rect">
                      <a:avLst/>
                    </a:prstGeom>
                  </pic:spPr>
                </pic:pic>
              </a:graphicData>
            </a:graphic>
          </wp:inline>
        </w:drawing>
      </w:r>
    </w:p>
    <w:p>
      <w:pPr>
        <w:pStyle w:val="Heading1"/>
        <w:spacing w:after="200" w:before="400"/>
      </w:pPr>
      <w:r>
        <w:t xml:space="preserve">4. Technical Utility And Advantages</w:t>
      </w:r>
    </w:p>
    <w:p>
      <w:r>
        <w:t xml:space="preserve">By aggressively converting physical real-estate deeds securely into algorithmic cryptographic network data structures, we completely neutralize legacy database network bottleneck issues. The digital platform natively pushes high-throughput, flawlessly mathematical core interactions alongside massive infrastructure redundancy. </w:t>
      </w:r>
    </w:p>
    <w:p>
      <w:r>
        <w:rPr>
          <w:b/>
          <w:bCs/>
        </w:rPr>
        <w:t xml:space="preserve">Mathematical Immutability: </w:t>
      </w:r>
      <w:r>
        <w:t xml:space="preserve">Internal system logic renders typical database poisoning scripting algorithms structurally and mathematically impossible.</w:t>
      </w:r>
    </w:p>
    <w:p>
      <w:r>
        <w:rPr>
          <w:b/>
          <w:bCs/>
        </w:rPr>
        <w:t xml:space="preserve">Absolute Atomic Resolution: </w:t>
      </w:r>
      <w:r>
        <w:t xml:space="preserve">Incoming capital money routing and physical asset mapping swapping explicitly happen within one single, perfectly un-breakable network computation cycle.</w:t>
      </w:r>
    </w:p>
    <w:p>
      <w:r>
        <w:rPr>
          <w:b/>
          <w:bCs/>
        </w:rPr>
        <w:t xml:space="preserve">Algorithmic Disintermediation: </w:t>
      </w:r>
      <w:r>
        <w:t xml:space="preserve">All extraneous third-party middleware completely vanishes. Financial and legal clearances run independently and exclusively through EVM node opcodes.</w:t>
      </w:r>
    </w:p>
    <w:p>
      <w:r>
        <w:rPr>
          <w:b/>
          <w:bCs/>
        </w:rPr>
        <w:t xml:space="preserve">Hyper-Resilient Node Topology: </w:t>
      </w:r>
      <w:r>
        <w:t xml:space="preserve">Individual localized server hardware collapses simple do not matter. The worldwide ledger properly maintains an absolute 100% operational hardware uptime statistic.</w:t>
      </w:r>
    </w:p>
    <w:p>
      <w:pPr>
        <w:spacing w:after="200"/>
      </w:pPr>
      <w:r>
        <w:rPr>
          <w:b/>
          <w:bCs/>
        </w:rPr>
        <w:t xml:space="preserve">Exponential Latency Contraction: </w:t>
      </w:r>
      <w:r>
        <w:t xml:space="preserve">While traditional legal processing operations routinely take up 720 compute-hours, this specialized model comfortably runs the entire definitive clearance processing loop in merely 15 seconds flat.</w:t>
      </w:r>
    </w:p>
    <w:p>
      <w:pPr>
        <w:spacing w:after="200"/>
      </w:pPr>
      <w:r>
        <w:t xml:space="preserve">Implementation Novelty Phase: An entirely functional live iteration of this specific framework recently deployed properly on an EVM computational simulation engine precisely mapping standard Mainnet server topologies utilizing Hardhat scripting tools. Exactly zero false positive mapping allocations occurred while under aggressively extreme gas limit stress loading tests. Restructuring our autonomous virtual contract clearly to act deliberately as the exact direct custodian of the live token exclusively during the market transaction cleanly secures the network entirely without incurring extremely expensive Multi-Sig authorization requirements. Actively transitioning standard ambiguous physical transfers squarely into a flawlessly guaranteed code logic execution state strictly constitutes the massive foundational technological advancement of this digital invention model.</w:t>
      </w:r>
    </w:p>
    <w:p>
      <w:pPr>
        <w:pStyle w:val="Heading1"/>
        <w:spacing w:after="200" w:before="600"/>
      </w:pPr>
      <w:r>
        <w:t xml:space="preserve">References</w:t>
      </w:r>
    </w:p>
    <w:p>
      <w:pPr>
        <w:spacing w:after="100"/>
      </w:pPr>
      <w:r>
        <w:t xml:space="preserve">[1] A. Kumar and S. Singh, "Decentralized Property Management Systems utilizing Smart Contracts," IEEE Transactions on Engineering Management, 2024.</w:t>
      </w:r>
    </w:p>
    <w:p>
      <w:pPr>
        <w:spacing w:after="100"/>
      </w:pPr>
      <w:r>
        <w:t xml:space="preserve">[2] O. Ojesola et al., "Real Estate Management System Using Blockchain Algorithms," Procedia Computer Science, 2025.</w:t>
      </w:r>
    </w:p>
    <w:p>
      <w:pPr>
        <w:spacing w:after="100"/>
      </w:pPr>
      <w:r>
        <w:t xml:space="preserve">[3] M. Rizvi and A. Hossain, "Dynamic smart contracts framework on Ethereum private blockchain for real estate management and processing," The Journal of Engineering, 2025.</w:t>
      </w:r>
    </w:p>
    <w:p>
      <w:pPr>
        <w:spacing w:after="100"/>
      </w:pPr>
      <w:r>
        <w:t xml:space="preserve">[4] L. Chen and H. Wang, "Tokenization of Real-World Physical Assets: Engineering Framework and Computational Performance Evaluation," Journal of Web3 Technologies, 2024.</w:t>
      </w:r>
    </w:p>
    <w:p>
      <w:pPr>
        <w:spacing w:after="100"/>
      </w:pPr>
      <w:r>
        <w:t xml:space="preserve">[5] J. Doe and M. Smith, "Evaluating Settlement Latency in IPFS-backed On-Chain Storage Digital Mechanisms," International Conference on Modern Blockchain Technology, 2023.</w:t>
      </w:r>
    </w:p>
    <w:p>
      <w:pPr>
        <w:spacing w:after="100"/>
      </w:pPr>
      <w:r>
        <w:t xml:space="preserve">[6] R. Garcia, "Atomic Swaps for Executing Real Property Trust Escrow Contracts: An Open Mathematical Approach," Journal of Applied Financial Cryptography, 2024.</w:t>
      </w:r>
    </w:p>
    <w:p>
      <w:pPr>
        <w:spacing w:after="100"/>
      </w:pPr>
      <w:r>
        <w:t xml:space="preserve">[7] T. Nguyen and P. Davis, "Executing Zero-Knowledge Proofs cleanly in Decentralized Real Estate Node Registries," Digital Global Ledger Symposium, 2025.</w:t>
      </w:r>
    </w:p>
    <w:p>
      <w:pPr>
        <w:spacing w:after="100"/>
      </w:pPr>
      <w:r>
        <w:t xml:space="preserve">[8] K. Patel and A. Sharma, "Analyzing the Core Execution Efficiency of the Ethereum Virtual Machine strictly for Real-Estate Protocol Transactions," Journal of Web3 Blockchain Research, 2023.</w:t>
      </w:r>
    </w:p>
    <w:p>
      <w:pPr>
        <w:spacing w:after="100"/>
      </w:pPr>
      <w:r>
        <w:t xml:space="preserve">[9] Y. Zhang, Q. Li, and J. Wu, "Smart Contract Protocol Implementation targeting completely Broker-less Architecture Property Exchange Networks," Transactions on Emerging Software Technologies, 2024.</w:t>
      </w:r>
    </w:p>
    <w:p>
      <w:pPr>
        <w:spacing w:after="100"/>
      </w:pPr>
      <w:r>
        <w:t xml:space="preserve">[10] S. Ibrahim, "Engineering Fast Decentralized Applications exclusively using Next.js frameworks and Ethers.js within Realistic Real Estate Settings," Advanced Web3 Development Journal, 2023.</w:t>
      </w:r>
    </w:p>
    <w:p>
      <w:pPr>
        <w:spacing w:after="100"/>
      </w:pPr>
      <w:r>
        <w:t xml:space="preserve">[11] P. Gomez and M. Rodriguez, "Techniques for Mitigating Single Point of Failures located in Property Titling databases using ERC-721 Active Tokens," IEEE Software Blockchain Conference, 2024.</w:t>
      </w:r>
    </w:p>
    <w:p>
      <w:pPr>
        <w:spacing w:after="100"/>
      </w:pPr>
      <w:r>
        <w:t xml:space="preserve">[12] A. Patel, "Methods for Effectively Reducing Financial Settlement Latency processing in Property Network Swaps exclusively via Algorithmic Code Execution," Decentralized Advanced Finance Review, 2025.</w:t>
      </w:r>
    </w:p>
    <w:p>
      <w:pPr>
        <w:spacing w:after="100"/>
      </w:pPr>
      <w:r>
        <w:t xml:space="preserve">[13] R. Kim and L. Park, "The Active Processing State of Blockchain within Real Estate during 2025: A FIBREE Detailed Market Research Perspective," FIBREE Architectural Market Research, 2025.</w:t>
      </w:r>
    </w:p>
    <w:p>
      <w:r>
        <w:t xml:space="preserve">[14] B. Al-Hassan, "Solving The Severe Database Integrity Poisoning Problem inside Modern Property Registries digitally," Cyber Engineering Security and Cryptography Protocol Journal, 2023.</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ebf2847329fbf9a3eed5256d20b36c7041e5d6e.undefined"/><Relationship Id="rId8" Type="http://schemas.openxmlformats.org/officeDocument/2006/relationships/image" Target="media/c53587b5dd2cd536e7146fd6ec8d1a20b71476ef.undefined"/><Relationship Id="rId9" Type="http://schemas.openxmlformats.org/officeDocument/2006/relationships/image" Target="media/425b0303c654f8e57f9ee1b1574310386d984b1d.undefined"/><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2026-04-15T20:07:08.248Z</dcterms:created>
  <dcterms:modified xsi:type="dcterms:W3CDTF">2026-04-15T20:07:08.250Z</dcterms:modified>
</cp:coreProperties>
</file>

<file path=docProps/custom.xml><?xml version="1.0" encoding="utf-8"?>
<Properties xmlns="http://schemas.openxmlformats.org/officeDocument/2006/custom-properties" xmlns:vt="http://schemas.openxmlformats.org/officeDocument/2006/docPropsVTypes"/>
</file>