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2"/>
        </w:rPr>
        <w:t xml:space="preserve">INSPECT THE P&amp;ID DRAWING FOR CRUDE FEED PRE-FLASH </w:t>
        <w:br/>
      </w:r>
    </w:p>
    <w:p>
      <w:r>
        <w:rPr>
          <w:b/>
          <w:color w:val="EA580C"/>
        </w:rPr>
        <w:t xml:space="preserve">SUBJECT: </w:t>
      </w:r>
      <w:r>
        <w:t>inspect the p&amp;id drawing for crude feed pre-flash train (pid-adu2-04-102-rev4). identify all control</w:t>
      </w:r>
    </w:p>
    <w:p>
      <w:pPr>
        <w:pStyle w:val="Heading2"/>
      </w:pPr>
      <w:r>
        <w:rPr>
          <w:color w:val="1C1917"/>
          <w:sz w:val="22"/>
        </w:rPr>
        <w:t>Section 1: Technical Assessment</w:t>
      </w:r>
    </w:p>
    <w:p>
      <w:r>
        <w:t>To address the requirements, I will follow these steps:</w:t>
      </w:r>
    </w:p>
    <w:p>
      <w:pPr>
        <w:pStyle w:val="Heading2"/>
      </w:pPr>
      <w:r>
        <w:rPr>
          <w:color w:val="1C1917"/>
          <w:sz w:val="22"/>
        </w:rPr>
        <w:t>Section 2: Technical Assessment</w:t>
      </w:r>
    </w:p>
    <w:p>
      <w:r>
        <w:t>1. Identify all control valves and transmitters in the P&amp;ID drawing.</w:t>
        <w:br/>
        <w:t>2. Check the bypass line around FV-104 against the refinery standard SOP-SAF-402.</w:t>
        <w:br/>
        <w:t>3. Flag missing Double Block and Bleed (DBB) isolation.</w:t>
        <w:br/>
        <w:t>4. Generate a visual safety audit.</w:t>
      </w:r>
    </w:p>
    <w:p>
      <w:pPr>
        <w:pStyle w:val="Heading2"/>
      </w:pPr>
      <w:r>
        <w:rPr>
          <w:color w:val="1C1917"/>
          <w:sz w:val="22"/>
        </w:rPr>
        <w:t>Section 3: Technical Assessment</w:t>
      </w:r>
    </w:p>
    <w:p>
      <w:r>
        <w:t>### Step 1: Identify Control Valves and Transmitters</w:t>
        <w:br/>
        <w:t>First, I will identify all control valves and transmitters in the P&amp;ID drawing. This typically involves looking for valve numbers, control valves, and other relevant equipment.</w:t>
      </w:r>
    </w:p>
    <w:p>
      <w:pPr>
        <w:pStyle w:val="Heading2"/>
      </w:pPr>
      <w:r>
        <w:rPr>
          <w:color w:val="1C1917"/>
          <w:sz w:val="22"/>
        </w:rPr>
        <w:t>Section 4: Technical Assessment</w:t>
      </w:r>
    </w:p>
    <w:p>
      <w:r>
        <w:t>### Step 2: Check Bypass Line Against SOP-SAF-402</w:t>
        <w:br/>
        <w:t>Next, I will check the bypass line around FV-104 against the refinery standard SOP-SAF-402. This involves reviewing the process flow diagram and ensuring that the bypass line is correctly connected and meets the required specifications.</w:t>
      </w:r>
    </w:p>
    <w:p>
      <w:pPr>
        <w:pStyle w:val="Heading2"/>
      </w:pPr>
      <w:r>
        <w:rPr>
          <w:color w:val="1C1917"/>
          <w:sz w:val="22"/>
        </w:rPr>
        <w:t>Section 5: Technical Assessment</w:t>
      </w:r>
    </w:p>
    <w:p>
      <w:r>
        <w:t>### Step 3: Flag Missing Double Block and Bleed (DBB) Isolation</w:t>
        <w:br/>
        <w:t>After identifying the control valves and transmitters, I will check if they are equipped with double block and bleed (DBB) isolation. If not, I will flag this as a missing component.</w:t>
      </w:r>
    </w:p>
    <w:p>
      <w:pPr>
        <w:pStyle w:val="Heading2"/>
      </w:pPr>
      <w:r>
        <w:rPr>
          <w:color w:val="1C1917"/>
          <w:sz w:val="22"/>
        </w:rPr>
        <w:t>Section 6: Technical Assessment</w:t>
      </w:r>
    </w:p>
    <w:p>
      <w:r>
        <w:t>### Step 4: Generate Visual Safety Audit</w:t>
        <w:br/>
        <w:t>Finally, I will generate a visual safety audit by reviewing the P&amp;ID drawing and ensuring that all components are correctly labeled and that the process flow is clear and safe.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