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 xml:space="preserve">REVIEW SCANNED ULTRASONIC THICKNESS TESTING (UTT) </w:t>
        <w:br/>
      </w:r>
    </w:p>
    <w:p>
      <w:r>
        <w:rPr>
          <w:b/>
          <w:color w:val="EA580C"/>
        </w:rPr>
        <w:t xml:space="preserve">SUBJECT: </w:t>
      </w:r>
      <w:r>
        <w:t>review scanned ultrasonic thickness testing (utt) report for distillation column c-101 (operating at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To address the requirements, I will follow these steps: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1. **Review the UTT Report**: First, I will review the ultrasonic thickness testing (UTT) report for Distillation Column C-101 (operating at 350°C, 18.5 bar). This report will provide the necessary data to calculate the corrosion rate and remaining life per API 510.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2. **Calculate Corrosion Rate and Remaining Life**: Based on the UTT report, I will calculate the corrosion rate and remaining life per API 510. If the remaining life is under 2 years, immediate maintenance turnaround is required.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3. **Check Against ASME Sec VIII Minimum Wall Thickness**: I will compare the calculated remaining life against the ASME Sec VIII minimum wall thickness to ensure the turnaround is within the acceptable limits.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4. **Draft Formal PSU Approval Note (.docx) and Calculation Workbook (.xlsx)**: Finally, I will draft a formal PSU Approval Note (.docx) and a calculation workbook (.xlsx) for the upcoming turnaround.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Let's start with the UTT report: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