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EB52" w14:textId="77777777" w:rsidR="00711C95" w:rsidRDefault="00000000">
      <w:pPr>
        <w:spacing w:after="40"/>
      </w:pPr>
      <w:r>
        <w:rPr>
          <w:b/>
          <w:bCs/>
          <w:color w:val="1F3864"/>
          <w:sz w:val="32"/>
          <w:szCs w:val="32"/>
        </w:rPr>
        <w:t>Macro-Financial Comparison: India, Indonesia, Brazil, South Africa</w:t>
      </w:r>
    </w:p>
    <w:p w14:paraId="6F3C584B" w14:textId="77777777" w:rsidR="00711C95" w:rsidRDefault="00000000">
      <w:pPr>
        <w:spacing w:after="120"/>
      </w:pPr>
      <w:r>
        <w:rPr>
          <w:color w:val="666666"/>
          <w:sz w:val="18"/>
          <w:szCs w:val="18"/>
        </w:rPr>
        <w:t xml:space="preserve">Analytical brief | </w:t>
      </w:r>
      <w:proofErr w:type="gramStart"/>
      <w:r>
        <w:rPr>
          <w:color w:val="666666"/>
          <w:sz w:val="18"/>
          <w:szCs w:val="18"/>
        </w:rPr>
        <w:t>Pre-COVID</w:t>
      </w:r>
      <w:proofErr w:type="gramEnd"/>
      <w:r>
        <w:rPr>
          <w:color w:val="666666"/>
          <w:sz w:val="18"/>
          <w:szCs w:val="18"/>
        </w:rPr>
        <w:t xml:space="preserve"> (2015-19) vs post-COVID (2021-24) | 2020 excluded as a one-off shock</w:t>
      </w:r>
    </w:p>
    <w:p w14:paraId="7914153A" w14:textId="77777777" w:rsidR="00711C95" w:rsidRDefault="00000000">
      <w:pPr>
        <w:pStyle w:val="Heading2"/>
        <w:pBdr>
          <w:bottom w:val="single" w:sz="6" w:space="1" w:color="1F3864"/>
        </w:pBdr>
        <w:spacing w:before="170" w:after="70"/>
      </w:pPr>
      <w:r>
        <w:rPr>
          <w:b/>
          <w:bCs/>
          <w:color w:val="1F3864"/>
          <w:sz w:val="22"/>
          <w:szCs w:val="22"/>
        </w:rPr>
        <w:t>Bottom line</w:t>
      </w:r>
    </w:p>
    <w:p w14:paraId="127F4623" w14:textId="77777777" w:rsidR="00711C95" w:rsidRDefault="00000000">
      <w:pPr>
        <w:spacing w:after="90" w:line="260" w:lineRule="auto"/>
      </w:pPr>
      <w:r>
        <w:t xml:space="preserve">Conditions have </w:t>
      </w:r>
      <w:r>
        <w:rPr>
          <w:b/>
          <w:bCs/>
        </w:rPr>
        <w:t>diverged rather than deteriorated together</w:t>
      </w:r>
      <w:r>
        <w:t xml:space="preserve">. Government debt rose in all four countries, but the strain differs. </w:t>
      </w:r>
      <w:r>
        <w:rPr>
          <w:b/>
          <w:bCs/>
        </w:rPr>
        <w:t>South Africa</w:t>
      </w:r>
      <w:r>
        <w:t xml:space="preserve"> has the sharpest fiscal and labour-market pressure, </w:t>
      </w:r>
      <w:r>
        <w:rPr>
          <w:b/>
          <w:bCs/>
        </w:rPr>
        <w:t>Brazil</w:t>
      </w:r>
      <w:r>
        <w:t xml:space="preserve"> has run down its reserve buffer while carrying the highest debt, </w:t>
      </w:r>
      <w:r>
        <w:rPr>
          <w:b/>
          <w:bCs/>
        </w:rPr>
        <w:t>India</w:t>
      </w:r>
      <w:r>
        <w:t xml:space="preserve"> combines debt of about 82% of GDP with rising inflation and thinner FDI cover, and </w:t>
      </w:r>
      <w:r>
        <w:rPr>
          <w:b/>
          <w:bCs/>
        </w:rPr>
        <w:t>Indonesia</w:t>
      </w:r>
      <w:r>
        <w:t xml:space="preserve"> is the steadiest, with debt still low. Composite scores sit close to zero for every country (-0.07 to +0.31) and even rank South Africa highest, because rebounds in FDI and the current account offset its debt and unemployment problems. That is why the story below is told indicator by indicator, not from one index.</w:t>
      </w:r>
    </w:p>
    <w:p w14:paraId="37B26E21" w14:textId="77777777" w:rsidR="00711C95" w:rsidRDefault="00000000">
      <w:pPr>
        <w:pStyle w:val="Heading2"/>
        <w:pBdr>
          <w:bottom w:val="single" w:sz="6" w:space="1" w:color="1F3864"/>
        </w:pBdr>
        <w:spacing w:before="170" w:after="70"/>
      </w:pPr>
      <w:r>
        <w:rPr>
          <w:b/>
          <w:bCs/>
          <w:color w:val="1F3864"/>
          <w:sz w:val="22"/>
          <w:szCs w:val="22"/>
        </w:rPr>
        <w:t>1. Which economies deteriorated most?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6"/>
        <w:gridCol w:w="1800"/>
        <w:gridCol w:w="1800"/>
        <w:gridCol w:w="1800"/>
        <w:gridCol w:w="1800"/>
      </w:tblGrid>
      <w:tr w:rsidR="00711C95" w14:paraId="7CEED9C2" w14:textId="77777777">
        <w:tblPrEx>
          <w:tblCellMar>
            <w:top w:w="0" w:type="dxa"/>
            <w:bottom w:w="0" w:type="dxa"/>
          </w:tblCellMar>
        </w:tblPrEx>
        <w:trPr>
          <w:tblHeader/>
        </w:trPr>
        <w:tc>
          <w:tcPr>
            <w:tcW w:w="2546" w:type="dxa"/>
            <w:tcBorders>
              <w:top w:val="single" w:sz="4" w:space="0" w:color="C9CED6"/>
              <w:left w:val="single" w:sz="4" w:space="0" w:color="C9CED6"/>
              <w:bottom w:val="single" w:sz="4" w:space="0" w:color="C9CED6"/>
              <w:right w:val="single" w:sz="4" w:space="0" w:color="C9CED6"/>
            </w:tcBorders>
            <w:shd w:val="clear" w:color="auto" w:fill="1F3864"/>
            <w:tcMar>
              <w:top w:w="45" w:type="dxa"/>
              <w:left w:w="80" w:type="dxa"/>
              <w:bottom w:w="45" w:type="dxa"/>
              <w:right w:w="80" w:type="dxa"/>
            </w:tcMar>
          </w:tcPr>
          <w:p w14:paraId="5337B16B" w14:textId="77777777" w:rsidR="00711C95" w:rsidRDefault="00000000">
            <w:r>
              <w:rPr>
                <w:b/>
                <w:bCs/>
                <w:color w:val="FFFFFF"/>
                <w:sz w:val="17"/>
                <w:szCs w:val="17"/>
              </w:rPr>
              <w:t>Average, 2015-19 → 2021-24</w:t>
            </w:r>
          </w:p>
        </w:tc>
        <w:tc>
          <w:tcPr>
            <w:tcW w:w="1800" w:type="dxa"/>
            <w:tcBorders>
              <w:top w:val="single" w:sz="4" w:space="0" w:color="C9CED6"/>
              <w:left w:val="single" w:sz="4" w:space="0" w:color="C9CED6"/>
              <w:bottom w:val="single" w:sz="4" w:space="0" w:color="C9CED6"/>
              <w:right w:val="single" w:sz="4" w:space="0" w:color="C9CED6"/>
            </w:tcBorders>
            <w:shd w:val="clear" w:color="auto" w:fill="1F3864"/>
            <w:tcMar>
              <w:top w:w="45" w:type="dxa"/>
              <w:left w:w="80" w:type="dxa"/>
              <w:bottom w:w="45" w:type="dxa"/>
              <w:right w:w="80" w:type="dxa"/>
            </w:tcMar>
          </w:tcPr>
          <w:p w14:paraId="1A9E3003" w14:textId="77777777" w:rsidR="00711C95" w:rsidRDefault="00000000">
            <w:pPr>
              <w:jc w:val="center"/>
            </w:pPr>
            <w:r>
              <w:rPr>
                <w:b/>
                <w:bCs/>
                <w:color w:val="FFFFFF"/>
                <w:sz w:val="17"/>
                <w:szCs w:val="17"/>
              </w:rPr>
              <w:t>Brazil</w:t>
            </w:r>
          </w:p>
        </w:tc>
        <w:tc>
          <w:tcPr>
            <w:tcW w:w="1800" w:type="dxa"/>
            <w:tcBorders>
              <w:top w:val="single" w:sz="4" w:space="0" w:color="C9CED6"/>
              <w:left w:val="single" w:sz="4" w:space="0" w:color="C9CED6"/>
              <w:bottom w:val="single" w:sz="4" w:space="0" w:color="C9CED6"/>
              <w:right w:val="single" w:sz="4" w:space="0" w:color="C9CED6"/>
            </w:tcBorders>
            <w:shd w:val="clear" w:color="auto" w:fill="1F3864"/>
            <w:tcMar>
              <w:top w:w="45" w:type="dxa"/>
              <w:left w:w="80" w:type="dxa"/>
              <w:bottom w:w="45" w:type="dxa"/>
              <w:right w:w="80" w:type="dxa"/>
            </w:tcMar>
          </w:tcPr>
          <w:p w14:paraId="41A4AA46" w14:textId="77777777" w:rsidR="00711C95" w:rsidRDefault="00000000">
            <w:pPr>
              <w:jc w:val="center"/>
            </w:pPr>
            <w:r>
              <w:rPr>
                <w:b/>
                <w:bCs/>
                <w:color w:val="FFFFFF"/>
                <w:sz w:val="17"/>
                <w:szCs w:val="17"/>
              </w:rPr>
              <w:t>India</w:t>
            </w:r>
          </w:p>
        </w:tc>
        <w:tc>
          <w:tcPr>
            <w:tcW w:w="1800" w:type="dxa"/>
            <w:tcBorders>
              <w:top w:val="single" w:sz="4" w:space="0" w:color="C9CED6"/>
              <w:left w:val="single" w:sz="4" w:space="0" w:color="C9CED6"/>
              <w:bottom w:val="single" w:sz="4" w:space="0" w:color="C9CED6"/>
              <w:right w:val="single" w:sz="4" w:space="0" w:color="C9CED6"/>
            </w:tcBorders>
            <w:shd w:val="clear" w:color="auto" w:fill="1F3864"/>
            <w:tcMar>
              <w:top w:w="45" w:type="dxa"/>
              <w:left w:w="80" w:type="dxa"/>
              <w:bottom w:w="45" w:type="dxa"/>
              <w:right w:w="80" w:type="dxa"/>
            </w:tcMar>
          </w:tcPr>
          <w:p w14:paraId="65250855" w14:textId="77777777" w:rsidR="00711C95" w:rsidRDefault="00000000">
            <w:pPr>
              <w:jc w:val="center"/>
            </w:pPr>
            <w:r>
              <w:rPr>
                <w:b/>
                <w:bCs/>
                <w:color w:val="FFFFFF"/>
                <w:sz w:val="17"/>
                <w:szCs w:val="17"/>
              </w:rPr>
              <w:t>Indonesia</w:t>
            </w:r>
          </w:p>
        </w:tc>
        <w:tc>
          <w:tcPr>
            <w:tcW w:w="1800" w:type="dxa"/>
            <w:tcBorders>
              <w:top w:val="single" w:sz="4" w:space="0" w:color="C9CED6"/>
              <w:left w:val="single" w:sz="4" w:space="0" w:color="C9CED6"/>
              <w:bottom w:val="single" w:sz="4" w:space="0" w:color="C9CED6"/>
              <w:right w:val="single" w:sz="4" w:space="0" w:color="C9CED6"/>
            </w:tcBorders>
            <w:shd w:val="clear" w:color="auto" w:fill="1F3864"/>
            <w:tcMar>
              <w:top w:w="45" w:type="dxa"/>
              <w:left w:w="80" w:type="dxa"/>
              <w:bottom w:w="45" w:type="dxa"/>
              <w:right w:w="80" w:type="dxa"/>
            </w:tcMar>
          </w:tcPr>
          <w:p w14:paraId="58BD9AF7" w14:textId="77777777" w:rsidR="00711C95" w:rsidRDefault="00000000">
            <w:pPr>
              <w:jc w:val="center"/>
            </w:pPr>
            <w:r>
              <w:rPr>
                <w:b/>
                <w:bCs/>
                <w:color w:val="FFFFFF"/>
                <w:sz w:val="17"/>
                <w:szCs w:val="17"/>
              </w:rPr>
              <w:t>South Africa</w:t>
            </w:r>
          </w:p>
        </w:tc>
      </w:tr>
      <w:tr w:rsidR="00711C95" w14:paraId="0A3A0175" w14:textId="77777777">
        <w:tblPrEx>
          <w:tblCellMar>
            <w:top w:w="0" w:type="dxa"/>
            <w:bottom w:w="0" w:type="dxa"/>
          </w:tblCellMar>
        </w:tblPrEx>
        <w:tc>
          <w:tcPr>
            <w:tcW w:w="2546" w:type="dxa"/>
            <w:tcBorders>
              <w:top w:val="single" w:sz="4" w:space="0" w:color="C9CED6"/>
              <w:left w:val="single" w:sz="4" w:space="0" w:color="C9CED6"/>
              <w:bottom w:val="single" w:sz="4" w:space="0" w:color="C9CED6"/>
              <w:right w:val="single" w:sz="4" w:space="0" w:color="C9CED6"/>
            </w:tcBorders>
            <w:shd w:val="clear" w:color="auto" w:fill="FFFFFF"/>
            <w:tcMar>
              <w:top w:w="45" w:type="dxa"/>
              <w:left w:w="80" w:type="dxa"/>
              <w:bottom w:w="45" w:type="dxa"/>
              <w:right w:w="80" w:type="dxa"/>
            </w:tcMar>
          </w:tcPr>
          <w:p w14:paraId="7224D41F" w14:textId="77777777" w:rsidR="00711C95" w:rsidRDefault="00000000">
            <w:r>
              <w:rPr>
                <w:b/>
                <w:bCs/>
                <w:color w:val="1B2430"/>
                <w:sz w:val="17"/>
                <w:szCs w:val="17"/>
              </w:rPr>
              <w:t>GDP growth (%)</w:t>
            </w:r>
          </w:p>
        </w:tc>
        <w:tc>
          <w:tcPr>
            <w:tcW w:w="1800" w:type="dxa"/>
            <w:tcBorders>
              <w:top w:val="single" w:sz="4" w:space="0" w:color="C9CED6"/>
              <w:left w:val="single" w:sz="4" w:space="0" w:color="C9CED6"/>
              <w:bottom w:val="single" w:sz="4" w:space="0" w:color="C9CED6"/>
              <w:right w:val="single" w:sz="4" w:space="0" w:color="C9CED6"/>
            </w:tcBorders>
            <w:shd w:val="clear" w:color="auto" w:fill="E3F2E6"/>
            <w:tcMar>
              <w:top w:w="45" w:type="dxa"/>
              <w:left w:w="80" w:type="dxa"/>
              <w:bottom w:w="45" w:type="dxa"/>
              <w:right w:w="80" w:type="dxa"/>
            </w:tcMar>
          </w:tcPr>
          <w:p w14:paraId="09EA91CA" w14:textId="77777777" w:rsidR="00711C95" w:rsidRDefault="00000000">
            <w:pPr>
              <w:jc w:val="center"/>
            </w:pPr>
            <w:r>
              <w:rPr>
                <w:color w:val="1B2430"/>
                <w:sz w:val="17"/>
                <w:szCs w:val="17"/>
              </w:rPr>
              <w:t>-0.5 → 3.6</w:t>
            </w:r>
          </w:p>
        </w:tc>
        <w:tc>
          <w:tcPr>
            <w:tcW w:w="1800" w:type="dxa"/>
            <w:tcBorders>
              <w:top w:val="single" w:sz="4" w:space="0" w:color="C9CED6"/>
              <w:left w:val="single" w:sz="4" w:space="0" w:color="C9CED6"/>
              <w:bottom w:val="single" w:sz="4" w:space="0" w:color="C9CED6"/>
              <w:right w:val="single" w:sz="4" w:space="0" w:color="C9CED6"/>
            </w:tcBorders>
            <w:shd w:val="clear" w:color="auto" w:fill="E3F2E6"/>
            <w:tcMar>
              <w:top w:w="45" w:type="dxa"/>
              <w:left w:w="80" w:type="dxa"/>
              <w:bottom w:w="45" w:type="dxa"/>
              <w:right w:w="80" w:type="dxa"/>
            </w:tcMar>
          </w:tcPr>
          <w:p w14:paraId="06E7B4D9" w14:textId="77777777" w:rsidR="00711C95" w:rsidRDefault="00000000">
            <w:pPr>
              <w:jc w:val="center"/>
            </w:pPr>
            <w:r>
              <w:rPr>
                <w:color w:val="1B2430"/>
                <w:sz w:val="17"/>
                <w:szCs w:val="17"/>
              </w:rPr>
              <w:t>6.7 → 7.9</w:t>
            </w:r>
          </w:p>
        </w:tc>
        <w:tc>
          <w:tcPr>
            <w:tcW w:w="1800" w:type="dxa"/>
            <w:tcBorders>
              <w:top w:val="single" w:sz="4" w:space="0" w:color="C9CED6"/>
              <w:left w:val="single" w:sz="4" w:space="0" w:color="C9CED6"/>
              <w:bottom w:val="single" w:sz="4" w:space="0" w:color="C9CED6"/>
              <w:right w:val="single" w:sz="4" w:space="0" w:color="C9CED6"/>
            </w:tcBorders>
            <w:shd w:val="clear" w:color="auto" w:fill="FFFFFF"/>
            <w:tcMar>
              <w:top w:w="45" w:type="dxa"/>
              <w:left w:w="80" w:type="dxa"/>
              <w:bottom w:w="45" w:type="dxa"/>
              <w:right w:w="80" w:type="dxa"/>
            </w:tcMar>
          </w:tcPr>
          <w:p w14:paraId="0211A0BC" w14:textId="77777777" w:rsidR="00711C95" w:rsidRDefault="00000000">
            <w:pPr>
              <w:jc w:val="center"/>
            </w:pPr>
            <w:r>
              <w:rPr>
                <w:color w:val="1B2430"/>
                <w:sz w:val="17"/>
                <w:szCs w:val="17"/>
              </w:rPr>
              <w:t>5.0 → 4.8</w:t>
            </w:r>
          </w:p>
        </w:tc>
        <w:tc>
          <w:tcPr>
            <w:tcW w:w="1800" w:type="dxa"/>
            <w:tcBorders>
              <w:top w:val="single" w:sz="4" w:space="0" w:color="C9CED6"/>
              <w:left w:val="single" w:sz="4" w:space="0" w:color="C9CED6"/>
              <w:bottom w:val="single" w:sz="4" w:space="0" w:color="C9CED6"/>
              <w:right w:val="single" w:sz="4" w:space="0" w:color="C9CED6"/>
            </w:tcBorders>
            <w:shd w:val="clear" w:color="auto" w:fill="E3F2E6"/>
            <w:tcMar>
              <w:top w:w="45" w:type="dxa"/>
              <w:left w:w="80" w:type="dxa"/>
              <w:bottom w:w="45" w:type="dxa"/>
              <w:right w:w="80" w:type="dxa"/>
            </w:tcMar>
          </w:tcPr>
          <w:p w14:paraId="794FECBD" w14:textId="77777777" w:rsidR="00711C95" w:rsidRDefault="00000000">
            <w:pPr>
              <w:jc w:val="center"/>
            </w:pPr>
            <w:r>
              <w:rPr>
                <w:color w:val="1B2430"/>
                <w:sz w:val="17"/>
                <w:szCs w:val="17"/>
              </w:rPr>
              <w:t>1.0 → 2.1</w:t>
            </w:r>
          </w:p>
        </w:tc>
      </w:tr>
      <w:tr w:rsidR="00711C95" w14:paraId="3E81CFC5" w14:textId="77777777">
        <w:tblPrEx>
          <w:tblCellMar>
            <w:top w:w="0" w:type="dxa"/>
            <w:bottom w:w="0" w:type="dxa"/>
          </w:tblCellMar>
        </w:tblPrEx>
        <w:tc>
          <w:tcPr>
            <w:tcW w:w="2546" w:type="dxa"/>
            <w:tcBorders>
              <w:top w:val="single" w:sz="4" w:space="0" w:color="C9CED6"/>
              <w:left w:val="single" w:sz="4" w:space="0" w:color="C9CED6"/>
              <w:bottom w:val="single" w:sz="4" w:space="0" w:color="C9CED6"/>
              <w:right w:val="single" w:sz="4" w:space="0" w:color="C9CED6"/>
            </w:tcBorders>
            <w:shd w:val="clear" w:color="auto" w:fill="FFFFFF"/>
            <w:tcMar>
              <w:top w:w="45" w:type="dxa"/>
              <w:left w:w="80" w:type="dxa"/>
              <w:bottom w:w="45" w:type="dxa"/>
              <w:right w:w="80" w:type="dxa"/>
            </w:tcMar>
          </w:tcPr>
          <w:p w14:paraId="6E56942F" w14:textId="77777777" w:rsidR="00711C95" w:rsidRDefault="00000000">
            <w:r>
              <w:rPr>
                <w:b/>
                <w:bCs/>
                <w:color w:val="1B2430"/>
                <w:sz w:val="17"/>
                <w:szCs w:val="17"/>
              </w:rPr>
              <w:t>Inflation, CPI (%)</w:t>
            </w:r>
          </w:p>
        </w:tc>
        <w:tc>
          <w:tcPr>
            <w:tcW w:w="1800" w:type="dxa"/>
            <w:tcBorders>
              <w:top w:val="single" w:sz="4" w:space="0" w:color="C9CED6"/>
              <w:left w:val="single" w:sz="4" w:space="0" w:color="C9CED6"/>
              <w:bottom w:val="single" w:sz="4" w:space="0" w:color="C9CED6"/>
              <w:right w:val="single" w:sz="4" w:space="0" w:color="C9CED6"/>
            </w:tcBorders>
            <w:shd w:val="clear" w:color="auto" w:fill="FBE3E0"/>
            <w:tcMar>
              <w:top w:w="45" w:type="dxa"/>
              <w:left w:w="80" w:type="dxa"/>
              <w:bottom w:w="45" w:type="dxa"/>
              <w:right w:w="80" w:type="dxa"/>
            </w:tcMar>
          </w:tcPr>
          <w:p w14:paraId="0A7FAF23" w14:textId="77777777" w:rsidR="00711C95" w:rsidRDefault="00000000">
            <w:pPr>
              <w:jc w:val="center"/>
            </w:pPr>
            <w:r>
              <w:rPr>
                <w:color w:val="1B2430"/>
                <w:sz w:val="17"/>
                <w:szCs w:val="17"/>
              </w:rPr>
              <w:t>5.7 → 6.6</w:t>
            </w:r>
          </w:p>
        </w:tc>
        <w:tc>
          <w:tcPr>
            <w:tcW w:w="1800" w:type="dxa"/>
            <w:tcBorders>
              <w:top w:val="single" w:sz="4" w:space="0" w:color="C9CED6"/>
              <w:left w:val="single" w:sz="4" w:space="0" w:color="C9CED6"/>
              <w:bottom w:val="single" w:sz="4" w:space="0" w:color="C9CED6"/>
              <w:right w:val="single" w:sz="4" w:space="0" w:color="C9CED6"/>
            </w:tcBorders>
            <w:shd w:val="clear" w:color="auto" w:fill="FBE3E0"/>
            <w:tcMar>
              <w:top w:w="45" w:type="dxa"/>
              <w:left w:w="80" w:type="dxa"/>
              <w:bottom w:w="45" w:type="dxa"/>
              <w:right w:w="80" w:type="dxa"/>
            </w:tcMar>
          </w:tcPr>
          <w:p w14:paraId="5F6E8018" w14:textId="77777777" w:rsidR="00711C95" w:rsidRDefault="00000000">
            <w:pPr>
              <w:jc w:val="center"/>
            </w:pPr>
            <w:r>
              <w:rPr>
                <w:color w:val="1B2430"/>
                <w:sz w:val="17"/>
                <w:szCs w:val="17"/>
              </w:rPr>
              <w:t>4.2 → 5.6</w:t>
            </w:r>
          </w:p>
        </w:tc>
        <w:tc>
          <w:tcPr>
            <w:tcW w:w="1800" w:type="dxa"/>
            <w:tcBorders>
              <w:top w:val="single" w:sz="4" w:space="0" w:color="C9CED6"/>
              <w:left w:val="single" w:sz="4" w:space="0" w:color="C9CED6"/>
              <w:bottom w:val="single" w:sz="4" w:space="0" w:color="C9CED6"/>
              <w:right w:val="single" w:sz="4" w:space="0" w:color="C9CED6"/>
            </w:tcBorders>
            <w:shd w:val="clear" w:color="auto" w:fill="E3F2E6"/>
            <w:tcMar>
              <w:top w:w="45" w:type="dxa"/>
              <w:left w:w="80" w:type="dxa"/>
              <w:bottom w:w="45" w:type="dxa"/>
              <w:right w:w="80" w:type="dxa"/>
            </w:tcMar>
          </w:tcPr>
          <w:p w14:paraId="2D350345" w14:textId="77777777" w:rsidR="00711C95" w:rsidRDefault="00000000">
            <w:pPr>
              <w:jc w:val="center"/>
            </w:pPr>
            <w:r>
              <w:rPr>
                <w:color w:val="1B2430"/>
                <w:sz w:val="17"/>
                <w:szCs w:val="17"/>
              </w:rPr>
              <w:t>4.0 → 2.9</w:t>
            </w:r>
          </w:p>
        </w:tc>
        <w:tc>
          <w:tcPr>
            <w:tcW w:w="1800" w:type="dxa"/>
            <w:tcBorders>
              <w:top w:val="single" w:sz="4" w:space="0" w:color="C9CED6"/>
              <w:left w:val="single" w:sz="4" w:space="0" w:color="C9CED6"/>
              <w:bottom w:val="single" w:sz="4" w:space="0" w:color="C9CED6"/>
              <w:right w:val="single" w:sz="4" w:space="0" w:color="C9CED6"/>
            </w:tcBorders>
            <w:shd w:val="clear" w:color="auto" w:fill="FBE3E0"/>
            <w:tcMar>
              <w:top w:w="45" w:type="dxa"/>
              <w:left w:w="80" w:type="dxa"/>
              <w:bottom w:w="45" w:type="dxa"/>
              <w:right w:w="80" w:type="dxa"/>
            </w:tcMar>
          </w:tcPr>
          <w:p w14:paraId="65CB2CC8" w14:textId="77777777" w:rsidR="00711C95" w:rsidRDefault="00000000">
            <w:pPr>
              <w:jc w:val="center"/>
            </w:pPr>
            <w:r>
              <w:rPr>
                <w:color w:val="1B2430"/>
                <w:sz w:val="17"/>
                <w:szCs w:val="17"/>
              </w:rPr>
              <w:t>5.0 → 5.5</w:t>
            </w:r>
          </w:p>
        </w:tc>
      </w:tr>
      <w:tr w:rsidR="00711C95" w14:paraId="66A32546" w14:textId="77777777">
        <w:tblPrEx>
          <w:tblCellMar>
            <w:top w:w="0" w:type="dxa"/>
            <w:bottom w:w="0" w:type="dxa"/>
          </w:tblCellMar>
        </w:tblPrEx>
        <w:tc>
          <w:tcPr>
            <w:tcW w:w="2546" w:type="dxa"/>
            <w:tcBorders>
              <w:top w:val="single" w:sz="4" w:space="0" w:color="C9CED6"/>
              <w:left w:val="single" w:sz="4" w:space="0" w:color="C9CED6"/>
              <w:bottom w:val="single" w:sz="4" w:space="0" w:color="C9CED6"/>
              <w:right w:val="single" w:sz="4" w:space="0" w:color="C9CED6"/>
            </w:tcBorders>
            <w:shd w:val="clear" w:color="auto" w:fill="FFFFFF"/>
            <w:tcMar>
              <w:top w:w="45" w:type="dxa"/>
              <w:left w:w="80" w:type="dxa"/>
              <w:bottom w:w="45" w:type="dxa"/>
              <w:right w:w="80" w:type="dxa"/>
            </w:tcMar>
          </w:tcPr>
          <w:p w14:paraId="150C8D9D" w14:textId="77777777" w:rsidR="00711C95" w:rsidRDefault="00000000">
            <w:r>
              <w:rPr>
                <w:b/>
                <w:bCs/>
                <w:color w:val="1B2430"/>
                <w:sz w:val="17"/>
                <w:szCs w:val="17"/>
              </w:rPr>
              <w:t xml:space="preserve">Govt gross debt (% </w:t>
            </w:r>
            <w:proofErr w:type="gramStart"/>
            <w:r>
              <w:rPr>
                <w:b/>
                <w:bCs/>
                <w:color w:val="1B2430"/>
                <w:sz w:val="17"/>
                <w:szCs w:val="17"/>
              </w:rPr>
              <w:t>GDP)*</w:t>
            </w:r>
            <w:proofErr w:type="gramEnd"/>
          </w:p>
        </w:tc>
        <w:tc>
          <w:tcPr>
            <w:tcW w:w="1800" w:type="dxa"/>
            <w:tcBorders>
              <w:top w:val="single" w:sz="4" w:space="0" w:color="C9CED6"/>
              <w:left w:val="single" w:sz="4" w:space="0" w:color="C9CED6"/>
              <w:bottom w:val="single" w:sz="4" w:space="0" w:color="C9CED6"/>
              <w:right w:val="single" w:sz="4" w:space="0" w:color="C9CED6"/>
            </w:tcBorders>
            <w:shd w:val="clear" w:color="auto" w:fill="FBE3E0"/>
            <w:tcMar>
              <w:top w:w="45" w:type="dxa"/>
              <w:left w:w="80" w:type="dxa"/>
              <w:bottom w:w="45" w:type="dxa"/>
              <w:right w:w="80" w:type="dxa"/>
            </w:tcMar>
          </w:tcPr>
          <w:p w14:paraId="1DA179BB" w14:textId="77777777" w:rsidR="00711C95" w:rsidRDefault="00000000">
            <w:pPr>
              <w:jc w:val="center"/>
            </w:pPr>
            <w:r>
              <w:rPr>
                <w:color w:val="1B2430"/>
                <w:sz w:val="17"/>
                <w:szCs w:val="17"/>
              </w:rPr>
              <w:t>80.8 → 86.0</w:t>
            </w:r>
          </w:p>
        </w:tc>
        <w:tc>
          <w:tcPr>
            <w:tcW w:w="1800" w:type="dxa"/>
            <w:tcBorders>
              <w:top w:val="single" w:sz="4" w:space="0" w:color="C9CED6"/>
              <w:left w:val="single" w:sz="4" w:space="0" w:color="C9CED6"/>
              <w:bottom w:val="single" w:sz="4" w:space="0" w:color="C9CED6"/>
              <w:right w:val="single" w:sz="4" w:space="0" w:color="C9CED6"/>
            </w:tcBorders>
            <w:shd w:val="clear" w:color="auto" w:fill="FBE3E0"/>
            <w:tcMar>
              <w:top w:w="45" w:type="dxa"/>
              <w:left w:w="80" w:type="dxa"/>
              <w:bottom w:w="45" w:type="dxa"/>
              <w:right w:w="80" w:type="dxa"/>
            </w:tcMar>
          </w:tcPr>
          <w:p w14:paraId="56C7CF87" w14:textId="77777777" w:rsidR="00711C95" w:rsidRDefault="00000000">
            <w:pPr>
              <w:jc w:val="center"/>
            </w:pPr>
            <w:r>
              <w:rPr>
                <w:color w:val="1B2430"/>
                <w:sz w:val="17"/>
                <w:szCs w:val="17"/>
              </w:rPr>
              <w:t>70.6 → 82.0</w:t>
            </w:r>
          </w:p>
        </w:tc>
        <w:tc>
          <w:tcPr>
            <w:tcW w:w="1800" w:type="dxa"/>
            <w:tcBorders>
              <w:top w:val="single" w:sz="4" w:space="0" w:color="C9CED6"/>
              <w:left w:val="single" w:sz="4" w:space="0" w:color="C9CED6"/>
              <w:bottom w:val="single" w:sz="4" w:space="0" w:color="C9CED6"/>
              <w:right w:val="single" w:sz="4" w:space="0" w:color="C9CED6"/>
            </w:tcBorders>
            <w:shd w:val="clear" w:color="auto" w:fill="FBE3E0"/>
            <w:tcMar>
              <w:top w:w="45" w:type="dxa"/>
              <w:left w:w="80" w:type="dxa"/>
              <w:bottom w:w="45" w:type="dxa"/>
              <w:right w:w="80" w:type="dxa"/>
            </w:tcMar>
          </w:tcPr>
          <w:p w14:paraId="4A714AA7" w14:textId="77777777" w:rsidR="00711C95" w:rsidRDefault="00000000">
            <w:pPr>
              <w:jc w:val="center"/>
            </w:pPr>
            <w:r>
              <w:rPr>
                <w:color w:val="1B2430"/>
                <w:sz w:val="17"/>
                <w:szCs w:val="17"/>
              </w:rPr>
              <w:t>29.1 → 40.3</w:t>
            </w:r>
          </w:p>
        </w:tc>
        <w:tc>
          <w:tcPr>
            <w:tcW w:w="1800" w:type="dxa"/>
            <w:tcBorders>
              <w:top w:val="single" w:sz="4" w:space="0" w:color="C9CED6"/>
              <w:left w:val="single" w:sz="4" w:space="0" w:color="C9CED6"/>
              <w:bottom w:val="single" w:sz="4" w:space="0" w:color="C9CED6"/>
              <w:right w:val="single" w:sz="4" w:space="0" w:color="C9CED6"/>
            </w:tcBorders>
            <w:shd w:val="clear" w:color="auto" w:fill="FBE3E0"/>
            <w:tcMar>
              <w:top w:w="45" w:type="dxa"/>
              <w:left w:w="80" w:type="dxa"/>
              <w:bottom w:w="45" w:type="dxa"/>
              <w:right w:w="80" w:type="dxa"/>
            </w:tcMar>
          </w:tcPr>
          <w:p w14:paraId="7749D5FC" w14:textId="77777777" w:rsidR="00711C95" w:rsidRDefault="00000000">
            <w:pPr>
              <w:jc w:val="center"/>
            </w:pPr>
            <w:r>
              <w:rPr>
                <w:color w:val="1B2430"/>
                <w:sz w:val="17"/>
                <w:szCs w:val="17"/>
              </w:rPr>
              <w:t>49.7 → 72.3</w:t>
            </w:r>
          </w:p>
        </w:tc>
      </w:tr>
      <w:tr w:rsidR="00711C95" w14:paraId="45BB65E4" w14:textId="77777777">
        <w:tblPrEx>
          <w:tblCellMar>
            <w:top w:w="0" w:type="dxa"/>
            <w:bottom w:w="0" w:type="dxa"/>
          </w:tblCellMar>
        </w:tblPrEx>
        <w:tc>
          <w:tcPr>
            <w:tcW w:w="2546" w:type="dxa"/>
            <w:tcBorders>
              <w:top w:val="single" w:sz="4" w:space="0" w:color="C9CED6"/>
              <w:left w:val="single" w:sz="4" w:space="0" w:color="C9CED6"/>
              <w:bottom w:val="single" w:sz="4" w:space="0" w:color="C9CED6"/>
              <w:right w:val="single" w:sz="4" w:space="0" w:color="C9CED6"/>
            </w:tcBorders>
            <w:shd w:val="clear" w:color="auto" w:fill="FFFFFF"/>
            <w:tcMar>
              <w:top w:w="45" w:type="dxa"/>
              <w:left w:w="80" w:type="dxa"/>
              <w:bottom w:w="45" w:type="dxa"/>
              <w:right w:w="80" w:type="dxa"/>
            </w:tcMar>
          </w:tcPr>
          <w:p w14:paraId="1BD9CAAB" w14:textId="77777777" w:rsidR="00711C95" w:rsidRDefault="00000000">
            <w:r>
              <w:rPr>
                <w:b/>
                <w:bCs/>
                <w:color w:val="1B2430"/>
                <w:sz w:val="17"/>
                <w:szCs w:val="17"/>
              </w:rPr>
              <w:t>Unemployment (%, ILO est.)</w:t>
            </w:r>
          </w:p>
        </w:tc>
        <w:tc>
          <w:tcPr>
            <w:tcW w:w="1800" w:type="dxa"/>
            <w:tcBorders>
              <w:top w:val="single" w:sz="4" w:space="0" w:color="C9CED6"/>
              <w:left w:val="single" w:sz="4" w:space="0" w:color="C9CED6"/>
              <w:bottom w:val="single" w:sz="4" w:space="0" w:color="C9CED6"/>
              <w:right w:val="single" w:sz="4" w:space="0" w:color="C9CED6"/>
            </w:tcBorders>
            <w:shd w:val="clear" w:color="auto" w:fill="E3F2E6"/>
            <w:tcMar>
              <w:top w:w="45" w:type="dxa"/>
              <w:left w:w="80" w:type="dxa"/>
              <w:bottom w:w="45" w:type="dxa"/>
              <w:right w:w="80" w:type="dxa"/>
            </w:tcMar>
          </w:tcPr>
          <w:p w14:paraId="0D40CC9A" w14:textId="77777777" w:rsidR="00711C95" w:rsidRDefault="00000000">
            <w:pPr>
              <w:jc w:val="center"/>
            </w:pPr>
            <w:r>
              <w:rPr>
                <w:color w:val="1B2430"/>
                <w:sz w:val="17"/>
                <w:szCs w:val="17"/>
              </w:rPr>
              <w:t>11.4 → 9.3</w:t>
            </w:r>
          </w:p>
        </w:tc>
        <w:tc>
          <w:tcPr>
            <w:tcW w:w="1800" w:type="dxa"/>
            <w:tcBorders>
              <w:top w:val="single" w:sz="4" w:space="0" w:color="C9CED6"/>
              <w:left w:val="single" w:sz="4" w:space="0" w:color="C9CED6"/>
              <w:bottom w:val="single" w:sz="4" w:space="0" w:color="C9CED6"/>
              <w:right w:val="single" w:sz="4" w:space="0" w:color="C9CED6"/>
            </w:tcBorders>
            <w:shd w:val="clear" w:color="auto" w:fill="E3F2E6"/>
            <w:tcMar>
              <w:top w:w="45" w:type="dxa"/>
              <w:left w:w="80" w:type="dxa"/>
              <w:bottom w:w="45" w:type="dxa"/>
              <w:right w:w="80" w:type="dxa"/>
            </w:tcMar>
          </w:tcPr>
          <w:p w14:paraId="09F5F88E" w14:textId="77777777" w:rsidR="00711C95" w:rsidRDefault="00000000">
            <w:pPr>
              <w:jc w:val="center"/>
            </w:pPr>
            <w:r>
              <w:rPr>
                <w:color w:val="1B2430"/>
                <w:sz w:val="17"/>
                <w:szCs w:val="17"/>
              </w:rPr>
              <w:t>7.4 → 4.9</w:t>
            </w:r>
          </w:p>
        </w:tc>
        <w:tc>
          <w:tcPr>
            <w:tcW w:w="1800" w:type="dxa"/>
            <w:tcBorders>
              <w:top w:val="single" w:sz="4" w:space="0" w:color="C9CED6"/>
              <w:left w:val="single" w:sz="4" w:space="0" w:color="C9CED6"/>
              <w:bottom w:val="single" w:sz="4" w:space="0" w:color="C9CED6"/>
              <w:right w:val="single" w:sz="4" w:space="0" w:color="C9CED6"/>
            </w:tcBorders>
            <w:shd w:val="clear" w:color="auto" w:fill="E3F2E6"/>
            <w:tcMar>
              <w:top w:w="45" w:type="dxa"/>
              <w:left w:w="80" w:type="dxa"/>
              <w:bottom w:w="45" w:type="dxa"/>
              <w:right w:w="80" w:type="dxa"/>
            </w:tcMar>
          </w:tcPr>
          <w:p w14:paraId="3C4D1370" w14:textId="77777777" w:rsidR="00711C95" w:rsidRDefault="00000000">
            <w:pPr>
              <w:jc w:val="center"/>
            </w:pPr>
            <w:r>
              <w:rPr>
                <w:color w:val="1B2430"/>
                <w:sz w:val="17"/>
                <w:szCs w:val="17"/>
              </w:rPr>
              <w:t>4.1 → 3.5</w:t>
            </w:r>
          </w:p>
        </w:tc>
        <w:tc>
          <w:tcPr>
            <w:tcW w:w="1800" w:type="dxa"/>
            <w:tcBorders>
              <w:top w:val="single" w:sz="4" w:space="0" w:color="C9CED6"/>
              <w:left w:val="single" w:sz="4" w:space="0" w:color="C9CED6"/>
              <w:bottom w:val="single" w:sz="4" w:space="0" w:color="C9CED6"/>
              <w:right w:val="single" w:sz="4" w:space="0" w:color="C9CED6"/>
            </w:tcBorders>
            <w:shd w:val="clear" w:color="auto" w:fill="FBE3E0"/>
            <w:tcMar>
              <w:top w:w="45" w:type="dxa"/>
              <w:left w:w="80" w:type="dxa"/>
              <w:bottom w:w="45" w:type="dxa"/>
              <w:right w:w="80" w:type="dxa"/>
            </w:tcMar>
          </w:tcPr>
          <w:p w14:paraId="73EF7DD6" w14:textId="77777777" w:rsidR="00711C95" w:rsidRDefault="00000000">
            <w:pPr>
              <w:jc w:val="center"/>
            </w:pPr>
            <w:r>
              <w:rPr>
                <w:color w:val="1B2430"/>
                <w:sz w:val="17"/>
                <w:szCs w:val="17"/>
              </w:rPr>
              <w:t>26.8 → 32.9</w:t>
            </w:r>
          </w:p>
        </w:tc>
      </w:tr>
      <w:tr w:rsidR="00711C95" w14:paraId="7DC64449" w14:textId="77777777">
        <w:tblPrEx>
          <w:tblCellMar>
            <w:top w:w="0" w:type="dxa"/>
            <w:bottom w:w="0" w:type="dxa"/>
          </w:tblCellMar>
        </w:tblPrEx>
        <w:tc>
          <w:tcPr>
            <w:tcW w:w="2546" w:type="dxa"/>
            <w:tcBorders>
              <w:top w:val="single" w:sz="4" w:space="0" w:color="C9CED6"/>
              <w:left w:val="single" w:sz="4" w:space="0" w:color="C9CED6"/>
              <w:bottom w:val="single" w:sz="4" w:space="0" w:color="C9CED6"/>
              <w:right w:val="single" w:sz="4" w:space="0" w:color="C9CED6"/>
            </w:tcBorders>
            <w:shd w:val="clear" w:color="auto" w:fill="FFFFFF"/>
            <w:tcMar>
              <w:top w:w="45" w:type="dxa"/>
              <w:left w:w="80" w:type="dxa"/>
              <w:bottom w:w="45" w:type="dxa"/>
              <w:right w:w="80" w:type="dxa"/>
            </w:tcMar>
          </w:tcPr>
          <w:p w14:paraId="4140AC14" w14:textId="77777777" w:rsidR="00711C95" w:rsidRDefault="00000000">
            <w:r>
              <w:rPr>
                <w:b/>
                <w:bCs/>
                <w:color w:val="1B2430"/>
                <w:sz w:val="17"/>
                <w:szCs w:val="17"/>
              </w:rPr>
              <w:t>Current account (% GDP)</w:t>
            </w:r>
          </w:p>
        </w:tc>
        <w:tc>
          <w:tcPr>
            <w:tcW w:w="1800" w:type="dxa"/>
            <w:tcBorders>
              <w:top w:val="single" w:sz="4" w:space="0" w:color="C9CED6"/>
              <w:left w:val="single" w:sz="4" w:space="0" w:color="C9CED6"/>
              <w:bottom w:val="single" w:sz="4" w:space="0" w:color="C9CED6"/>
              <w:right w:val="single" w:sz="4" w:space="0" w:color="C9CED6"/>
            </w:tcBorders>
            <w:shd w:val="clear" w:color="auto" w:fill="FFFFFF"/>
            <w:tcMar>
              <w:top w:w="45" w:type="dxa"/>
              <w:left w:w="80" w:type="dxa"/>
              <w:bottom w:w="45" w:type="dxa"/>
              <w:right w:w="80" w:type="dxa"/>
            </w:tcMar>
          </w:tcPr>
          <w:p w14:paraId="69164358" w14:textId="77777777" w:rsidR="00711C95" w:rsidRDefault="00000000">
            <w:pPr>
              <w:jc w:val="center"/>
            </w:pPr>
            <w:r>
              <w:rPr>
                <w:color w:val="1B2430"/>
                <w:sz w:val="17"/>
                <w:szCs w:val="17"/>
              </w:rPr>
              <w:t>-2.5 → -2.2</w:t>
            </w:r>
          </w:p>
        </w:tc>
        <w:tc>
          <w:tcPr>
            <w:tcW w:w="1800" w:type="dxa"/>
            <w:tcBorders>
              <w:top w:val="single" w:sz="4" w:space="0" w:color="C9CED6"/>
              <w:left w:val="single" w:sz="4" w:space="0" w:color="C9CED6"/>
              <w:bottom w:val="single" w:sz="4" w:space="0" w:color="C9CED6"/>
              <w:right w:val="single" w:sz="4" w:space="0" w:color="C9CED6"/>
            </w:tcBorders>
            <w:shd w:val="clear" w:color="auto" w:fill="FFFFFF"/>
            <w:tcMar>
              <w:top w:w="45" w:type="dxa"/>
              <w:left w:w="80" w:type="dxa"/>
              <w:bottom w:w="45" w:type="dxa"/>
              <w:right w:w="80" w:type="dxa"/>
            </w:tcMar>
          </w:tcPr>
          <w:p w14:paraId="16227D22" w14:textId="77777777" w:rsidR="00711C95" w:rsidRDefault="00000000">
            <w:pPr>
              <w:jc w:val="center"/>
            </w:pPr>
            <w:r>
              <w:rPr>
                <w:color w:val="1B2430"/>
                <w:sz w:val="17"/>
                <w:szCs w:val="17"/>
              </w:rPr>
              <w:t>-1.3 → -1.3</w:t>
            </w:r>
          </w:p>
        </w:tc>
        <w:tc>
          <w:tcPr>
            <w:tcW w:w="1800" w:type="dxa"/>
            <w:tcBorders>
              <w:top w:val="single" w:sz="4" w:space="0" w:color="C9CED6"/>
              <w:left w:val="single" w:sz="4" w:space="0" w:color="C9CED6"/>
              <w:bottom w:val="single" w:sz="4" w:space="0" w:color="C9CED6"/>
              <w:right w:val="single" w:sz="4" w:space="0" w:color="C9CED6"/>
            </w:tcBorders>
            <w:shd w:val="clear" w:color="auto" w:fill="E3F2E6"/>
            <w:tcMar>
              <w:top w:w="45" w:type="dxa"/>
              <w:left w:w="80" w:type="dxa"/>
              <w:bottom w:w="45" w:type="dxa"/>
              <w:right w:w="80" w:type="dxa"/>
            </w:tcMar>
          </w:tcPr>
          <w:p w14:paraId="442745FC" w14:textId="77777777" w:rsidR="00711C95" w:rsidRDefault="00000000">
            <w:pPr>
              <w:jc w:val="center"/>
            </w:pPr>
            <w:r>
              <w:rPr>
                <w:color w:val="1B2430"/>
                <w:sz w:val="17"/>
                <w:szCs w:val="17"/>
              </w:rPr>
              <w:t>-2.2 → +0.1</w:t>
            </w:r>
          </w:p>
        </w:tc>
        <w:tc>
          <w:tcPr>
            <w:tcW w:w="1800" w:type="dxa"/>
            <w:tcBorders>
              <w:top w:val="single" w:sz="4" w:space="0" w:color="C9CED6"/>
              <w:left w:val="single" w:sz="4" w:space="0" w:color="C9CED6"/>
              <w:bottom w:val="single" w:sz="4" w:space="0" w:color="C9CED6"/>
              <w:right w:val="single" w:sz="4" w:space="0" w:color="C9CED6"/>
            </w:tcBorders>
            <w:shd w:val="clear" w:color="auto" w:fill="E3F2E6"/>
            <w:tcMar>
              <w:top w:w="45" w:type="dxa"/>
              <w:left w:w="80" w:type="dxa"/>
              <w:bottom w:w="45" w:type="dxa"/>
              <w:right w:w="80" w:type="dxa"/>
            </w:tcMar>
          </w:tcPr>
          <w:p w14:paraId="31B4BD13" w14:textId="77777777" w:rsidR="00711C95" w:rsidRDefault="00000000">
            <w:pPr>
              <w:jc w:val="center"/>
            </w:pPr>
            <w:r>
              <w:rPr>
                <w:color w:val="1B2430"/>
                <w:sz w:val="17"/>
                <w:szCs w:val="17"/>
              </w:rPr>
              <w:t>-3.0 → +0.4</w:t>
            </w:r>
          </w:p>
        </w:tc>
      </w:tr>
      <w:tr w:rsidR="00711C95" w14:paraId="3AB444D3" w14:textId="77777777">
        <w:tblPrEx>
          <w:tblCellMar>
            <w:top w:w="0" w:type="dxa"/>
            <w:bottom w:w="0" w:type="dxa"/>
          </w:tblCellMar>
        </w:tblPrEx>
        <w:tc>
          <w:tcPr>
            <w:tcW w:w="2546" w:type="dxa"/>
            <w:tcBorders>
              <w:top w:val="single" w:sz="4" w:space="0" w:color="C9CED6"/>
              <w:left w:val="single" w:sz="4" w:space="0" w:color="C9CED6"/>
              <w:bottom w:val="single" w:sz="4" w:space="0" w:color="C9CED6"/>
              <w:right w:val="single" w:sz="4" w:space="0" w:color="C9CED6"/>
            </w:tcBorders>
            <w:shd w:val="clear" w:color="auto" w:fill="FFFFFF"/>
            <w:tcMar>
              <w:top w:w="45" w:type="dxa"/>
              <w:left w:w="80" w:type="dxa"/>
              <w:bottom w:w="45" w:type="dxa"/>
              <w:right w:w="80" w:type="dxa"/>
            </w:tcMar>
          </w:tcPr>
          <w:p w14:paraId="3A36A22D" w14:textId="77777777" w:rsidR="00711C95" w:rsidRDefault="00000000">
            <w:r>
              <w:rPr>
                <w:b/>
                <w:bCs/>
                <w:color w:val="1B2430"/>
                <w:sz w:val="17"/>
                <w:szCs w:val="17"/>
              </w:rPr>
              <w:t>Trade balance (% GDP)</w:t>
            </w:r>
          </w:p>
        </w:tc>
        <w:tc>
          <w:tcPr>
            <w:tcW w:w="1800" w:type="dxa"/>
            <w:tcBorders>
              <w:top w:val="single" w:sz="4" w:space="0" w:color="C9CED6"/>
              <w:left w:val="single" w:sz="4" w:space="0" w:color="C9CED6"/>
              <w:bottom w:val="single" w:sz="4" w:space="0" w:color="C9CED6"/>
              <w:right w:val="single" w:sz="4" w:space="0" w:color="C9CED6"/>
            </w:tcBorders>
            <w:shd w:val="clear" w:color="auto" w:fill="E3F2E6"/>
            <w:tcMar>
              <w:top w:w="45" w:type="dxa"/>
              <w:left w:w="80" w:type="dxa"/>
              <w:bottom w:w="45" w:type="dxa"/>
              <w:right w:w="80" w:type="dxa"/>
            </w:tcMar>
          </w:tcPr>
          <w:p w14:paraId="5CF86359" w14:textId="77777777" w:rsidR="00711C95" w:rsidRDefault="00000000">
            <w:pPr>
              <w:jc w:val="center"/>
            </w:pPr>
            <w:r>
              <w:rPr>
                <w:color w:val="1B2430"/>
                <w:sz w:val="17"/>
                <w:szCs w:val="17"/>
              </w:rPr>
              <w:t>-0.1 → 0.9</w:t>
            </w:r>
          </w:p>
        </w:tc>
        <w:tc>
          <w:tcPr>
            <w:tcW w:w="1800" w:type="dxa"/>
            <w:tcBorders>
              <w:top w:val="single" w:sz="4" w:space="0" w:color="C9CED6"/>
              <w:left w:val="single" w:sz="4" w:space="0" w:color="C9CED6"/>
              <w:bottom w:val="single" w:sz="4" w:space="0" w:color="C9CED6"/>
              <w:right w:val="single" w:sz="4" w:space="0" w:color="C9CED6"/>
            </w:tcBorders>
            <w:shd w:val="clear" w:color="auto" w:fill="E3F2E6"/>
            <w:tcMar>
              <w:top w:w="45" w:type="dxa"/>
              <w:left w:w="80" w:type="dxa"/>
              <w:bottom w:w="45" w:type="dxa"/>
              <w:right w:w="80" w:type="dxa"/>
            </w:tcMar>
          </w:tcPr>
          <w:p w14:paraId="400846B7" w14:textId="77777777" w:rsidR="00711C95" w:rsidRDefault="00000000">
            <w:pPr>
              <w:jc w:val="center"/>
            </w:pPr>
            <w:r>
              <w:rPr>
                <w:color w:val="1B2430"/>
                <w:sz w:val="17"/>
                <w:szCs w:val="17"/>
              </w:rPr>
              <w:t>-2.7 → -2.2</w:t>
            </w:r>
          </w:p>
        </w:tc>
        <w:tc>
          <w:tcPr>
            <w:tcW w:w="1800" w:type="dxa"/>
            <w:tcBorders>
              <w:top w:val="single" w:sz="4" w:space="0" w:color="C9CED6"/>
              <w:left w:val="single" w:sz="4" w:space="0" w:color="C9CED6"/>
              <w:bottom w:val="single" w:sz="4" w:space="0" w:color="C9CED6"/>
              <w:right w:val="single" w:sz="4" w:space="0" w:color="C9CED6"/>
            </w:tcBorders>
            <w:shd w:val="clear" w:color="auto" w:fill="E3F2E6"/>
            <w:tcMar>
              <w:top w:w="45" w:type="dxa"/>
              <w:left w:w="80" w:type="dxa"/>
              <w:bottom w:w="45" w:type="dxa"/>
              <w:right w:w="80" w:type="dxa"/>
            </w:tcMar>
          </w:tcPr>
          <w:p w14:paraId="188DBE36" w14:textId="77777777" w:rsidR="00711C95" w:rsidRDefault="00000000">
            <w:pPr>
              <w:jc w:val="center"/>
            </w:pPr>
            <w:r>
              <w:rPr>
                <w:color w:val="1B2430"/>
                <w:sz w:val="17"/>
                <w:szCs w:val="17"/>
              </w:rPr>
              <w:t>0.1 → 2.5</w:t>
            </w:r>
          </w:p>
        </w:tc>
        <w:tc>
          <w:tcPr>
            <w:tcW w:w="1800" w:type="dxa"/>
            <w:tcBorders>
              <w:top w:val="single" w:sz="4" w:space="0" w:color="C9CED6"/>
              <w:left w:val="single" w:sz="4" w:space="0" w:color="C9CED6"/>
              <w:bottom w:val="single" w:sz="4" w:space="0" w:color="C9CED6"/>
              <w:right w:val="single" w:sz="4" w:space="0" w:color="C9CED6"/>
            </w:tcBorders>
            <w:shd w:val="clear" w:color="auto" w:fill="E3F2E6"/>
            <w:tcMar>
              <w:top w:w="45" w:type="dxa"/>
              <w:left w:w="80" w:type="dxa"/>
              <w:bottom w:w="45" w:type="dxa"/>
              <w:right w:w="80" w:type="dxa"/>
            </w:tcMar>
          </w:tcPr>
          <w:p w14:paraId="10C6EE65" w14:textId="77777777" w:rsidR="00711C95" w:rsidRDefault="00000000">
            <w:pPr>
              <w:jc w:val="center"/>
            </w:pPr>
            <w:r>
              <w:rPr>
                <w:color w:val="1B2430"/>
                <w:sz w:val="17"/>
                <w:szCs w:val="17"/>
              </w:rPr>
              <w:t>0.3 → 2.8</w:t>
            </w:r>
          </w:p>
        </w:tc>
      </w:tr>
      <w:tr w:rsidR="00711C95" w14:paraId="7A43AD16" w14:textId="77777777">
        <w:tblPrEx>
          <w:tblCellMar>
            <w:top w:w="0" w:type="dxa"/>
            <w:bottom w:w="0" w:type="dxa"/>
          </w:tblCellMar>
        </w:tblPrEx>
        <w:tc>
          <w:tcPr>
            <w:tcW w:w="2546" w:type="dxa"/>
            <w:tcBorders>
              <w:top w:val="single" w:sz="4" w:space="0" w:color="C9CED6"/>
              <w:left w:val="single" w:sz="4" w:space="0" w:color="C9CED6"/>
              <w:bottom w:val="single" w:sz="4" w:space="0" w:color="C9CED6"/>
              <w:right w:val="single" w:sz="4" w:space="0" w:color="C9CED6"/>
            </w:tcBorders>
            <w:shd w:val="clear" w:color="auto" w:fill="FFFFFF"/>
            <w:tcMar>
              <w:top w:w="45" w:type="dxa"/>
              <w:left w:w="80" w:type="dxa"/>
              <w:bottom w:w="45" w:type="dxa"/>
              <w:right w:w="80" w:type="dxa"/>
            </w:tcMar>
          </w:tcPr>
          <w:p w14:paraId="30C12BF8" w14:textId="77777777" w:rsidR="00711C95" w:rsidRDefault="00000000">
            <w:r>
              <w:rPr>
                <w:b/>
                <w:bCs/>
                <w:color w:val="1B2430"/>
                <w:sz w:val="17"/>
                <w:szCs w:val="17"/>
              </w:rPr>
              <w:t>FDI inflows (% GDP)</w:t>
            </w:r>
          </w:p>
        </w:tc>
        <w:tc>
          <w:tcPr>
            <w:tcW w:w="1800" w:type="dxa"/>
            <w:tcBorders>
              <w:top w:val="single" w:sz="4" w:space="0" w:color="C9CED6"/>
              <w:left w:val="single" w:sz="4" w:space="0" w:color="C9CED6"/>
              <w:bottom w:val="single" w:sz="4" w:space="0" w:color="C9CED6"/>
              <w:right w:val="single" w:sz="4" w:space="0" w:color="C9CED6"/>
            </w:tcBorders>
            <w:shd w:val="clear" w:color="auto" w:fill="FBE3E0"/>
            <w:tcMar>
              <w:top w:w="45" w:type="dxa"/>
              <w:left w:w="80" w:type="dxa"/>
              <w:bottom w:w="45" w:type="dxa"/>
              <w:right w:w="80" w:type="dxa"/>
            </w:tcMar>
          </w:tcPr>
          <w:p w14:paraId="7DC09059" w14:textId="77777777" w:rsidR="00711C95" w:rsidRDefault="00000000">
            <w:pPr>
              <w:jc w:val="center"/>
            </w:pPr>
            <w:r>
              <w:rPr>
                <w:color w:val="1B2430"/>
                <w:sz w:val="17"/>
                <w:szCs w:val="17"/>
              </w:rPr>
              <w:t>3.8 → 3.2</w:t>
            </w:r>
          </w:p>
        </w:tc>
        <w:tc>
          <w:tcPr>
            <w:tcW w:w="1800" w:type="dxa"/>
            <w:tcBorders>
              <w:top w:val="single" w:sz="4" w:space="0" w:color="C9CED6"/>
              <w:left w:val="single" w:sz="4" w:space="0" w:color="C9CED6"/>
              <w:bottom w:val="single" w:sz="4" w:space="0" w:color="C9CED6"/>
              <w:right w:val="single" w:sz="4" w:space="0" w:color="C9CED6"/>
            </w:tcBorders>
            <w:shd w:val="clear" w:color="auto" w:fill="FBE3E0"/>
            <w:tcMar>
              <w:top w:w="45" w:type="dxa"/>
              <w:left w:w="80" w:type="dxa"/>
              <w:bottom w:w="45" w:type="dxa"/>
              <w:right w:w="80" w:type="dxa"/>
            </w:tcMar>
          </w:tcPr>
          <w:p w14:paraId="5F6E9C91" w14:textId="77777777" w:rsidR="00711C95" w:rsidRDefault="00000000">
            <w:pPr>
              <w:jc w:val="center"/>
            </w:pPr>
            <w:r>
              <w:rPr>
                <w:color w:val="1B2430"/>
                <w:sz w:val="17"/>
                <w:szCs w:val="17"/>
              </w:rPr>
              <w:t>1.8 → 1.1</w:t>
            </w:r>
          </w:p>
        </w:tc>
        <w:tc>
          <w:tcPr>
            <w:tcW w:w="1800" w:type="dxa"/>
            <w:tcBorders>
              <w:top w:val="single" w:sz="4" w:space="0" w:color="C9CED6"/>
              <w:left w:val="single" w:sz="4" w:space="0" w:color="C9CED6"/>
              <w:bottom w:val="single" w:sz="4" w:space="0" w:color="C9CED6"/>
              <w:right w:val="single" w:sz="4" w:space="0" w:color="C9CED6"/>
            </w:tcBorders>
            <w:shd w:val="clear" w:color="auto" w:fill="FFFFFF"/>
            <w:tcMar>
              <w:top w:w="45" w:type="dxa"/>
              <w:left w:w="80" w:type="dxa"/>
              <w:bottom w:w="45" w:type="dxa"/>
              <w:right w:w="80" w:type="dxa"/>
            </w:tcMar>
          </w:tcPr>
          <w:p w14:paraId="317958CB" w14:textId="77777777" w:rsidR="00711C95" w:rsidRDefault="00000000">
            <w:pPr>
              <w:jc w:val="center"/>
            </w:pPr>
            <w:r>
              <w:rPr>
                <w:color w:val="1B2430"/>
                <w:sz w:val="17"/>
                <w:szCs w:val="17"/>
              </w:rPr>
              <w:t>1.8 → 1.7</w:t>
            </w:r>
          </w:p>
        </w:tc>
        <w:tc>
          <w:tcPr>
            <w:tcW w:w="1800" w:type="dxa"/>
            <w:tcBorders>
              <w:top w:val="single" w:sz="4" w:space="0" w:color="C9CED6"/>
              <w:left w:val="single" w:sz="4" w:space="0" w:color="C9CED6"/>
              <w:bottom w:val="single" w:sz="4" w:space="0" w:color="C9CED6"/>
              <w:right w:val="single" w:sz="4" w:space="0" w:color="C9CED6"/>
            </w:tcBorders>
            <w:shd w:val="clear" w:color="auto" w:fill="E3F2E6"/>
            <w:tcMar>
              <w:top w:w="45" w:type="dxa"/>
              <w:left w:w="80" w:type="dxa"/>
              <w:bottom w:w="45" w:type="dxa"/>
              <w:right w:w="80" w:type="dxa"/>
            </w:tcMar>
          </w:tcPr>
          <w:p w14:paraId="17502FBA" w14:textId="77777777" w:rsidR="00711C95" w:rsidRDefault="00000000">
            <w:pPr>
              <w:jc w:val="center"/>
            </w:pPr>
            <w:r>
              <w:rPr>
                <w:color w:val="1B2430"/>
                <w:sz w:val="17"/>
                <w:szCs w:val="17"/>
              </w:rPr>
              <w:t>0.9 → 3.4</w:t>
            </w:r>
          </w:p>
        </w:tc>
      </w:tr>
      <w:tr w:rsidR="00711C95" w14:paraId="19328DF0" w14:textId="77777777">
        <w:tblPrEx>
          <w:tblCellMar>
            <w:top w:w="0" w:type="dxa"/>
            <w:bottom w:w="0" w:type="dxa"/>
          </w:tblCellMar>
        </w:tblPrEx>
        <w:tc>
          <w:tcPr>
            <w:tcW w:w="2546" w:type="dxa"/>
            <w:tcBorders>
              <w:top w:val="single" w:sz="4" w:space="0" w:color="C9CED6"/>
              <w:left w:val="single" w:sz="4" w:space="0" w:color="C9CED6"/>
              <w:bottom w:val="single" w:sz="4" w:space="0" w:color="C9CED6"/>
              <w:right w:val="single" w:sz="4" w:space="0" w:color="C9CED6"/>
            </w:tcBorders>
            <w:shd w:val="clear" w:color="auto" w:fill="FFFFFF"/>
            <w:tcMar>
              <w:top w:w="45" w:type="dxa"/>
              <w:left w:w="80" w:type="dxa"/>
              <w:bottom w:w="45" w:type="dxa"/>
              <w:right w:w="80" w:type="dxa"/>
            </w:tcMar>
          </w:tcPr>
          <w:p w14:paraId="11541FE1" w14:textId="77777777" w:rsidR="00711C95" w:rsidRDefault="00000000">
            <w:r>
              <w:rPr>
                <w:b/>
                <w:bCs/>
                <w:color w:val="1B2430"/>
                <w:sz w:val="17"/>
                <w:szCs w:val="17"/>
              </w:rPr>
              <w:t>Reserves (months of imports)</w:t>
            </w:r>
          </w:p>
        </w:tc>
        <w:tc>
          <w:tcPr>
            <w:tcW w:w="1800" w:type="dxa"/>
            <w:tcBorders>
              <w:top w:val="single" w:sz="4" w:space="0" w:color="C9CED6"/>
              <w:left w:val="single" w:sz="4" w:space="0" w:color="C9CED6"/>
              <w:bottom w:val="single" w:sz="4" w:space="0" w:color="C9CED6"/>
              <w:right w:val="single" w:sz="4" w:space="0" w:color="C9CED6"/>
            </w:tcBorders>
            <w:shd w:val="clear" w:color="auto" w:fill="FBE3E0"/>
            <w:tcMar>
              <w:top w:w="45" w:type="dxa"/>
              <w:left w:w="80" w:type="dxa"/>
              <w:bottom w:w="45" w:type="dxa"/>
              <w:right w:w="80" w:type="dxa"/>
            </w:tcMar>
          </w:tcPr>
          <w:p w14:paraId="6357AA04" w14:textId="77777777" w:rsidR="00711C95" w:rsidRDefault="00000000">
            <w:pPr>
              <w:jc w:val="center"/>
            </w:pPr>
            <w:r>
              <w:rPr>
                <w:color w:val="1B2430"/>
                <w:sz w:val="17"/>
                <w:szCs w:val="17"/>
              </w:rPr>
              <w:t>14.3 → 9.2</w:t>
            </w:r>
          </w:p>
        </w:tc>
        <w:tc>
          <w:tcPr>
            <w:tcW w:w="1800" w:type="dxa"/>
            <w:tcBorders>
              <w:top w:val="single" w:sz="4" w:space="0" w:color="C9CED6"/>
              <w:left w:val="single" w:sz="4" w:space="0" w:color="C9CED6"/>
              <w:bottom w:val="single" w:sz="4" w:space="0" w:color="C9CED6"/>
              <w:right w:val="single" w:sz="4" w:space="0" w:color="C9CED6"/>
            </w:tcBorders>
            <w:shd w:val="clear" w:color="auto" w:fill="FFFFFF"/>
            <w:tcMar>
              <w:top w:w="45" w:type="dxa"/>
              <w:left w:w="80" w:type="dxa"/>
              <w:bottom w:w="45" w:type="dxa"/>
              <w:right w:w="80" w:type="dxa"/>
            </w:tcMar>
          </w:tcPr>
          <w:p w14:paraId="35224CE5" w14:textId="77777777" w:rsidR="00711C95" w:rsidRDefault="00000000">
            <w:pPr>
              <w:jc w:val="center"/>
            </w:pPr>
            <w:r>
              <w:rPr>
                <w:color w:val="1B2430"/>
                <w:sz w:val="17"/>
                <w:szCs w:val="17"/>
              </w:rPr>
              <w:t>8.0 → 8.1</w:t>
            </w:r>
          </w:p>
        </w:tc>
        <w:tc>
          <w:tcPr>
            <w:tcW w:w="1800" w:type="dxa"/>
            <w:tcBorders>
              <w:top w:val="single" w:sz="4" w:space="0" w:color="C9CED6"/>
              <w:left w:val="single" w:sz="4" w:space="0" w:color="C9CED6"/>
              <w:bottom w:val="single" w:sz="4" w:space="0" w:color="C9CED6"/>
              <w:right w:val="single" w:sz="4" w:space="0" w:color="C9CED6"/>
            </w:tcBorders>
            <w:shd w:val="clear" w:color="auto" w:fill="FBE3E0"/>
            <w:tcMar>
              <w:top w:w="45" w:type="dxa"/>
              <w:left w:w="80" w:type="dxa"/>
              <w:bottom w:w="45" w:type="dxa"/>
              <w:right w:w="80" w:type="dxa"/>
            </w:tcMar>
          </w:tcPr>
          <w:p w14:paraId="7FECC72D" w14:textId="77777777" w:rsidR="00711C95" w:rsidRDefault="00000000">
            <w:pPr>
              <w:jc w:val="center"/>
            </w:pPr>
            <w:r>
              <w:rPr>
                <w:color w:val="1B2430"/>
                <w:sz w:val="17"/>
                <w:szCs w:val="17"/>
              </w:rPr>
              <w:t>6.5 → 5.9</w:t>
            </w:r>
          </w:p>
        </w:tc>
        <w:tc>
          <w:tcPr>
            <w:tcW w:w="1800" w:type="dxa"/>
            <w:tcBorders>
              <w:top w:val="single" w:sz="4" w:space="0" w:color="C9CED6"/>
              <w:left w:val="single" w:sz="4" w:space="0" w:color="C9CED6"/>
              <w:bottom w:val="single" w:sz="4" w:space="0" w:color="C9CED6"/>
              <w:right w:val="single" w:sz="4" w:space="0" w:color="C9CED6"/>
            </w:tcBorders>
            <w:shd w:val="clear" w:color="auto" w:fill="FFFFFF"/>
            <w:tcMar>
              <w:top w:w="45" w:type="dxa"/>
              <w:left w:w="80" w:type="dxa"/>
              <w:bottom w:w="45" w:type="dxa"/>
              <w:right w:w="80" w:type="dxa"/>
            </w:tcMar>
          </w:tcPr>
          <w:p w14:paraId="39A20F52" w14:textId="77777777" w:rsidR="00711C95" w:rsidRDefault="00000000">
            <w:pPr>
              <w:jc w:val="center"/>
            </w:pPr>
            <w:r>
              <w:rPr>
                <w:color w:val="1B2430"/>
                <w:sz w:val="17"/>
                <w:szCs w:val="17"/>
              </w:rPr>
              <w:t>5.1 → 5.4</w:t>
            </w:r>
          </w:p>
        </w:tc>
      </w:tr>
      <w:tr w:rsidR="00711C95" w14:paraId="04647C0E" w14:textId="77777777">
        <w:tblPrEx>
          <w:tblCellMar>
            <w:top w:w="0" w:type="dxa"/>
            <w:bottom w:w="0" w:type="dxa"/>
          </w:tblCellMar>
        </w:tblPrEx>
        <w:tc>
          <w:tcPr>
            <w:tcW w:w="2546" w:type="dxa"/>
            <w:tcBorders>
              <w:top w:val="single" w:sz="4" w:space="0" w:color="C9CED6"/>
              <w:left w:val="single" w:sz="4" w:space="0" w:color="C9CED6"/>
              <w:bottom w:val="single" w:sz="4" w:space="0" w:color="C9CED6"/>
              <w:right w:val="single" w:sz="4" w:space="0" w:color="C9CED6"/>
            </w:tcBorders>
            <w:shd w:val="clear" w:color="auto" w:fill="FFFFFF"/>
            <w:tcMar>
              <w:top w:w="45" w:type="dxa"/>
              <w:left w:w="80" w:type="dxa"/>
              <w:bottom w:w="45" w:type="dxa"/>
              <w:right w:w="80" w:type="dxa"/>
            </w:tcMar>
          </w:tcPr>
          <w:p w14:paraId="437BFF29" w14:textId="77777777" w:rsidR="00711C95" w:rsidRDefault="00000000">
            <w:r>
              <w:rPr>
                <w:b/>
                <w:bCs/>
                <w:color w:val="1B2430"/>
                <w:sz w:val="17"/>
                <w:szCs w:val="17"/>
              </w:rPr>
              <w:t>Currency depreciation (% p.a.)</w:t>
            </w:r>
          </w:p>
        </w:tc>
        <w:tc>
          <w:tcPr>
            <w:tcW w:w="1800" w:type="dxa"/>
            <w:tcBorders>
              <w:top w:val="single" w:sz="4" w:space="0" w:color="C9CED6"/>
              <w:left w:val="single" w:sz="4" w:space="0" w:color="C9CED6"/>
              <w:bottom w:val="single" w:sz="4" w:space="0" w:color="C9CED6"/>
              <w:right w:val="single" w:sz="4" w:space="0" w:color="C9CED6"/>
            </w:tcBorders>
            <w:shd w:val="clear" w:color="auto" w:fill="E3F2E6"/>
            <w:tcMar>
              <w:top w:w="45" w:type="dxa"/>
              <w:left w:w="80" w:type="dxa"/>
              <w:bottom w:w="45" w:type="dxa"/>
              <w:right w:w="80" w:type="dxa"/>
            </w:tcMar>
          </w:tcPr>
          <w:p w14:paraId="06F8B2F9" w14:textId="77777777" w:rsidR="00711C95" w:rsidRDefault="00000000">
            <w:pPr>
              <w:jc w:val="center"/>
            </w:pPr>
            <w:r>
              <w:rPr>
                <w:color w:val="1B2430"/>
                <w:sz w:val="17"/>
                <w:szCs w:val="17"/>
              </w:rPr>
              <w:t>12.0 → 1.3</w:t>
            </w:r>
          </w:p>
        </w:tc>
        <w:tc>
          <w:tcPr>
            <w:tcW w:w="1800" w:type="dxa"/>
            <w:tcBorders>
              <w:top w:val="single" w:sz="4" w:space="0" w:color="C9CED6"/>
              <w:left w:val="single" w:sz="4" w:space="0" w:color="C9CED6"/>
              <w:bottom w:val="single" w:sz="4" w:space="0" w:color="C9CED6"/>
              <w:right w:val="single" w:sz="4" w:space="0" w:color="C9CED6"/>
            </w:tcBorders>
            <w:shd w:val="clear" w:color="auto" w:fill="FFFFFF"/>
            <w:tcMar>
              <w:top w:w="45" w:type="dxa"/>
              <w:left w:w="80" w:type="dxa"/>
              <w:bottom w:w="45" w:type="dxa"/>
              <w:right w:w="80" w:type="dxa"/>
            </w:tcMar>
          </w:tcPr>
          <w:p w14:paraId="0DF69D3A" w14:textId="77777777" w:rsidR="00711C95" w:rsidRDefault="00000000">
            <w:pPr>
              <w:jc w:val="center"/>
            </w:pPr>
            <w:r>
              <w:rPr>
                <w:color w:val="1B2430"/>
                <w:sz w:val="17"/>
                <w:szCs w:val="17"/>
              </w:rPr>
              <w:t>3.0 → 3.1</w:t>
            </w:r>
          </w:p>
        </w:tc>
        <w:tc>
          <w:tcPr>
            <w:tcW w:w="1800" w:type="dxa"/>
            <w:tcBorders>
              <w:top w:val="single" w:sz="4" w:space="0" w:color="C9CED6"/>
              <w:left w:val="single" w:sz="4" w:space="0" w:color="C9CED6"/>
              <w:bottom w:val="single" w:sz="4" w:space="0" w:color="C9CED6"/>
              <w:right w:val="single" w:sz="4" w:space="0" w:color="C9CED6"/>
            </w:tcBorders>
            <w:shd w:val="clear" w:color="auto" w:fill="E3F2E6"/>
            <w:tcMar>
              <w:top w:w="45" w:type="dxa"/>
              <w:left w:w="80" w:type="dxa"/>
              <w:bottom w:w="45" w:type="dxa"/>
              <w:right w:w="80" w:type="dxa"/>
            </w:tcMar>
          </w:tcPr>
          <w:p w14:paraId="48FA7856" w14:textId="77777777" w:rsidR="00711C95" w:rsidRDefault="00000000">
            <w:pPr>
              <w:jc w:val="center"/>
            </w:pPr>
            <w:r>
              <w:rPr>
                <w:color w:val="1B2430"/>
                <w:sz w:val="17"/>
                <w:szCs w:val="17"/>
              </w:rPr>
              <w:t>3.7 → 2.1</w:t>
            </w:r>
          </w:p>
        </w:tc>
        <w:tc>
          <w:tcPr>
            <w:tcW w:w="1800" w:type="dxa"/>
            <w:tcBorders>
              <w:top w:val="single" w:sz="4" w:space="0" w:color="C9CED6"/>
              <w:left w:val="single" w:sz="4" w:space="0" w:color="C9CED6"/>
              <w:bottom w:val="single" w:sz="4" w:space="0" w:color="C9CED6"/>
              <w:right w:val="single" w:sz="4" w:space="0" w:color="C9CED6"/>
            </w:tcBorders>
            <w:shd w:val="clear" w:color="auto" w:fill="E3F2E6"/>
            <w:tcMar>
              <w:top w:w="45" w:type="dxa"/>
              <w:left w:w="80" w:type="dxa"/>
              <w:bottom w:w="45" w:type="dxa"/>
              <w:right w:w="80" w:type="dxa"/>
            </w:tcMar>
          </w:tcPr>
          <w:p w14:paraId="4BE752E8" w14:textId="77777777" w:rsidR="00711C95" w:rsidRDefault="00000000">
            <w:pPr>
              <w:jc w:val="center"/>
            </w:pPr>
            <w:r>
              <w:rPr>
                <w:color w:val="1B2430"/>
                <w:sz w:val="17"/>
                <w:szCs w:val="17"/>
              </w:rPr>
              <w:t>6.4 → 3.2</w:t>
            </w:r>
          </w:p>
        </w:tc>
      </w:tr>
    </w:tbl>
    <w:p w14:paraId="1DF7DC89" w14:textId="77777777" w:rsidR="00711C95" w:rsidRDefault="00000000">
      <w:pPr>
        <w:spacing w:before="60" w:after="100"/>
      </w:pPr>
      <w:r>
        <w:rPr>
          <w:b/>
          <w:bCs/>
        </w:rPr>
        <w:t xml:space="preserve">Shading: </w:t>
      </w:r>
      <w:r>
        <w:t>red = worse than 2015-19, green = better. *IMF WEO general government gross debt (April 2025 vintage, via FRED); 2024 is an IMF estimate. Other indicators: World Bank WDI.</w:t>
      </w:r>
    </w:p>
    <w:p w14:paraId="48D43721" w14:textId="77777777" w:rsidR="00711C95" w:rsidRDefault="00000000">
      <w:pPr>
        <w:pStyle w:val="ListParagraph"/>
        <w:numPr>
          <w:ilvl w:val="0"/>
          <w:numId w:val="2"/>
        </w:numPr>
        <w:spacing w:after="60" w:line="255" w:lineRule="auto"/>
      </w:pPr>
      <w:r>
        <w:rPr>
          <w:b/>
          <w:bCs/>
        </w:rPr>
        <w:t xml:space="preserve">South Africa - fiscal and labour stress. </w:t>
      </w:r>
      <w:r>
        <w:t>Debt jumped about 23 points to 72% of GDP, the largest fiscal deterioration in the group, and unemployment climbed to about 33%. The external side improved (current account from -3.0% to +0.4% of GDP; FDI up to 3.4%), but FDI is lumpy and should not be extrapolated.</w:t>
      </w:r>
    </w:p>
    <w:p w14:paraId="1053D225" w14:textId="77777777" w:rsidR="00711C95" w:rsidRDefault="00000000">
      <w:pPr>
        <w:pStyle w:val="ListParagraph"/>
        <w:numPr>
          <w:ilvl w:val="0"/>
          <w:numId w:val="2"/>
        </w:numPr>
        <w:spacing w:after="60" w:line="255" w:lineRule="auto"/>
      </w:pPr>
      <w:r>
        <w:rPr>
          <w:b/>
          <w:bCs/>
        </w:rPr>
        <w:t xml:space="preserve">Brazil - buffers eroded, debt highest. </w:t>
      </w:r>
      <w:r>
        <w:t>Reserve cover fell from 14.3 to 9.2 months of imports, the biggest single-indicator decline in the panel, though still comfortable. Debt is 86% of GDP and inflation stayed above 6%. Growth looks like a large improvement only because 2015-19 contains a deep recession (average -0.5%), a base effect.</w:t>
      </w:r>
    </w:p>
    <w:p w14:paraId="7AB19128" w14:textId="77777777" w:rsidR="00711C95" w:rsidRDefault="00000000">
      <w:pPr>
        <w:pStyle w:val="ListParagraph"/>
        <w:numPr>
          <w:ilvl w:val="0"/>
          <w:numId w:val="2"/>
        </w:numPr>
        <w:spacing w:after="60" w:line="255" w:lineRule="auto"/>
      </w:pPr>
      <w:r>
        <w:rPr>
          <w:b/>
          <w:bCs/>
        </w:rPr>
        <w:t xml:space="preserve">India - debt, inflation and FDI cover. </w:t>
      </w:r>
      <w:r>
        <w:t>Debt rose about 11 points to 82% of GDP, inflation rose from 4.2% to 5.6%, and FDI inflows fell from 1.8% to 1.1% of GDP. Growth accelerated (6.7% to 7.9%) and unemployment fell (an ILO modelled estimate). It is the only country with a slightly negative composite score (-0.07).</w:t>
      </w:r>
    </w:p>
    <w:p w14:paraId="091AA2D2" w14:textId="77777777" w:rsidR="00711C95" w:rsidRDefault="00000000">
      <w:pPr>
        <w:pStyle w:val="ListParagraph"/>
        <w:numPr>
          <w:ilvl w:val="0"/>
          <w:numId w:val="2"/>
        </w:numPr>
        <w:spacing w:after="60" w:line="255" w:lineRule="auto"/>
      </w:pPr>
      <w:r>
        <w:rPr>
          <w:b/>
          <w:bCs/>
        </w:rPr>
        <w:t xml:space="preserve">Indonesia - the steadiest. </w:t>
      </w:r>
      <w:r>
        <w:t>Inflation fell (4.0% to 2.9%), the current account moved from -2.2% to balance and the trade surplus widened. Debt rose about 11 points but only to 40% of GDP; growth slipped slightly and reserve cover eased to 5.9 months.</w:t>
      </w:r>
    </w:p>
    <w:p w14:paraId="5DE50C5B" w14:textId="77777777" w:rsidR="00711C95" w:rsidRDefault="00000000">
      <w:pPr>
        <w:pStyle w:val="Heading2"/>
        <w:pBdr>
          <w:bottom w:val="single" w:sz="6" w:space="1" w:color="1F3864"/>
        </w:pBdr>
        <w:spacing w:before="170" w:after="70"/>
      </w:pPr>
      <w:r>
        <w:rPr>
          <w:b/>
          <w:bCs/>
          <w:color w:val="1F3864"/>
          <w:sz w:val="22"/>
          <w:szCs w:val="22"/>
        </w:rPr>
        <w:t>2. How did inflation and growth move together?</w:t>
      </w:r>
    </w:p>
    <w:p w14:paraId="3717F67F" w14:textId="77777777" w:rsidR="00711C95" w:rsidRDefault="00000000">
      <w:pPr>
        <w:spacing w:after="90" w:line="260" w:lineRule="auto"/>
      </w:pPr>
      <w:r>
        <w:t xml:space="preserve">Not in any stable way. The pooled correlation across all 100 country-years is </w:t>
      </w:r>
      <w:r>
        <w:rPr>
          <w:b/>
          <w:bCs/>
        </w:rPr>
        <w:t>0.03</w:t>
      </w:r>
      <w:r>
        <w:t xml:space="preserve"> (-0.07 excluding 2020). By country: Brazil -0.15 (-0.28 ex-2020), South Africa -0.07 (-0.29), India 0.00 (0.07), Indonesia +0.25 (0.05). With 25 observations per country, a correlation needs to exceed roughly 0.4 in absolute terms to be statistically significant at 5%, so </w:t>
      </w:r>
      <w:r>
        <w:rPr>
          <w:b/>
          <w:bCs/>
        </w:rPr>
        <w:t>none of these is significant</w:t>
      </w:r>
      <w:r>
        <w:t>.</w:t>
      </w:r>
    </w:p>
    <w:p w14:paraId="2D582E25" w14:textId="77777777" w:rsidR="00711C95" w:rsidRDefault="00000000">
      <w:pPr>
        <w:pStyle w:val="ListParagraph"/>
        <w:numPr>
          <w:ilvl w:val="0"/>
          <w:numId w:val="2"/>
        </w:numPr>
        <w:spacing w:after="60" w:line="255" w:lineRule="auto"/>
      </w:pPr>
      <w:r>
        <w:t>Indonesia's positive full-sample figure is a 2020 artefact: both inflation and growth fell in the COVID year, and the relationship disappears when 2020 is removed.</w:t>
      </w:r>
    </w:p>
    <w:p w14:paraId="2AEF0A46" w14:textId="77777777" w:rsidR="00711C95" w:rsidRDefault="00000000">
      <w:pPr>
        <w:pStyle w:val="ListParagraph"/>
        <w:numPr>
          <w:ilvl w:val="0"/>
          <w:numId w:val="2"/>
        </w:numPr>
        <w:spacing w:after="60" w:line="255" w:lineRule="auto"/>
      </w:pPr>
      <w:r>
        <w:t>Brazil and South Africa turn mildly negative excluding 2020, and South Africa's one-year-lead correlation (-0.36, inflation this year vs growth next year) is the strongest in the set. This is suggestive of inflation acting as a drag, not proof.</w:t>
      </w:r>
    </w:p>
    <w:p w14:paraId="2F69E830" w14:textId="77777777" w:rsidR="00711C95" w:rsidRDefault="00000000">
      <w:pPr>
        <w:pStyle w:val="ListParagraph"/>
        <w:numPr>
          <w:ilvl w:val="0"/>
          <w:numId w:val="2"/>
        </w:numPr>
        <w:spacing w:after="60" w:line="255" w:lineRule="auto"/>
      </w:pPr>
      <w:r>
        <w:t>Since 2021 growth rebounded in all four countries while inflation rose in three of them. That pattern is consistent with global supply and price shocks rather than domestic demand overheating, though this analysis cannot test causes.</w:t>
      </w:r>
    </w:p>
    <w:p w14:paraId="0CFD3B3A" w14:textId="77777777" w:rsidR="00711C95" w:rsidRDefault="00000000">
      <w:pPr>
        <w:pStyle w:val="Heading2"/>
        <w:pBdr>
          <w:bottom w:val="single" w:sz="6" w:space="1" w:color="1F3864"/>
        </w:pBdr>
        <w:spacing w:before="170" w:after="70"/>
      </w:pPr>
      <w:r>
        <w:rPr>
          <w:b/>
          <w:bCs/>
          <w:color w:val="1F3864"/>
          <w:sz w:val="22"/>
          <w:szCs w:val="22"/>
        </w:rPr>
        <w:t>3. Which economies had stronger external-sector performance?</w:t>
      </w:r>
    </w:p>
    <w:p w14:paraId="69D5E5FA" w14:textId="77777777" w:rsidR="00711C95" w:rsidRDefault="00000000">
      <w:pPr>
        <w:spacing w:after="90" w:line="260" w:lineRule="auto"/>
      </w:pPr>
      <w:r>
        <w:lastRenderedPageBreak/>
        <w:t xml:space="preserve">Averaging six external measures over the last ten years (current account level and volatility, FDI, trade balance, reserves, currency depreciation), the ranking is </w:t>
      </w:r>
      <w:r>
        <w:rPr>
          <w:b/>
          <w:bCs/>
        </w:rPr>
        <w:t>Brazil 2.33, Indonesia 2.33, India 2.50, South Africa 2.83</w:t>
      </w:r>
      <w:r>
        <w:t xml:space="preserve"> (1 = best). The top three are close, and the answer depends on the criterion:</w:t>
      </w:r>
    </w:p>
    <w:p w14:paraId="4DE493B7" w14:textId="77777777" w:rsidR="00711C95" w:rsidRDefault="00000000">
      <w:pPr>
        <w:pStyle w:val="ListParagraph"/>
        <w:numPr>
          <w:ilvl w:val="0"/>
          <w:numId w:val="2"/>
        </w:numPr>
        <w:spacing w:after="60" w:line="255" w:lineRule="auto"/>
      </w:pPr>
      <w:r>
        <w:rPr>
          <w:b/>
          <w:bCs/>
        </w:rPr>
        <w:t xml:space="preserve">Buffers: Brazil. </w:t>
      </w:r>
      <w:r>
        <w:t>FDI averaged 3.4% of GDP and reserves 12.3 months of imports, but it has the largest average current account deficit (-2.3%) and by far the weakest currency (about 9.6% average annual depreciation).</w:t>
      </w:r>
    </w:p>
    <w:p w14:paraId="5503C2E6" w14:textId="77777777" w:rsidR="00711C95" w:rsidRDefault="00000000">
      <w:pPr>
        <w:pStyle w:val="ListParagraph"/>
        <w:numPr>
          <w:ilvl w:val="0"/>
          <w:numId w:val="2"/>
        </w:numPr>
        <w:spacing w:after="60" w:line="255" w:lineRule="auto"/>
      </w:pPr>
      <w:r>
        <w:rPr>
          <w:b/>
          <w:bCs/>
        </w:rPr>
        <w:t xml:space="preserve">Stability: Indonesia. </w:t>
      </w:r>
      <w:r>
        <w:t>Small current account deficit (-1.1%), low depreciation (about 3% a year) and a trade surplus (1.3% of GDP on average). It has moved to a small current account surplus since 2021.</w:t>
      </w:r>
    </w:p>
    <w:p w14:paraId="0C58CF38" w14:textId="77777777" w:rsidR="00711C95" w:rsidRDefault="00000000">
      <w:pPr>
        <w:pStyle w:val="ListParagraph"/>
        <w:numPr>
          <w:ilvl w:val="0"/>
          <w:numId w:val="2"/>
        </w:numPr>
        <w:spacing w:after="60" w:line="255" w:lineRule="auto"/>
      </w:pPr>
      <w:r>
        <w:rPr>
          <w:b/>
          <w:bCs/>
        </w:rPr>
        <w:t xml:space="preserve">India: </w:t>
      </w:r>
      <w:r>
        <w:t>similarly low depreciation and current account deficit (-1.05%), but the only persistent deficit in goods and services (about -2.3% of GDP), which is why it ranks below Brazil and Indonesia.</w:t>
      </w:r>
    </w:p>
    <w:p w14:paraId="46124CC5" w14:textId="77777777" w:rsidR="00711C95" w:rsidRDefault="00000000">
      <w:pPr>
        <w:pStyle w:val="ListParagraph"/>
        <w:numPr>
          <w:ilvl w:val="0"/>
          <w:numId w:val="2"/>
        </w:numPr>
        <w:spacing w:after="60" w:line="255" w:lineRule="auto"/>
      </w:pPr>
      <w:r>
        <w:rPr>
          <w:b/>
          <w:bCs/>
        </w:rPr>
        <w:t xml:space="preserve">South Africa: </w:t>
      </w:r>
      <w:r>
        <w:t>the largest trade surplus (1.7%) and most export-intensive economy (about 30% of GDP), but the most volatile current account (standard deviation 2.5 points) and the thinnest reserves (5.4 months). Its recent surplus may be linked to commodity prices; that is a hypothesis to test, not a finding.</w:t>
      </w:r>
    </w:p>
    <w:p w14:paraId="4717E899" w14:textId="77777777" w:rsidR="00711C95" w:rsidRDefault="00000000">
      <w:pPr>
        <w:pStyle w:val="Heading2"/>
        <w:pBdr>
          <w:bottom w:val="single" w:sz="6" w:space="1" w:color="1F3864"/>
        </w:pBdr>
        <w:spacing w:before="170" w:after="70"/>
      </w:pPr>
      <w:r>
        <w:rPr>
          <w:b/>
          <w:bCs/>
          <w:color w:val="1F3864"/>
          <w:sz w:val="22"/>
          <w:szCs w:val="22"/>
        </w:rPr>
        <w:t>4. What could signal rising financial vulnerability?</w:t>
      </w:r>
    </w:p>
    <w:p w14:paraId="7B4316E9" w14:textId="77777777" w:rsidR="00711C95" w:rsidRDefault="00000000">
      <w:pPr>
        <w:pStyle w:val="ListParagraph"/>
        <w:numPr>
          <w:ilvl w:val="0"/>
          <w:numId w:val="2"/>
        </w:numPr>
        <w:spacing w:after="60" w:line="255" w:lineRule="auto"/>
      </w:pPr>
      <w:r>
        <w:rPr>
          <w:b/>
          <w:bCs/>
        </w:rPr>
        <w:t xml:space="preserve">Debt level and trajectory. </w:t>
      </w:r>
      <w:r>
        <w:t>Debt above 60% of GDP triggered a flag in every year for Brazil and India, and in each year since 2020 for South Africa. South Africa's +23 points is the fastest rise; Indonesia has never crossed the line.</w:t>
      </w:r>
    </w:p>
    <w:p w14:paraId="57D2E6F9" w14:textId="77777777" w:rsidR="00711C95" w:rsidRDefault="00000000">
      <w:pPr>
        <w:pStyle w:val="ListParagraph"/>
        <w:numPr>
          <w:ilvl w:val="0"/>
          <w:numId w:val="2"/>
        </w:numPr>
        <w:spacing w:after="60" w:line="255" w:lineRule="auto"/>
      </w:pPr>
      <w:r>
        <w:rPr>
          <w:b/>
          <w:bCs/>
        </w:rPr>
        <w:t xml:space="preserve">Falling reserve cover </w:t>
      </w:r>
      <w:r>
        <w:t>against a weakening currency: Brazil's decline in months of imports is the early-warning pattern to monitor.</w:t>
      </w:r>
    </w:p>
    <w:p w14:paraId="50F3C1E3" w14:textId="77777777" w:rsidR="00711C95" w:rsidRDefault="00000000">
      <w:pPr>
        <w:pStyle w:val="ListParagraph"/>
        <w:numPr>
          <w:ilvl w:val="0"/>
          <w:numId w:val="2"/>
        </w:numPr>
        <w:spacing w:after="60" w:line="255" w:lineRule="auto"/>
      </w:pPr>
      <w:r>
        <w:rPr>
          <w:b/>
          <w:bCs/>
        </w:rPr>
        <w:t xml:space="preserve">Current account not covered by FDI. </w:t>
      </w:r>
      <w:r>
        <w:t>India's deficit (-1.3% of GDP) now exceeds FDI inflows (1.1%), so the gap must be financed by portfolio or debt flows, which are more reversible. With debt already above 80%, that combination is India's main vulnerability. Brazil and Indonesia are covered by FDI; South Africa has both a surplus and FDI.</w:t>
      </w:r>
    </w:p>
    <w:p w14:paraId="3261FCBB" w14:textId="77777777" w:rsidR="00711C95" w:rsidRDefault="00000000">
      <w:pPr>
        <w:pStyle w:val="ListParagraph"/>
        <w:numPr>
          <w:ilvl w:val="0"/>
          <w:numId w:val="2"/>
        </w:numPr>
        <w:spacing w:after="60" w:line="255" w:lineRule="auto"/>
      </w:pPr>
      <w:r>
        <w:rPr>
          <w:b/>
          <w:bCs/>
        </w:rPr>
        <w:t xml:space="preserve">Sharp currency falls </w:t>
      </w:r>
      <w:r>
        <w:t xml:space="preserve">(above 15% in a year triggered a flag for Brazil in 2020) and </w:t>
      </w:r>
      <w:r>
        <w:rPr>
          <w:b/>
          <w:bCs/>
        </w:rPr>
        <w:t>very high unemployment</w:t>
      </w:r>
      <w:r>
        <w:t xml:space="preserve"> (South Africa above 30%), which limits the tax base and policy room.</w:t>
      </w:r>
    </w:p>
    <w:p w14:paraId="74294E8C" w14:textId="77777777" w:rsidR="00711C95" w:rsidRDefault="00000000">
      <w:pPr>
        <w:spacing w:before="60" w:after="90"/>
      </w:pPr>
      <w:r>
        <w:t xml:space="preserve">Average stress flags per year over the last decade: </w:t>
      </w:r>
      <w:r>
        <w:rPr>
          <w:b/>
          <w:bCs/>
        </w:rPr>
        <w:t>Brazil 2.3, South Africa 2.0, India 1.1, Indonesia 0.1</w:t>
      </w:r>
      <w:r>
        <w:t>. India's score is driven almost entirely by the debt flag.</w:t>
      </w:r>
    </w:p>
    <w:p w14:paraId="6FB74F09" w14:textId="77777777" w:rsidR="00711C95" w:rsidRDefault="00000000">
      <w:pPr>
        <w:pStyle w:val="Heading2"/>
        <w:pBdr>
          <w:bottom w:val="single" w:sz="6" w:space="1" w:color="1F3864"/>
        </w:pBdr>
        <w:spacing w:before="170" w:after="70"/>
      </w:pPr>
      <w:r>
        <w:rPr>
          <w:b/>
          <w:bCs/>
          <w:color w:val="1F3864"/>
          <w:sz w:val="22"/>
          <w:szCs w:val="22"/>
        </w:rPr>
        <w:t>Data notes and limitations</w:t>
      </w:r>
    </w:p>
    <w:p w14:paraId="666007F9" w14:textId="77777777" w:rsidR="00711C95" w:rsidRDefault="00000000">
      <w:pPr>
        <w:pStyle w:val="ListParagraph"/>
        <w:numPr>
          <w:ilvl w:val="0"/>
          <w:numId w:val="2"/>
        </w:numPr>
        <w:spacing w:after="60" w:line="255" w:lineRule="auto"/>
      </w:pPr>
      <w:r>
        <w:t>Government debt comes from the IMF WEO (April 2025 vintage, republished by FRED): actuals to 2023 and an IMF estimate for 2024. India's figure is general government and may differ from national definitions. The World Bank central-government series was too patchy to use (Indonesia has 4 observations).</w:t>
      </w:r>
    </w:p>
    <w:p w14:paraId="0D1ED777" w14:textId="77777777" w:rsidR="00711C95" w:rsidRDefault="00000000">
      <w:pPr>
        <w:pStyle w:val="ListParagraph"/>
        <w:numPr>
          <w:ilvl w:val="0"/>
          <w:numId w:val="2"/>
        </w:numPr>
        <w:spacing w:after="60" w:line="255" w:lineRule="auto"/>
      </w:pPr>
      <w:r>
        <w:t>The 2015-19 baseline includes Brazil's recession and 2021-24 includes post-COVID rebounds, so growth comparisons partly reflect base effects. 2020 is excluded as a one-off shock.</w:t>
      </w:r>
    </w:p>
    <w:p w14:paraId="733CBB4E" w14:textId="77777777" w:rsidR="00711C95" w:rsidRDefault="00000000">
      <w:pPr>
        <w:pStyle w:val="ListParagraph"/>
        <w:numPr>
          <w:ilvl w:val="0"/>
          <w:numId w:val="2"/>
        </w:numPr>
        <w:spacing w:after="60" w:line="255" w:lineRule="auto"/>
      </w:pPr>
      <w:r>
        <w:t>Composite z-scores pool all country-years and give equal weight to nine indicators, so they are only a rough guide. Unemployment is an ILO modelled estimate. Flag thresholds are rules of thumb, not forecasts. Correlations are not causal and samples are small (n = 25).</w:t>
      </w:r>
    </w:p>
    <w:sectPr w:rsidR="00711C95">
      <w:footerReference w:type="default" r:id="rId7"/>
      <w:pgSz w:w="11906" w:h="16838"/>
      <w:pgMar w:top="10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AA4BA" w14:textId="77777777" w:rsidR="007174D2" w:rsidRDefault="007174D2">
      <w:r>
        <w:separator/>
      </w:r>
    </w:p>
  </w:endnote>
  <w:endnote w:type="continuationSeparator" w:id="0">
    <w:p w14:paraId="044671F5" w14:textId="77777777" w:rsidR="007174D2" w:rsidRDefault="00717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91108" w14:textId="77777777" w:rsidR="00711C95" w:rsidRDefault="00000000">
    <w:pPr>
      <w:jc w:val="center"/>
    </w:pPr>
    <w:r>
      <w:rPr>
        <w:color w:val="666666"/>
        <w:sz w:val="15"/>
        <w:szCs w:val="15"/>
      </w:rPr>
      <w:t xml:space="preserve">Source: World Bank WDI (via Indicators API), 2000-2024; own calculations. Page </w:t>
    </w:r>
    <w:r>
      <w:rPr>
        <w:color w:val="666666"/>
        <w:sz w:val="15"/>
        <w:szCs w:val="15"/>
      </w:rPr>
      <w:fldChar w:fldCharType="begin"/>
    </w:r>
    <w:r>
      <w:rPr>
        <w:color w:val="666666"/>
        <w:sz w:val="15"/>
        <w:szCs w:val="15"/>
      </w:rPr>
      <w:instrText>PAGE</w:instrText>
    </w:r>
    <w:r>
      <w:rPr>
        <w:color w:val="666666"/>
        <w:sz w:val="15"/>
        <w:szCs w:val="15"/>
      </w:rPr>
      <w:fldChar w:fldCharType="separate"/>
    </w:r>
    <w:r w:rsidR="00EA493A">
      <w:rPr>
        <w:noProof/>
        <w:color w:val="666666"/>
        <w:sz w:val="15"/>
        <w:szCs w:val="15"/>
      </w:rPr>
      <w:t>1</w:t>
    </w:r>
    <w:r>
      <w:rPr>
        <w:color w:val="6666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4EAD6" w14:textId="77777777" w:rsidR="007174D2" w:rsidRDefault="007174D2">
      <w:r>
        <w:separator/>
      </w:r>
    </w:p>
  </w:footnote>
  <w:footnote w:type="continuationSeparator" w:id="0">
    <w:p w14:paraId="6EB4F56B" w14:textId="77777777" w:rsidR="007174D2" w:rsidRDefault="007174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C259E"/>
    <w:multiLevelType w:val="hybridMultilevel"/>
    <w:tmpl w:val="41640DD0"/>
    <w:lvl w:ilvl="0" w:tplc="361AD068">
      <w:start w:val="1"/>
      <w:numFmt w:val="bullet"/>
      <w:lvlText w:val="●"/>
      <w:lvlJc w:val="left"/>
      <w:pPr>
        <w:ind w:left="720" w:hanging="360"/>
      </w:pPr>
    </w:lvl>
    <w:lvl w:ilvl="1" w:tplc="A128F7FC">
      <w:start w:val="1"/>
      <w:numFmt w:val="bullet"/>
      <w:lvlText w:val="○"/>
      <w:lvlJc w:val="left"/>
      <w:pPr>
        <w:ind w:left="1440" w:hanging="360"/>
      </w:pPr>
    </w:lvl>
    <w:lvl w:ilvl="2" w:tplc="44DAC7A0">
      <w:start w:val="1"/>
      <w:numFmt w:val="bullet"/>
      <w:lvlText w:val="■"/>
      <w:lvlJc w:val="left"/>
      <w:pPr>
        <w:ind w:left="2160" w:hanging="360"/>
      </w:pPr>
    </w:lvl>
    <w:lvl w:ilvl="3" w:tplc="CC7EA106">
      <w:start w:val="1"/>
      <w:numFmt w:val="bullet"/>
      <w:lvlText w:val="●"/>
      <w:lvlJc w:val="left"/>
      <w:pPr>
        <w:ind w:left="2880" w:hanging="360"/>
      </w:pPr>
    </w:lvl>
    <w:lvl w:ilvl="4" w:tplc="0AC20B88">
      <w:start w:val="1"/>
      <w:numFmt w:val="bullet"/>
      <w:lvlText w:val="○"/>
      <w:lvlJc w:val="left"/>
      <w:pPr>
        <w:ind w:left="3600" w:hanging="360"/>
      </w:pPr>
    </w:lvl>
    <w:lvl w:ilvl="5" w:tplc="C97C2D92">
      <w:start w:val="1"/>
      <w:numFmt w:val="bullet"/>
      <w:lvlText w:val="■"/>
      <w:lvlJc w:val="left"/>
      <w:pPr>
        <w:ind w:left="4320" w:hanging="360"/>
      </w:pPr>
    </w:lvl>
    <w:lvl w:ilvl="6" w:tplc="BE24F9DE">
      <w:start w:val="1"/>
      <w:numFmt w:val="bullet"/>
      <w:lvlText w:val="●"/>
      <w:lvlJc w:val="left"/>
      <w:pPr>
        <w:ind w:left="5040" w:hanging="360"/>
      </w:pPr>
    </w:lvl>
    <w:lvl w:ilvl="7" w:tplc="6EC02BEE">
      <w:start w:val="1"/>
      <w:numFmt w:val="bullet"/>
      <w:lvlText w:val="●"/>
      <w:lvlJc w:val="left"/>
      <w:pPr>
        <w:ind w:left="5760" w:hanging="360"/>
      </w:pPr>
    </w:lvl>
    <w:lvl w:ilvl="8" w:tplc="B1941F38">
      <w:start w:val="1"/>
      <w:numFmt w:val="bullet"/>
      <w:lvlText w:val="●"/>
      <w:lvlJc w:val="left"/>
      <w:pPr>
        <w:ind w:left="6480" w:hanging="360"/>
      </w:pPr>
    </w:lvl>
  </w:abstractNum>
  <w:abstractNum w:abstractNumId="1" w15:restartNumberingAfterBreak="0">
    <w:nsid w:val="64090AEF"/>
    <w:multiLevelType w:val="hybridMultilevel"/>
    <w:tmpl w:val="6EFE69CC"/>
    <w:lvl w:ilvl="0" w:tplc="38D83756">
      <w:start w:val="1"/>
      <w:numFmt w:val="bullet"/>
      <w:lvlText w:val="•"/>
      <w:lvlJc w:val="left"/>
      <w:pPr>
        <w:ind w:left="360" w:hanging="220"/>
      </w:pPr>
    </w:lvl>
    <w:lvl w:ilvl="1" w:tplc="700A8E00">
      <w:numFmt w:val="decimal"/>
      <w:lvlText w:val=""/>
      <w:lvlJc w:val="left"/>
    </w:lvl>
    <w:lvl w:ilvl="2" w:tplc="1E9221CC">
      <w:numFmt w:val="decimal"/>
      <w:lvlText w:val=""/>
      <w:lvlJc w:val="left"/>
    </w:lvl>
    <w:lvl w:ilvl="3" w:tplc="DCBC9852">
      <w:numFmt w:val="decimal"/>
      <w:lvlText w:val=""/>
      <w:lvlJc w:val="left"/>
    </w:lvl>
    <w:lvl w:ilvl="4" w:tplc="F9527CF2">
      <w:numFmt w:val="decimal"/>
      <w:lvlText w:val=""/>
      <w:lvlJc w:val="left"/>
    </w:lvl>
    <w:lvl w:ilvl="5" w:tplc="C6900B1C">
      <w:numFmt w:val="decimal"/>
      <w:lvlText w:val=""/>
      <w:lvlJc w:val="left"/>
    </w:lvl>
    <w:lvl w:ilvl="6" w:tplc="93B60F8A">
      <w:numFmt w:val="decimal"/>
      <w:lvlText w:val=""/>
      <w:lvlJc w:val="left"/>
    </w:lvl>
    <w:lvl w:ilvl="7" w:tplc="9C9ED122">
      <w:numFmt w:val="decimal"/>
      <w:lvlText w:val=""/>
      <w:lvlJc w:val="left"/>
    </w:lvl>
    <w:lvl w:ilvl="8" w:tplc="8DB00C82">
      <w:numFmt w:val="decimal"/>
      <w:lvlText w:val=""/>
      <w:lvlJc w:val="left"/>
    </w:lvl>
  </w:abstractNum>
  <w:num w:numId="1" w16cid:durableId="1309824853">
    <w:abstractNumId w:val="0"/>
    <w:lvlOverride w:ilvl="0">
      <w:startOverride w:val="1"/>
    </w:lvlOverride>
  </w:num>
  <w:num w:numId="2" w16cid:durableId="2825416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C95"/>
    <w:rsid w:val="00711C95"/>
    <w:rsid w:val="007174D2"/>
    <w:rsid w:val="00B65436"/>
    <w:rsid w:val="00EA49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E1EA6"/>
  <w15:docId w15:val="{A43C94D3-9E8E-4D04-B73A-181DA4F78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1074</Words>
  <Characters>6126</Characters>
  <Application>Microsoft Office Word</Application>
  <DocSecurity>0</DocSecurity>
  <Lines>51</Lines>
  <Paragraphs>14</Paragraphs>
  <ScaleCrop>false</ScaleCrop>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Devanshi Chouhan (MBBA_2029)</cp:lastModifiedBy>
  <cp:revision>2</cp:revision>
  <dcterms:created xsi:type="dcterms:W3CDTF">2026-09-28T09:06:00Z</dcterms:created>
  <dcterms:modified xsi:type="dcterms:W3CDTF">2026-09-28T09:06:00Z</dcterms:modified>
</cp:coreProperties>
</file>