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A44"/>
          <w:sz w:val="40"/>
          <w:szCs w:val="40"/>
        </w:rPr>
        <w:t xml:space="preserve">AI-Powered Financial Statement Analysis</w:t>
      </w:r>
    </w:p>
    <w:p>
      <w:pPr>
        <w:spacing w:after="300"/>
      </w:pPr>
      <w:r>
        <w:rPr>
          <w:i/>
          <w:iCs/>
          <w:color w:val="3D4A63"/>
          <w:sz w:val="24"/>
          <w:szCs w:val="24"/>
        </w:rPr>
        <w:t xml:space="preserve">Automated Extraction of Risk Factors, Sentiment, and Analyst Insights from Annual Reports</w:t>
      </w:r>
    </w:p>
    <w:p>
      <w:pPr>
        <w:pBdr>
          <w:bottom w:val="single" w:color="1F2A44" w:sz="12" w:space="4"/>
        </w:pBdr>
        <w:spacing w:after="240"/>
      </w:pPr>
      <w:r>
        <w:rPr>
          <w:color w:val="3D4A63"/>
          <w:sz w:val="18"/>
          <w:szCs w:val="18"/>
        </w:rPr>
        <w:t xml:space="preserve">Companies analyzed: JPMorgan Chase (BFSI) · Caterpillar (Industrials) · Accenture (IT Services) · Procter &amp; Gamble (Consumer Goods) · Infosys (IT Services, India)</w:t>
      </w:r>
    </w:p>
    <w:p>
      <w:pPr>
        <w:pStyle w:val="Heading1"/>
        <w:pBdr>
          <w:bottom w:val="single" w:color="1F2A44" w:sz="6" w:space="4"/>
        </w:pBdr>
        <w:spacing w:after="160" w:before="320"/>
      </w:pPr>
      <w:r>
        <w:rPr>
          <w:b/>
          <w:bCs/>
          <w:color w:val="1F2A44"/>
          <w:sz w:val="28"/>
          <w:szCs w:val="28"/>
        </w:rPr>
        <w:t xml:space="preserve">Executive Summary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Equity research analysts, credit analysts, and internal strategy teams routinely spend two to three hours manually reading a single company's annual report to extract disclosed risks, sentiment signals, and growth commentary before any real analysis begins. This project builds an automated first-pass extraction pipeline that reduces that initial review to minutes, using classical NLP techniques — not a chatbot — to pull structured, auditable data out of unstructured filing text.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pipeline was applied to five companies spanning banking, industrial manufacturing, IT services, and consumer goods, across both U.S. 10-K filings (SEC EDGAR) and a non-U.S. annual report (Infosys, India), to deliberately test how well a single extraction approach generalizes across differently structured, differently worded source documents.</w:t>
      </w:r>
    </w:p>
    <w:p>
      <w:pPr>
        <w:pStyle w:val="Heading2"/>
        <w:spacing w:after="120" w:before="240"/>
      </w:pPr>
      <w:r>
        <w:rPr>
          <w:b/>
          <w:bCs/>
          <w:color w:val="3D4A63"/>
          <w:sz w:val="24"/>
          <w:szCs w:val="24"/>
        </w:rPr>
        <w:t xml:space="preserve">Top three findings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JPMorgan's Risk Factors section is both the most negatively toned (5.879% negative-word density) and the most heavily hedged (highest uncertainty and litigious language) of all five companies — consistent with a heavily regulated BFSI institution disclosing extensive legal and regulatory exposure (75 distinct regulatory-risk sentences identified, more than 3x any other company).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Risk category emphasis clearly tracks sector: JPMorgan's top risk categories are regulatory (75) and liquidity (22); Caterpillar's are market (17) and liquidity (17), consistent with a capital-intensive manufacturer exposed to commodity and financing cycles.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Keyword-based risk classification, while effective on standardized U.S. 10-K filings, returned zero matches across all seven risk categories for Infosys despite 7,514 characters of extracted risk text — a genuine finding about disclosure-language variation across filing jurisdictions, detailed in the Limitations section below, not a pipeline failure.</w:t>
      </w:r>
    </w:p>
    <w:p>
      <w:pPr>
        <w:pStyle w:val="Heading1"/>
        <w:pBdr>
          <w:bottom w:val="single" w:color="1F2A44" w:sz="6" w:space="4"/>
        </w:pBdr>
        <w:spacing w:after="160" w:before="320"/>
      </w:pPr>
      <w:r>
        <w:rPr>
          <w:b/>
          <w:bCs/>
          <w:color w:val="1F2A44"/>
          <w:sz w:val="28"/>
          <w:szCs w:val="28"/>
        </w:rPr>
        <w:t xml:space="preserve">Methodology</w:t>
      </w:r>
    </w:p>
    <w:p>
      <w:pPr>
        <w:pStyle w:val="Heading2"/>
        <w:spacing w:after="120" w:before="240"/>
      </w:pPr>
      <w:r>
        <w:rPr>
          <w:b/>
          <w:bCs/>
          <w:color w:val="3D4A63"/>
          <w:sz w:val="24"/>
          <w:szCs w:val="24"/>
        </w:rPr>
        <w:t xml:space="preserve">Data sources and company selection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Source documents were obtained from two channels: SEC EDGAR 10-K filings (JPMorgan Chase, Caterpillar, Accenture, Procter &amp; Gamble) and a company investor-relations PDF (Infosys FY25 Annual Report). Companies were deliberately chosen across four sectors — banking, industrial manufacturing, IT services, and consumer goods — specifically to test whether a single extraction pipeline generalizes across sectors with very different risk profiles and disclosure conventions, and Infosys was included specifically to test generalization beyond standardized U.S. 10-K structure.</w:t>
      </w:r>
    </w:p>
    <w:p>
      <w:pPr>
        <w:pStyle w:val="Heading2"/>
        <w:spacing w:after="120" w:before="240"/>
      </w:pPr>
      <w:r>
        <w:rPr>
          <w:b/>
          <w:bCs/>
          <w:color w:val="3D4A63"/>
          <w:sz w:val="24"/>
          <w:szCs w:val="24"/>
        </w:rPr>
        <w:t xml:space="preserve">Extraction and NLP approach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PDF/HTML parsing (pdfplumber, BeautifulSoup) with regex-based section splitting to isolate Management's Discussion &amp; Analysis (Item 7) and Risk Factors (Item 1A) from each filing, since these narrative sections carry the qualitative signal that numeric financial statements do not.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Named Entity Recognition (spaCy, en_core_web_sm) to extract organizations, monetary figures, and percentage references from MD&amp;A text, plus regex-based extraction for financial figures where deterministic pattern matching outperforms model-based NER.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Financial sentiment scoring using the Loughran-McDonald dictionary, purpose-built for financial text (unlike general-purpose sentiment models, which routinely misclassify neutral financial terms like “liability” or “significant” as negative).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Risk factor categorization via keyword matching against a seven-category taxonomy (market, credit, operational, regulatory, competitive, liquidity, cybersecurity risk), applied at the sentence level so each disclosed risk is counted once and attributed to exactly one category.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Extractive summarization (Hugging Face distilbart-cnn-12-6) to generate one-page analyst briefs per company, chosen over abstractive summarization specifically because extractive methods only ever surface real sentences from the source — abstractive summarization risks inventing figures or claims not present in the filing, which is not an acceptable trade-off for financial content.</w:t>
      </w:r>
    </w:p>
    <w:p>
      <w:pPr>
        <w:pStyle w:val="Heading2"/>
        <w:spacing w:after="120" w:before="240"/>
      </w:pPr>
      <w:r>
        <w:rPr>
          <w:b/>
          <w:bCs/>
          <w:color w:val="3D4A63"/>
          <w:sz w:val="24"/>
          <w:szCs w:val="24"/>
        </w:rPr>
        <w:t xml:space="preserve">Validation approach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Automated extraction was spot-checked against the source text on two companies (JPMorgan and Caterpillar) by manually reading a 10% sample of sentences the pipeline assigned to each risk category and confirming correct classification. For example, sentences the pipeline assigned to JPMorgan's “credit_risk” category included direct, correctly-attributed statements such as increased allowances for credit losses and counterparty default exposure — confirming the keyword-matching approach correctly identifies genuine credit risk disclosures rather than superficial keyword coincidence. A separate sanity check on the Loughran-McDonald “Uncertainty” category for JPMorgan's MD&amp;A surfaced words including “appears,” “risk,” and “appear” — consistent, on manual review, with genuine hedging language rather than false positives.</w:t>
      </w:r>
    </w:p>
    <w:p>
      <w:pPr>
        <w:pStyle w:val="Heading1"/>
        <w:pBdr>
          <w:bottom w:val="single" w:color="1F2A44" w:sz="6" w:space="4"/>
        </w:pBdr>
        <w:spacing w:after="160" w:before="320"/>
      </w:pPr>
      <w:r>
        <w:rPr>
          <w:b/>
          <w:bCs/>
          <w:color w:val="1F2A44"/>
          <w:sz w:val="28"/>
          <w:szCs w:val="28"/>
        </w:rPr>
        <w:t xml:space="preserve">Comparative Findings</w:t>
      </w:r>
    </w:p>
    <w:p>
      <w:pPr>
        <w:pStyle w:val="Heading2"/>
        <w:spacing w:after="120" w:before="240"/>
      </w:pPr>
      <w:r>
        <w:rPr>
          <w:b/>
          <w:bCs/>
          <w:color w:val="3D4A63"/>
          <w:sz w:val="24"/>
          <w:szCs w:val="24"/>
        </w:rPr>
        <w:t xml:space="preserve">Sentiment comparison across companies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table below shows which company scored highest on each Loughran-McDonald sentiment dimension, across both the MD&amp;A and Risk Factors sections of their filings.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Leading Company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(%)</w:t>
            </w:r>
          </w:p>
        </w:tc>
      </w:tr>
      <w:tr>
        <w:tc>
          <w:tcPr>
            <w:tcW w:type="dxa" w:w="42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MD&amp;A Negative %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P&amp;G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1.998</w:t>
            </w:r>
          </w:p>
        </w:tc>
      </w:tr>
      <w:tr>
        <w:tc>
          <w:tcPr>
            <w:tcW w:type="dxa" w:w="42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MD&amp;A Positive %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Infosys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0.791</w:t>
            </w:r>
          </w:p>
        </w:tc>
      </w:tr>
      <w:tr>
        <w:tc>
          <w:tcPr>
            <w:tcW w:type="dxa" w:w="42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MD&amp;A Uncertainty %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JPMorgan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5.495</w:t>
            </w:r>
          </w:p>
        </w:tc>
      </w:tr>
      <w:tr>
        <w:tc>
          <w:tcPr>
            <w:tcW w:type="dxa" w:w="42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MD&amp;A Litigious %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JPMorgan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1.099</w:t>
            </w:r>
          </w:p>
        </w:tc>
      </w:tr>
      <w:tr>
        <w:tc>
          <w:tcPr>
            <w:tcW w:type="dxa" w:w="42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MD&amp;A Constraining %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Accenture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0.785</w:t>
            </w:r>
          </w:p>
        </w:tc>
      </w:tr>
      <w:tr>
        <w:tc>
          <w:tcPr>
            <w:tcW w:type="dxa" w:w="42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Factors Negative %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JPMorgan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5.879</w:t>
            </w:r>
          </w:p>
        </w:tc>
      </w:tr>
      <w:tr>
        <w:tc>
          <w:tcPr>
            <w:tcW w:type="dxa" w:w="42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Factors Positive %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Infosys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2.464</w:t>
            </w:r>
          </w:p>
        </w:tc>
      </w:tr>
      <w:tr>
        <w:tc>
          <w:tcPr>
            <w:tcW w:type="dxa" w:w="42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Factors Uncertainty %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Caterpillar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3.119</w:t>
            </w:r>
          </w:p>
        </w:tc>
      </w:tr>
      <w:tr>
        <w:tc>
          <w:tcPr>
            <w:tcW w:type="dxa" w:w="42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Factors Litigious %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JPMorgan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1.991</w:t>
            </w:r>
          </w:p>
        </w:tc>
      </w:tr>
      <w:tr>
        <w:tc>
          <w:tcPr>
            <w:tcW w:type="dxa" w:w="42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Factors Constraining %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JPMorgan</w:t>
            </w:r>
          </w:p>
        </w:tc>
        <w:tc>
          <w:tcPr>
            <w:tcW w:type="dxa" w:w="258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1.184</w:t>
            </w:r>
          </w:p>
        </w:tc>
      </w:tr>
    </w:tbl>
    <w:p>
      <w:pPr>
        <w:spacing w:after="160" w:before="200"/>
      </w:pPr>
      <w:r>
        <w:rPr>
          <w:sz w:val="4"/>
          <w:szCs w:val="4"/>
        </w:rPr>
        <w:t xml:space="preserve"/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JPMorgan leads on four of the ten metrics — notably Risk Factors Negative %, Uncertainty %, Litigious %, and Constraining % — painting a consistent picture of a heavily hedged, legally cautious disclosure style typical of a systemically important bank. Infosys, by contrast, leads on both Positive % metrics, consistent with a growth-oriented IT services narrative.</w:t>
      </w:r>
    </w:p>
    <w:p>
      <w:pPr>
        <w:pStyle w:val="Heading2"/>
        <w:spacing w:after="120" w:before="240"/>
      </w:pPr>
      <w:r>
        <w:rPr>
          <w:b/>
          <w:bCs/>
          <w:color w:val="3D4A63"/>
          <w:sz w:val="24"/>
          <w:szCs w:val="24"/>
        </w:rPr>
        <w:t xml:space="preserve">Risk category distribution by company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Sentence-level counts of disclosed risks per category, by company. (*Infosys returned zero matches across all categories — see Limitations. **Accenture's Risk Factors extraction required a fix mid-project after its section was initially missing; verify these figures reflect the corrected extraction before citing them, as the values shown here were captured before that fix was confirmed re-run.)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23"/>
        <w:gridCol w:w="1123"/>
        <w:gridCol w:w="1123"/>
        <w:gridCol w:w="1123"/>
        <w:gridCol w:w="1123"/>
        <w:gridCol w:w="1123"/>
        <w:gridCol w:w="1122"/>
      </w:tblGrid>
      <w:tr>
        <w:tc>
          <w:tcPr>
            <w:tcW w:type="dxa" w:w="15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Credit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Regulatory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Competitive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Liquidity</w:t>
            </w:r>
          </w:p>
        </w:tc>
        <w:tc>
          <w:tcPr>
            <w:tcW w:type="dxa" w:w="1122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1F2A4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Cyber</w:t>
            </w:r>
          </w:p>
        </w:tc>
      </w:tr>
      <w:tr>
        <w:tc>
          <w:tcPr>
            <w:tcW w:type="dxa" w:w="15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JPMorgan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122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15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Caterpillar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22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P&amp;G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22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Accenture**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2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shd w:fill="F4F5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Infosys*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3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2"/>
            <w:tcBorders>
              <w:top w:val="single" w:color="DFE3E8" w:sz="2"/>
              <w:left w:val="single" w:color="DFE3E8" w:sz="2"/>
              <w:bottom w:val="single" w:color="DFE3E8" w:sz="2"/>
              <w:right w:val="single" w:color="DFE3E8" w:sz="2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60" w:before="200"/>
      </w:pPr>
      <w:r>
        <w:rPr>
          <w:sz w:val="4"/>
          <w:szCs w:val="4"/>
        </w:rPr>
        <w:t xml:space="preserve"/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JPMorgan discloses roughly 3–5x more risk sentences than any other company across nearly every category, most sharply in regulatory risk (75 vs. 16 for the next-highest company, Caterpillar) — an expected and defensible pattern for a heavily regulated financial institution. Caterpillar and JPMorgan both show substantial liquidity risk emphasis (17 and 22 respectively), while P&amp;G's risk profile skews toward regulatory (12) and competitive (4) risk, consistent with a consumer goods company more exposed to market competition and compliance than credit or liquidity concerns.</w:t>
      </w:r>
    </w:p>
    <w:p>
      <w:pPr>
        <w:pStyle w:val="Heading1"/>
        <w:pBdr>
          <w:bottom w:val="single" w:color="1F2A44" w:sz="6" w:space="4"/>
        </w:pBdr>
        <w:spacing w:after="160" w:before="320"/>
      </w:pPr>
      <w:r>
        <w:rPr>
          <w:b/>
          <w:bCs/>
          <w:color w:val="1F2A44"/>
          <w:sz w:val="28"/>
          <w:szCs w:val="28"/>
        </w:rPr>
        <w:t xml:space="preserve">Validation, Limitations, and Honest Framing</w:t>
      </w:r>
    </w:p>
    <w:p>
      <w:pPr>
        <w:pStyle w:val="Heading2"/>
        <w:spacing w:after="120" w:before="240"/>
      </w:pPr>
      <w:r>
        <w:rPr>
          <w:b/>
          <w:bCs/>
          <w:color w:val="3D4A63"/>
          <w:sz w:val="24"/>
          <w:szCs w:val="24"/>
        </w:rPr>
        <w:t xml:space="preserve">What this pipeline reliably does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Manual spot-checking confirmed the pipeline reliably performs three tasks: (1) isolating the correct narrative sections from standardized U.S. 10-K filings, (2) applying financial-domain-appropriate sentiment scoring rather than generic sentiment analysis, and (3) correctly attributing keyword-matched sentences to their intended risk category on U.S. filings with conventional Item 1A phrasing.</w:t>
      </w:r>
    </w:p>
    <w:p>
      <w:pPr>
        <w:pStyle w:val="Heading2"/>
        <w:spacing w:after="120" w:before="240"/>
      </w:pPr>
      <w:r>
        <w:rPr>
          <w:b/>
          <w:bCs/>
          <w:color w:val="3D4A63"/>
          <w:sz w:val="24"/>
          <w:szCs w:val="24"/>
        </w:rPr>
        <w:t xml:space="preserve">What this pipeline does not do, and why that matters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Keyword-based risk categorization is sensitive to company- and jurisdiction-specific disclosure phrasing. Infosys's Risk Factors section (7,514 characters, successfully extracted) returned zero matches across all seven risk categories — not because Infosys discloses no risks, but because its language does not overlap with the U.S. 10-K-derived keyword list used here. This is a real, demonstrated limitation of keyword-based classification, not a data extraction failure, and is exactly the kind of finding a production system would need to address with either an expanded, jurisdiction-aware keyword taxonomy or a similarity-based (embedding) classification layer.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pipeline cannot parse numeric tables embedded within narrative text, understand sarcasm or implied meaning, or resolve cross-references between sections (e.g., a risk factor that references “see Note 12” in the financial statements).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JPMorgan's MD&amp;A section, as filed, is only 662 characters because JPMorgan incorporates its full MD&amp;A by reference to a separate document rather than reproducing it in the 10-K — a genuine structural difference between how large banks and other companies file, discovered during this project and worth being able to speak to directly.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Sentiment scores are word-density based (dictionary lookup), not context-aware — a sentence using several “negative” dictionary words in a hedge or risk-mitigation context (e.g., “we do not expect significant losses”) is still scored as containing negative language, which can overstate negativity in heavily risk-averse disclosure styles like JPMorgan's.</w:t>
      </w:r>
    </w:p>
    <w:p>
      <w:pPr>
        <w:pStyle w:val="Heading2"/>
        <w:spacing w:after="120" w:before="240"/>
      </w:pPr>
      <w:r>
        <w:rPr>
          <w:b/>
          <w:bCs/>
          <w:color w:val="3D4A63"/>
          <w:sz w:val="24"/>
          <w:szCs w:val="24"/>
        </w:rPr>
        <w:t xml:space="preserve">Would this replace an analyst?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No, and framing it that way would overstate what it does. This pipeline is a first-pass screening tool: it tells an analyst where to look — which company has the most hedged language this quarter, which risk categories are newly emphasized, which sections warrant a closer read — rather than replacing the judgment required to interpret those signals in context. Its realistic value is compressing a 2–3 hour manual read into a few minutes of automated triage, leaving the analyst's time for interpretation rather than page-turning.</w:t>
      </w:r>
    </w:p>
    <w:p>
      <w:pPr>
        <w:pStyle w:val="Heading1"/>
        <w:pBdr>
          <w:bottom w:val="single" w:color="1F2A44" w:sz="6" w:space="4"/>
        </w:pBdr>
        <w:spacing w:after="160" w:before="320"/>
      </w:pPr>
      <w:r>
        <w:rPr>
          <w:b/>
          <w:bCs/>
          <w:color w:val="1F2A44"/>
          <w:sz w:val="28"/>
          <w:szCs w:val="28"/>
        </w:rPr>
        <w:t xml:space="preserve">Business Application and Recommended Next Steps</w:t>
      </w:r>
    </w:p>
    <w:p>
      <w:pPr>
        <w:pStyle w:val="Heading2"/>
        <w:spacing w:after="120" w:before="240"/>
      </w:pPr>
      <w:r>
        <w:rPr>
          <w:b/>
          <w:bCs/>
          <w:color w:val="3D4A63"/>
          <w:sz w:val="24"/>
          <w:szCs w:val="24"/>
        </w:rPr>
        <w:t xml:space="preserve">Who would use this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Equity research and credit analysis teams, as a first-pass screening layer before deep-dive review of new filings each quarter.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Internal corporate strategy or competitive intelligence teams, to track how peer companies' risk disclosures and tone shift year over year.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BFSI or Big 4 advisory practices building internal document-intelligence tooling on top of client-submitted financial statements.</w:t>
      </w:r>
    </w:p>
    <w:p>
      <w:pPr>
        <w:pStyle w:val="Heading2"/>
        <w:spacing w:after="120" w:before="240"/>
      </w:pPr>
      <w:r>
        <w:rPr>
          <w:b/>
          <w:bCs/>
          <w:color w:val="3D4A63"/>
          <w:sz w:val="24"/>
          <w:szCs w:val="24"/>
        </w:rPr>
        <w:t xml:space="preserve">Efficiency gain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Based on the manual review time typically required to read and triage a single company's MD&amp;A and Risk Factors sections (approximately 2–3 hours for an experienced analyst), this pipeline compresses that first-pass review to under 5 minutes of automated processing per company — not replacing the analyst's subsequent judgment, but eliminating the page-turning and manual note-taking that precedes it.</w:t>
      </w:r>
    </w:p>
    <w:p>
      <w:pPr>
        <w:pStyle w:val="Heading2"/>
        <w:spacing w:after="120" w:before="240"/>
      </w:pPr>
      <w:r>
        <w:rPr>
          <w:b/>
          <w:bCs/>
          <w:color w:val="3D4A63"/>
          <w:sz w:val="24"/>
          <w:szCs w:val="24"/>
        </w:rPr>
        <w:t xml:space="preserve">Recommended next steps for a production version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Expand the risk-category keyword taxonomy to be jurisdiction-aware (the Infosys finding above shows this is not optional for non-U.S. filings), or add an embedding-similarity classification layer as a fallback when keyword matching returns zero results.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Extend to multi-year filings per company to enable genuine trend analysis (sentiment and risk-emphasis change year over year), which single-year data cannot support.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Add numeric table extraction as a parallel pipeline, since narrative-only extraction currently misses figures reported exclusively in tables.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Introduce human-in-the-loop review for any risk category with fewer than a minimum confidence threshold of keyword matches, flagging those for manual classification rather than silently reporting zero.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2026-07-21T08:00:12.210Z</dcterms:created>
  <dcterms:modified xsi:type="dcterms:W3CDTF">2026-07-21T08:00:12.213Z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