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1F4E79"/>
          <w:sz w:val="48"/>
        </w:rPr>
        <w:t>Service-Life Prediction of Solid Rocket Propellants</w:t>
      </w:r>
    </w:p>
    <w:p>
      <w:pPr>
        <w:spacing w:after="800"/>
        <w:jc w:val="center"/>
      </w:pPr>
      <w:r>
        <w:rPr>
          <w:b w:val="0"/>
          <w:i/>
          <w:sz w:val="28"/>
        </w:rPr>
        <w:t>Aging, Cumulative-Damage and Accelerated-Testing Models with a MATLAB Arrhenius Implementation</w:t>
      </w:r>
    </w:p>
    <w:p>
      <w:pPr>
        <w:spacing w:after="80"/>
        <w:jc w:val="center"/>
      </w:pPr>
      <w:r>
        <w:rPr>
          <w:b/>
          <w:i w:val="0"/>
          <w:sz w:val="26"/>
        </w:rPr>
        <w:t>Technical Report</w:t>
      </w:r>
    </w:p>
    <w:p>
      <w:pPr>
        <w:spacing w:after="1200"/>
        <w:jc w:val="center"/>
      </w:pPr>
      <w:r>
        <w:rPr>
          <w:b w:val="0"/>
          <w:i/>
          <w:sz w:val="22"/>
        </w:rPr>
        <w:t>Structural Integrity &amp; Service-Life Assessment of Energetic Materials</w:t>
      </w:r>
    </w:p>
    <w:p>
      <w:pPr>
        <w:spacing w:after="80"/>
        <w:jc w:val="center"/>
      </w:pPr>
      <w:r>
        <w:rPr>
          <w:b w:val="0"/>
          <w:i w:val="0"/>
          <w:sz w:val="22"/>
        </w:rPr>
        <w:t>Prepared by: ______________________</w:t>
      </w:r>
    </w:p>
    <w:p>
      <w:pPr>
        <w:spacing w:after="80"/>
        <w:jc w:val="center"/>
      </w:pPr>
      <w:r>
        <w:rPr>
          <w:b w:val="0"/>
          <w:i w:val="0"/>
          <w:sz w:val="22"/>
        </w:rPr>
        <w:t>Organisation: GTAG</w:t>
      </w:r>
    </w:p>
    <w:p>
      <w:pPr>
        <w:spacing w:after="80"/>
        <w:jc w:val="center"/>
      </w:pPr>
      <w:r>
        <w:rPr>
          <w:b w:val="0"/>
          <w:i w:val="0"/>
          <w:sz w:val="22"/>
        </w:rPr>
        <w:t>Date: ______________________</w:t>
      </w:r>
    </w:p>
    <w:p>
      <w:r>
        <w:br w:type="page"/>
      </w:r>
    </w:p>
    <w:p>
      <w:pPr>
        <w:pStyle w:val="Heading1"/>
      </w:pPr>
      <w:r>
        <w:t>Abstract</w:t>
      </w:r>
    </w:p>
    <w:p>
      <w:pPr>
        <w:spacing w:after="160"/>
      </w:pPr>
      <w:r>
        <w:rPr>
          <w:b w:val="0"/>
          <w:i w:val="0"/>
          <w:sz w:val="22"/>
        </w:rPr>
        <w:t>Solid rocket propellants are visco-elastic, highly filled polymeric composites whose mechanical integrity slowly degrades during storage through coupled chemical and physical aging. Predicting the remaining service life of a propellant grain is therefore central to munition safety, readiness and life-extension decisions. This report reviews the principal models used for solid-propellant aging and service-life prediction — cumulative-damage failure integrals, time–temperature superposition, viscoelastic finite-element analysis, chemical-aging kinetics, handbook/nomograph design methods and non-destructive-testing indicators — and consolidates the governing equations behind them. A practical accelerated-aging model is then implemented in MATLAB: an Arrhenius temperature-acceleration law coupled with a power-law property-degradation rule is used to estimate the time for a normalised mechanical property to fall to a failure threshold over a range of storage temperatures. The model predicts a strong, non-linear reduction in service life with temperature — from roughly 21 years at 25 °C to under 4 months at 70 °C — consistent with the shelf-life ranges reported in the literature. The code, governing formulae and reproducible results are presented together with a practical decision tree for service-life assessment.</w:t>
      </w:r>
    </w:p>
    <w:p>
      <w:r>
        <w:br w:type="page"/>
      </w:r>
    </w:p>
    <w:p>
      <w:pPr>
        <w:pStyle w:val="Heading1"/>
      </w:pPr>
      <w:r>
        <w:t>1. Introduction</w:t>
      </w:r>
    </w:p>
    <w:p>
      <w:pPr>
        <w:spacing w:after="160"/>
      </w:pPr>
      <w:r>
        <w:rPr>
          <w:b w:val="0"/>
          <w:i w:val="0"/>
          <w:sz w:val="22"/>
        </w:rPr>
        <w:t>Composite solid propellants are the energy source of the majority of tactical and strategic rocket motors. Mechanically they behave as a highly filled visco-elastic rubber: an elastomeric binder (most commonly hydroxyl-terminated polybutadiene, HTPB) holds a high volume fraction of oxidiser (ammonium perchlorate, AP) and metallic fuel (aluminium) particles. The grain is bonded to the motor case and must survive ignition pressurisation, thermal cycling, transport vibration and long-term storage without cracking, debonding or losing its designed burning surface.</w:t>
      </w:r>
    </w:p>
    <w:p>
      <w:pPr>
        <w:spacing w:after="160"/>
      </w:pPr>
      <w:r>
        <w:rPr>
          <w:b w:val="0"/>
          <w:i w:val="0"/>
          <w:sz w:val="22"/>
        </w:rPr>
        <w:t>Because a motor may be stored for one to two decades before use, the slow evolution of the propellant’s properties — a process collectively called “aging” — governs its useful life. Aging is driven by two broad mechanisms acting together:</w:t>
      </w:r>
    </w:p>
    <w:p>
      <w:pPr>
        <w:pStyle w:val="ListBullet"/>
        <w:spacing w:after="80"/>
      </w:pPr>
      <w:r>
        <w:rPr>
          <w:b/>
        </w:rPr>
        <w:t xml:space="preserve">Chemical aging — </w:t>
      </w:r>
      <w:r>
        <w:t>continued cross-linking, chain scission and oxidative cure of the binder, together with migration of plasticiser and bonding agents, which usually stiffen and embrittle the material; and</w:t>
      </w:r>
    </w:p>
    <w:p>
      <w:pPr>
        <w:pStyle w:val="ListBullet"/>
        <w:spacing w:after="80"/>
      </w:pPr>
      <w:r>
        <w:rPr>
          <w:b/>
        </w:rPr>
        <w:t xml:space="preserve">Physical / mechanical aging — </w:t>
      </w:r>
      <w:r>
        <w:t>the accumulation of micro-damage (dewetting of filler particles, micro-void growth, interface debonding) under thermal and mechanical loading, which softens and weakens the material.</w:t>
      </w:r>
    </w:p>
    <w:p>
      <w:pPr>
        <w:spacing w:after="160"/>
      </w:pPr>
      <w:r>
        <w:rPr>
          <w:b w:val="0"/>
          <w:i w:val="0"/>
          <w:sz w:val="22"/>
        </w:rPr>
        <w:t>Both mechanisms are strongly temperature-accelerated, so elevated-temperature testing is used to compress decades of natural aging into a few weeks or months in the laboratory. The central engineering question is then how to translate those accelerated measurements into a defensible estimate of service life at the real storage temperature. This report surveys the models that answer that question and demonstrates a compact, reproducible implementation of the most widely used one — the Arrhenius acceleration model.</w:t>
      </w:r>
    </w:p>
    <w:p>
      <w:pPr>
        <w:pStyle w:val="Heading1"/>
      </w:pPr>
      <w:r>
        <w:t>2. Problem Statement</w:t>
      </w:r>
    </w:p>
    <w:p>
      <w:pPr>
        <w:spacing w:after="160"/>
      </w:pPr>
      <w:r>
        <w:rPr>
          <w:b w:val="0"/>
          <w:i w:val="0"/>
          <w:sz w:val="22"/>
        </w:rPr>
        <w:t>Service-life prediction of a solid propellant must answer a deceptively simple question: for how long will the grain remain structurally sound at its storage temperature before a critical mechanical property falls below an acceptable limit? Answering it is difficult for several reasons:</w:t>
      </w:r>
    </w:p>
    <w:p>
      <w:pPr>
        <w:pStyle w:val="ListBullet"/>
        <w:spacing w:after="80"/>
      </w:pPr>
      <w:r>
        <w:rPr>
          <w:b/>
        </w:rPr>
        <w:t xml:space="preserve">Time-scale mismatch — </w:t>
      </w:r>
      <w:r>
        <w:t>Natural aging is far slower than any test programme can wait for, so results must be extrapolated from accelerated (elevated-temperature) tests using a temperature-acceleration model whose activation energy must itself be estimated.</w:t>
      </w:r>
    </w:p>
    <w:p>
      <w:pPr>
        <w:pStyle w:val="ListBullet"/>
        <w:spacing w:after="80"/>
      </w:pPr>
      <w:r>
        <w:rPr>
          <w:b/>
        </w:rPr>
        <w:t xml:space="preserve">Rate and temperature dependence — </w:t>
      </w:r>
      <w:r>
        <w:t>The binder is visco-elastic, so its response depends on rate, temperature and load history; a single static property is not enough to describe failure.</w:t>
      </w:r>
    </w:p>
    <w:p>
      <w:pPr>
        <w:pStyle w:val="ListBullet"/>
        <w:spacing w:after="80"/>
      </w:pPr>
      <w:r>
        <w:rPr>
          <w:b/>
        </w:rPr>
        <w:t xml:space="preserve">Competing mechanisms — </w:t>
      </w:r>
      <w:r>
        <w:t>Competing hardening (cross-linking) and softening (chain scission, damage) pathways can dominate at different times and temperatures, so the property–time curve is not always monotonic.</w:t>
      </w:r>
    </w:p>
    <w:p>
      <w:pPr>
        <w:pStyle w:val="ListBullet"/>
        <w:spacing w:after="80"/>
      </w:pPr>
      <w:r>
        <w:rPr>
          <w:b/>
        </w:rPr>
        <w:t xml:space="preserve">Parameter uncertainty — </w:t>
      </w:r>
      <w:r>
        <w:t>Parameters are extracted by regression from scattered experimental data; biased fitting can give over-optimistic life estimates.</w:t>
      </w:r>
    </w:p>
    <w:p>
      <w:pPr>
        <w:spacing w:after="160"/>
      </w:pPr>
      <w:r>
        <w:rPr>
          <w:b w:val="0"/>
          <w:i w:val="0"/>
          <w:sz w:val="22"/>
        </w:rPr>
        <w:t>The specific problem addressed by the implementation in this report is: given an activation energy, a measured property at a known accelerated test condition, a power-law degradation exponent and a failure threshold, estimate the equivalent service life (in years) at the storage temperature, and characterise how that life varies across a realistic range of storage temperatures.</w:t>
      </w:r>
    </w:p>
    <w:p>
      <w:pPr>
        <w:pStyle w:val="Heading1"/>
      </w:pPr>
      <w:r>
        <w:t>3. Literature Review</w:t>
      </w:r>
    </w:p>
    <w:p>
      <w:pPr>
        <w:spacing w:after="160"/>
      </w:pPr>
      <w:r>
        <w:rPr>
          <w:b w:val="0"/>
          <w:i w:val="0"/>
          <w:sz w:val="22"/>
        </w:rPr>
        <w:t>The literature on solid-propellant aging and service-life prediction can be grouped into six complementary families of models. Each family contributes a piece of the overall service-life picture, and the references below ([1]–[10]) are organised accordingly.</w:t>
      </w:r>
    </w:p>
    <w:p>
      <w:pPr>
        <w:pStyle w:val="Heading2"/>
      </w:pPr>
      <w:r>
        <w:t>3.1 Cumulative-damage failure models</w:t>
      </w:r>
    </w:p>
    <w:p>
      <w:pPr>
        <w:spacing w:after="160"/>
      </w:pPr>
      <w:r>
        <w:rPr>
          <w:b w:val="0"/>
          <w:i w:val="0"/>
          <w:sz w:val="22"/>
        </w:rPr>
        <w:t>Cumulative-damage approaches treat failure as the accumulation of a damage measure until it reaches a critical value. Biggs, Nestor et al. [1] patent a stress-based failure integral for filled polymeric materials, combining regression-based parameter extraction, numerical integration of the damage rate and Monte-Carlo estimation to produce a probabilistic failure prediction. Kunz [8] refines the parameter determination for Laheru-type linear cumulative-damage (LCD) models and explicitly warns against the bias that regression-based identification can introduce, motivating careful fitting of degradation exponents such as the one used in this report.</w:t>
      </w:r>
    </w:p>
    <w:p>
      <w:pPr>
        <w:pStyle w:val="Heading2"/>
      </w:pPr>
      <w:r>
        <w:t>3.2 Time–temperature superposition and viscoelastic characterisation</w:t>
      </w:r>
    </w:p>
    <w:p>
      <w:pPr>
        <w:spacing w:after="160"/>
      </w:pPr>
      <w:r>
        <w:rPr>
          <w:b w:val="0"/>
          <w:i w:val="0"/>
          <w:sz w:val="22"/>
        </w:rPr>
        <w:t>Because the binder is visco-elastic, its stiffness and strength depend on both time and temperature. Villar and Rezende [2] apply the time–temperature superposition (TTS) principle to thermally aged composite propellant, showing how Williams–Landel–Ferry (WLF) shift factors collapse tensile data measured at many temperatures onto a single master curve, and how aging changes are modest at short times but become significant at long storage times. Tapia-Romero, Dehonor-Gómez and Lugo-Uribe [9] provide a practical route for converting frequency-domain dynamic-mechanical-analysis (DMA) data into Prony-series relaxation-modulus parameters, supplying the constitutive input needed by the viscoelastic models below.</w:t>
      </w:r>
    </w:p>
    <w:p>
      <w:pPr>
        <w:pStyle w:val="Heading2"/>
      </w:pPr>
      <w:r>
        <w:t>3.3 Structural / finite-element assessment</w:t>
      </w:r>
    </w:p>
    <w:p>
      <w:pPr>
        <w:spacing w:after="160"/>
      </w:pPr>
      <w:r>
        <w:rPr>
          <w:b w:val="0"/>
          <w:i w:val="0"/>
          <w:sz w:val="22"/>
        </w:rPr>
        <w:t>Yıldırım and Özüpek [3] perform a non-linear visco-elastic finite-element structural assessment of a solid-propellant rocket motor, combining thermal and pressure load cases to identify hoop strain and case-bond stress as the governing failure indicators, and quantifying how aging and accumulated damage erode the structural margin. This work links the material-level degradation models to grain-level structural failure criteria.</w:t>
      </w:r>
    </w:p>
    <w:p>
      <w:pPr>
        <w:pStyle w:val="Heading2"/>
      </w:pPr>
      <w:r>
        <w:t>3.4 Chemical / kinetic aging studies</w:t>
      </w:r>
    </w:p>
    <w:p>
      <w:pPr>
        <w:spacing w:after="160"/>
      </w:pPr>
      <w:r>
        <w:rPr>
          <w:b w:val="0"/>
          <w:i w:val="0"/>
          <w:sz w:val="22"/>
        </w:rPr>
        <w:t>Layton [4] reports chemical structural aging studies on an HTPB propellant, relating gel growth and mechanical-property drift to the logarithm of aging time and highlighting the influence of bonding-agent chemistry. These kinetic observations underpin the use of an Arrhenius temperature dependence for the aging rate, as adopted in the present implementation.</w:t>
      </w:r>
    </w:p>
    <w:p>
      <w:pPr>
        <w:pStyle w:val="Heading2"/>
      </w:pPr>
      <w:r>
        <w:t>3.5 Handbook and nomograph design methods</w:t>
      </w:r>
    </w:p>
    <w:p>
      <w:pPr>
        <w:spacing w:after="160"/>
      </w:pPr>
      <w:r>
        <w:rPr>
          <w:b w:val="0"/>
          <w:i w:val="0"/>
          <w:sz w:val="22"/>
        </w:rPr>
        <w:t>Practical, rapid-estimate methods are documented by Waterman and Corley [5], who present an early handbook-style treatment of aging, thermal cycling and strain-based failure estimation for tactical propellant grains, and by the Aerojet Solid Propulsion Company [6], whose structural-design nomograph (NWC TM 3365) converts multiple geometric and material variables into rapid design estimates for thermal-cycling failure. These methods trade fidelity for speed and remain useful for first-order screening.</w:t>
      </w:r>
    </w:p>
    <w:p>
      <w:pPr>
        <w:pStyle w:val="Heading2"/>
      </w:pPr>
      <w:r>
        <w:t>3.6 Non-destructive and full-life prediction methods</w:t>
      </w:r>
    </w:p>
    <w:p>
      <w:pPr>
        <w:spacing w:after="160"/>
      </w:pPr>
      <w:r>
        <w:rPr>
          <w:b w:val="0"/>
          <w:i w:val="0"/>
          <w:sz w:val="22"/>
        </w:rPr>
        <w:t>Husband and Roberto [7] patent a service-life analysis that uses dynamic mechanical properties as a non-destructive indicator of aging rate, allowing the same motor to be re-assessed over its life without destructive sampling. Finally, Adel and Liang [10] present a service-life prediction for an AP/Al/HTPB propellant that explicitly accounts for softening aging behaviour, capturing the competing hardening and softening pathways and reporting a shelf-life estimate of approximately 13 years under the studied conditions — a useful benchmark for the results obtained here.</w:t>
      </w:r>
    </w:p>
    <w:p>
      <w:pPr>
        <w:pStyle w:val="Heading1"/>
      </w:pPr>
      <w:r>
        <w:t>4. Governing Models and Equations</w:t>
      </w:r>
    </w:p>
    <w:p>
      <w:pPr>
        <w:spacing w:after="160"/>
      </w:pPr>
      <w:r>
        <w:rPr>
          <w:b w:val="0"/>
          <w:i w:val="0"/>
          <w:sz w:val="22"/>
        </w:rPr>
        <w:t>This section consolidates the mathematical models that underpin the service-life calculation and the broader literature. The implemented code (Section 5) uses Eqs. (1)–(4); Eqs. (5)–(7) describe the complementary viscoelastic and cumulative-damage frameworks reviewed above.</w:t>
      </w:r>
    </w:p>
    <w:p>
      <w:pPr>
        <w:pStyle w:val="Heading2"/>
      </w:pPr>
      <w:r>
        <w:t>4.1 Arrhenius temperature-acceleration model</w:t>
      </w:r>
    </w:p>
    <w:p>
      <w:pPr>
        <w:spacing w:after="160"/>
      </w:pPr>
      <w:r>
        <w:rPr>
          <w:b w:val="0"/>
          <w:i w:val="0"/>
          <w:sz w:val="22"/>
        </w:rPr>
        <w:t>Chemical aging rates increase with temperature according to the Arrhenius law. The rate constant k at absolute temperature T is</w:t>
      </w:r>
    </w:p>
    <w:p>
      <w:pPr>
        <w:spacing w:before="80" w:after="160"/>
        <w:jc w:val="center"/>
      </w:pPr>
      <w:r>
        <w:rPr>
          <w:i/>
          <w:sz w:val="23"/>
        </w:rPr>
        <w:t>k(T) = A₀ · exp( −Eₐ / (R·T) )</w:t>
      </w:r>
      <w:r>
        <w:rPr>
          <w:i w:val="0"/>
          <w:sz w:val="20"/>
        </w:rPr>
        <w:tab/>
        <w:tab/>
        <w:t>(1)</w:t>
      </w:r>
    </w:p>
    <w:p>
      <w:pPr>
        <w:spacing w:after="160"/>
      </w:pPr>
      <w:r>
        <w:rPr>
          <w:b w:val="0"/>
          <w:i w:val="0"/>
          <w:sz w:val="22"/>
        </w:rPr>
        <w:t>where Eₐ is the activation energy (J/mol), R the universal gas constant (8.314 J·mol⁻¹·K⁻¹) and A₀ a pre-exponential factor. The ratio of aging rate at a test temperature T_test to that at the service temperature T_service defines the acceleration factor (AF):</w:t>
      </w:r>
    </w:p>
    <w:p>
      <w:pPr>
        <w:spacing w:before="80" w:after="160"/>
        <w:jc w:val="center"/>
      </w:pPr>
      <w:r>
        <w:rPr>
          <w:i/>
          <w:sz w:val="23"/>
        </w:rPr>
        <w:t>AF = exp[ (Eₐ / R) · ( 1/T_test − 1/T_service ) ]</w:t>
      </w:r>
      <w:r>
        <w:rPr>
          <w:i w:val="0"/>
          <w:sz w:val="20"/>
        </w:rPr>
        <w:tab/>
        <w:tab/>
        <w:t>(2)</w:t>
      </w:r>
    </w:p>
    <w:p>
      <w:pPr>
        <w:spacing w:after="160"/>
      </w:pPr>
      <w:r>
        <w:rPr>
          <w:b w:val="0"/>
          <w:i w:val="0"/>
          <w:sz w:val="22"/>
        </w:rPr>
        <w:t>AF &gt; 1 means aging at the test temperature is faster than at the service temperature, so a short hot test represents a long cool storage period. In the code, the acceleration factor is multiplied by a property-based pre-factor A obtained from the test point (see Section 5).</w:t>
      </w:r>
    </w:p>
    <w:p>
      <w:pPr>
        <w:pStyle w:val="Heading2"/>
      </w:pPr>
      <w:r>
        <w:t>4.2 Power-law property-degradation (cumulative damage)</w:t>
      </w:r>
    </w:p>
    <w:p>
      <w:pPr>
        <w:spacing w:after="160"/>
      </w:pPr>
      <w:r>
        <w:rPr>
          <w:b w:val="0"/>
          <w:i w:val="0"/>
          <w:sz w:val="22"/>
        </w:rPr>
        <w:t>The normalised mechanical property E is assumed to follow a power law in aging time t:</w:t>
      </w:r>
    </w:p>
    <w:p>
      <w:pPr>
        <w:spacing w:before="80" w:after="160"/>
        <w:jc w:val="center"/>
      </w:pPr>
      <w:r>
        <w:rPr>
          <w:i/>
          <w:sz w:val="23"/>
        </w:rPr>
        <w:t>E(t) = A · tⁿ</w:t>
      </w:r>
      <w:r>
        <w:rPr>
          <w:i w:val="0"/>
          <w:sz w:val="20"/>
        </w:rPr>
        <w:tab/>
        <w:tab/>
        <w:t>(3)</w:t>
      </w:r>
    </w:p>
    <w:p>
      <w:pPr>
        <w:spacing w:after="160"/>
      </w:pPr>
      <w:r>
        <w:rPr>
          <w:b w:val="0"/>
          <w:i w:val="0"/>
          <w:sz w:val="22"/>
        </w:rPr>
        <w:t>with degradation exponent n (negative for a property that decays with time). Inverting Eq. (3) gives the time t_f at which the property reaches the failure threshold E_crit:</w:t>
      </w:r>
    </w:p>
    <w:p>
      <w:pPr>
        <w:spacing w:before="80" w:after="160"/>
        <w:jc w:val="center"/>
      </w:pPr>
      <w:r>
        <w:rPr>
          <w:i/>
          <w:sz w:val="23"/>
        </w:rPr>
        <w:t>t_f = ( E_crit / A )^(1/n)</w:t>
      </w:r>
      <w:r>
        <w:rPr>
          <w:i w:val="0"/>
          <w:sz w:val="20"/>
        </w:rPr>
        <w:tab/>
        <w:tab/>
        <w:t>(4)</w:t>
      </w:r>
    </w:p>
    <w:p>
      <w:pPr>
        <w:spacing w:after="160"/>
      </w:pPr>
      <w:r>
        <w:rPr>
          <w:b w:val="0"/>
          <w:i w:val="0"/>
          <w:sz w:val="22"/>
        </w:rPr>
        <w:t>The pre-factor A is anchored to the measured property at the known test duration through A = E_test / (t_test)ⁿ. Multiplying t_f by the Arrhenius acceleration factor of Eq. (2) converts the failure time into an equivalent service life at the storage temperature, which is then expressed in years.</w:t>
      </w:r>
    </w:p>
    <w:p>
      <w:pPr>
        <w:pStyle w:val="Heading2"/>
      </w:pPr>
      <w:r>
        <w:t>4.3 Time–temperature superposition (WLF)</w:t>
      </w:r>
    </w:p>
    <w:p>
      <w:pPr>
        <w:spacing w:after="160"/>
      </w:pPr>
      <w:r>
        <w:rPr>
          <w:b w:val="0"/>
          <w:i w:val="0"/>
          <w:sz w:val="22"/>
        </w:rPr>
        <w:t>For visco-elastic data, responses measured at temperature T are shifted onto a master curve at reference temperature T_ref using the Williams–Landel–Ferry shift factor a_T [2]:</w:t>
      </w:r>
    </w:p>
    <w:p>
      <w:pPr>
        <w:spacing w:before="80" w:after="160"/>
        <w:jc w:val="center"/>
      </w:pPr>
      <w:r>
        <w:rPr>
          <w:i/>
          <w:sz w:val="23"/>
        </w:rPr>
        <w:t>log₁₀(a_T) = −C₁ (T − T_ref) / ( C₂ + T − T_ref )</w:t>
      </w:r>
      <w:r>
        <w:rPr>
          <w:i w:val="0"/>
          <w:sz w:val="20"/>
        </w:rPr>
        <w:tab/>
        <w:tab/>
        <w:t>(5)</w:t>
      </w:r>
    </w:p>
    <w:p>
      <w:pPr>
        <w:spacing w:after="160"/>
      </w:pPr>
      <w:r>
        <w:rPr>
          <w:b w:val="0"/>
          <w:i w:val="0"/>
          <w:sz w:val="22"/>
        </w:rPr>
        <w:t>where C₁ and C₂ are material constants. The shift factor lets a single relaxation master curve represent behaviour across the full temperature range of interest.</w:t>
      </w:r>
    </w:p>
    <w:p>
      <w:pPr>
        <w:pStyle w:val="Heading2"/>
      </w:pPr>
      <w:r>
        <w:t>4.4 Viscoelastic relaxation modulus (Prony series)</w:t>
      </w:r>
    </w:p>
    <w:p>
      <w:pPr>
        <w:spacing w:after="160"/>
      </w:pPr>
      <w:r>
        <w:rPr>
          <w:b w:val="0"/>
          <w:i w:val="0"/>
          <w:sz w:val="22"/>
        </w:rPr>
        <w:t>The relaxation modulus is commonly represented by a Prony series fitted to DMA data [9], which is the constitutive input for finite-element structural analyses [3]:</w:t>
      </w:r>
    </w:p>
    <w:p>
      <w:pPr>
        <w:spacing w:before="80" w:after="160"/>
        <w:jc w:val="center"/>
      </w:pPr>
      <w:r>
        <w:rPr>
          <w:i/>
          <w:sz w:val="23"/>
        </w:rPr>
        <w:t>E(t) = E_∞ + Σᵢ Eᵢ · exp( −t / τᵢ )</w:t>
      </w:r>
      <w:r>
        <w:rPr>
          <w:i w:val="0"/>
          <w:sz w:val="20"/>
        </w:rPr>
        <w:tab/>
        <w:tab/>
        <w:t>(6)</w:t>
      </w:r>
    </w:p>
    <w:p>
      <w:pPr>
        <w:spacing w:after="160"/>
      </w:pPr>
      <w:r>
        <w:rPr>
          <w:b w:val="0"/>
          <w:i w:val="0"/>
          <w:sz w:val="22"/>
        </w:rPr>
        <w:t>with long-term modulus E_∞, Prony coefficients Eᵢ and relaxation times τᵢ.</w:t>
      </w:r>
    </w:p>
    <w:p>
      <w:pPr>
        <w:pStyle w:val="Heading2"/>
      </w:pPr>
      <w:r>
        <w:t>4.5 Linear cumulative damage (Miner / Laheru)</w:t>
      </w:r>
    </w:p>
    <w:p>
      <w:pPr>
        <w:spacing w:after="160"/>
      </w:pPr>
      <w:r>
        <w:rPr>
          <w:b w:val="0"/>
          <w:i w:val="0"/>
          <w:sz w:val="22"/>
        </w:rPr>
        <w:t>Linear cumulative-damage models [1], [8] sum fractional damage over the load/temperature history and predict failure when the total reaches unity:</w:t>
      </w:r>
    </w:p>
    <w:p>
      <w:pPr>
        <w:spacing w:before="80" w:after="160"/>
        <w:jc w:val="center"/>
      </w:pPr>
      <w:r>
        <w:rPr>
          <w:i/>
          <w:sz w:val="23"/>
        </w:rPr>
        <w:t>D = Σⱼ ( tⱼ / t_f,ⱼ )  ;  failure when D ≥ 1</w:t>
      </w:r>
      <w:r>
        <w:rPr>
          <w:i w:val="0"/>
          <w:sz w:val="20"/>
        </w:rPr>
        <w:tab/>
        <w:tab/>
        <w:t>(7)</w:t>
      </w:r>
    </w:p>
    <w:p>
      <w:pPr>
        <w:spacing w:after="160"/>
      </w:pPr>
      <w:r>
        <w:rPr>
          <w:b w:val="0"/>
          <w:i w:val="0"/>
          <w:sz w:val="22"/>
        </w:rPr>
        <w:t>where tⱼ is the time spent under condition j and t_f,ⱼ is the time-to-failure under that condition alone. Eq. (4) supplies the single-condition t_f used in such summations.</w:t>
      </w:r>
    </w:p>
    <w:p>
      <w:pPr>
        <w:pStyle w:val="Heading1"/>
      </w:pPr>
      <w:r>
        <w:t>5. Implementation — Code</w:t>
      </w:r>
    </w:p>
    <w:p>
      <w:pPr>
        <w:spacing w:after="160"/>
      </w:pPr>
      <w:r>
        <w:rPr>
          <w:b w:val="0"/>
          <w:i w:val="0"/>
          <w:sz w:val="22"/>
        </w:rPr>
        <w:t>The accelerated-aging service-life model of Section 4.1–4.2 is implemented in MATLAB. The script sweeps a range of storage/test temperatures, computes the Arrhenius acceleration factor and the power-law failure time for each, converts the result to an equivalent service life in years, and plots and tabulates the outcome. The full listing follows.</w:t>
      </w:r>
    </w:p>
    <w:p>
      <w:pPr>
        <w:pStyle w:val="Heading2"/>
      </w:pPr>
      <w:r>
        <w:t>5.1 MATLAB source — service_life_arrhenius.m</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 service_life_arrhenius.m</w:t>
            </w:r>
          </w:p>
          <w:p>
            <w:pPr>
              <w:spacing w:after="0" w:line="240" w:lineRule="auto"/>
            </w:pPr>
            <w:r>
              <w:rPr>
                <w:rFonts w:ascii="Consolas" w:hAnsi="Consolas"/>
                <w:sz w:val="17"/>
              </w:rPr>
              <w:t>% -------------------------------------------------------------------------</w:t>
            </w:r>
          </w:p>
          <w:p>
            <w:pPr>
              <w:spacing w:after="0" w:line="240" w:lineRule="auto"/>
            </w:pPr>
            <w:r>
              <w:rPr>
                <w:rFonts w:ascii="Consolas" w:hAnsi="Consolas"/>
                <w:sz w:val="17"/>
              </w:rPr>
              <w:t>% Accelerated-aging service-life prediction for a solid propellant using an</w:t>
            </w:r>
          </w:p>
          <w:p>
            <w:pPr>
              <w:spacing w:after="0" w:line="240" w:lineRule="auto"/>
            </w:pPr>
            <w:r>
              <w:rPr>
                <w:rFonts w:ascii="Consolas" w:hAnsi="Consolas"/>
                <w:sz w:val="17"/>
              </w:rPr>
              <w:t>% Arrhenius temperature-acceleration model combined with a power-law</w:t>
            </w:r>
          </w:p>
          <w:p>
            <w:pPr>
              <w:spacing w:after="0" w:line="240" w:lineRule="auto"/>
            </w:pPr>
            <w:r>
              <w:rPr>
                <w:rFonts w:ascii="Consolas" w:hAnsi="Consolas"/>
                <w:sz w:val="17"/>
              </w:rPr>
              <w:t>% property-degradation (cumulative-damage) law.</w:t>
            </w:r>
          </w:p>
          <w:p>
            <w:pPr>
              <w:spacing w:after="0" w:line="240" w:lineRule="auto"/>
            </w:pPr>
            <w:r>
              <w:rPr>
                <w:rFonts w:ascii="Consolas" w:hAnsi="Consolas"/>
                <w:sz w:val="17"/>
              </w:rPr>
              <w:t>%</w:t>
            </w:r>
          </w:p>
          <w:p>
            <w:pPr>
              <w:spacing w:after="0" w:line="240" w:lineRule="auto"/>
            </w:pPr>
            <w:r>
              <w:rPr>
                <w:rFonts w:ascii="Consolas" w:hAnsi="Consolas"/>
                <w:sz w:val="17"/>
              </w:rPr>
              <w:t>% The script estimates, for a range of storage/service temperatures, the time</w:t>
            </w:r>
          </w:p>
          <w:p>
            <w:pPr>
              <w:spacing w:after="0" w:line="240" w:lineRule="auto"/>
            </w:pPr>
            <w:r>
              <w:rPr>
                <w:rFonts w:ascii="Consolas" w:hAnsi="Consolas"/>
                <w:sz w:val="17"/>
              </w:rPr>
              <w:t>% required for a normalised mechanical property to decay from its initial</w:t>
            </w:r>
          </w:p>
          <w:p>
            <w:pPr>
              <w:spacing w:after="0" w:line="240" w:lineRule="auto"/>
            </w:pPr>
            <w:r>
              <w:rPr>
                <w:rFonts w:ascii="Consolas" w:hAnsi="Consolas"/>
                <w:sz w:val="17"/>
              </w:rPr>
              <w:t>% value down to a defined failure threshold, and reports that service life</w:t>
            </w:r>
          </w:p>
          <w:p>
            <w:pPr>
              <w:spacing w:after="0" w:line="240" w:lineRule="auto"/>
            </w:pPr>
            <w:r>
              <w:rPr>
                <w:rFonts w:ascii="Consolas" w:hAnsi="Consolas"/>
                <w:sz w:val="17"/>
              </w:rPr>
              <w:t>% in years.</w:t>
            </w:r>
          </w:p>
          <w:p>
            <w:pPr>
              <w:spacing w:after="0" w:line="240" w:lineRule="auto"/>
            </w:pPr>
            <w:r>
              <w:rPr>
                <w:rFonts w:ascii="Consolas" w:hAnsi="Consolas"/>
                <w:sz w:val="17"/>
              </w:rPr>
              <w:t>% -------------------------------------------------------------------------</w:t>
            </w:r>
          </w:p>
          <w:p>
            <w:pPr>
              <w:spacing w:after="0" w:line="240" w:lineRule="auto"/>
            </w:pPr>
            <w:r>
              <w:rPr>
                <w:rFonts w:ascii="Consolas" w:hAnsi="Consolas"/>
                <w:sz w:val="17"/>
              </w:rPr>
              <w:t xml:space="preserve"> </w:t>
            </w:r>
          </w:p>
          <w:p>
            <w:pPr>
              <w:spacing w:after="0" w:line="240" w:lineRule="auto"/>
            </w:pPr>
            <w:r>
              <w:rPr>
                <w:rFonts w:ascii="Consolas" w:hAnsi="Consolas"/>
                <w:sz w:val="17"/>
              </w:rPr>
              <w:t>% Constants</w:t>
            </w:r>
          </w:p>
          <w:p>
            <w:pPr>
              <w:spacing w:after="0" w:line="240" w:lineRule="auto"/>
            </w:pPr>
            <w:r>
              <w:rPr>
                <w:rFonts w:ascii="Consolas" w:hAnsi="Consolas"/>
                <w:sz w:val="17"/>
              </w:rPr>
              <w:t>Ea = 80000;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deg C)</w:t>
            </w:r>
          </w:p>
          <w:p>
            <w:pPr>
              <w:spacing w:after="0" w:line="240" w:lineRule="auto"/>
            </w:pPr>
            <w:r>
              <w:rPr>
                <w:rFonts w:ascii="Consolas" w:hAnsi="Consolas"/>
                <w:sz w:val="17"/>
              </w:rPr>
              <w:t>t_test = 60;       % Test duration, days</w:t>
            </w:r>
          </w:p>
          <w:p>
            <w:pPr>
              <w:spacing w:after="0" w:line="240" w:lineRule="auto"/>
            </w:pPr>
            <w:r>
              <w:rPr>
                <w:rFonts w:ascii="Consolas" w:hAnsi="Consolas"/>
                <w:sz w:val="17"/>
              </w:rPr>
              <w:t>E_test = 1;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 Test temperatures in Celsius</w:t>
            </w:r>
          </w:p>
          <w:p>
            <w:pPr>
              <w:spacing w:after="0" w:line="240" w:lineRule="auto"/>
            </w:pPr>
            <w:r>
              <w:rPr>
                <w:rFonts w:ascii="Consolas" w:hAnsi="Consolas"/>
                <w:sz w:val="17"/>
              </w:rPr>
              <w:t>temperatures_C = [25, 27, 30, 35, 40, 45, 50, 60, 70];</w:t>
            </w:r>
          </w:p>
          <w:p>
            <w:pPr>
              <w:spacing w:after="0" w:line="240" w:lineRule="auto"/>
            </w:pPr>
            <w:r>
              <w:rPr>
                <w:rFonts w:ascii="Consolas" w:hAnsi="Consolas"/>
                <w:sz w:val="17"/>
              </w:rPr>
              <w:t>T_test = 273.15 + temperatures_C;   % Convert to Kelvin</w:t>
            </w:r>
          </w:p>
          <w:p>
            <w:pPr>
              <w:spacing w:after="0" w:line="240" w:lineRule="auto"/>
            </w:pPr>
            <w:r>
              <w:rPr>
                <w:rFonts w:ascii="Consolas" w:hAnsi="Consolas"/>
                <w:sz w:val="17"/>
              </w:rPr>
              <w:t xml:space="preserve"> </w:t>
            </w:r>
          </w:p>
          <w:p>
            <w:pPr>
              <w:spacing w:after="0" w:line="240" w:lineRule="auto"/>
            </w:pPr>
            <w:r>
              <w:rPr>
                <w:rFonts w:ascii="Consolas" w:hAnsi="Consolas"/>
                <w:sz w:val="17"/>
              </w:rPr>
              <w:t>% Prepare arrays to collect results</w:t>
            </w:r>
          </w:p>
          <w:p>
            <w:pPr>
              <w:spacing w:after="0" w:line="240" w:lineRule="auto"/>
            </w:pPr>
            <w:r>
              <w:rPr>
                <w:rFonts w:ascii="Consolas" w:hAnsi="Consolas"/>
                <w:sz w:val="17"/>
              </w:rPr>
              <w:t>tf_days  = zeros(size(T_test));</w:t>
            </w:r>
          </w:p>
          <w:p>
            <w:pPr>
              <w:spacing w:after="0" w:line="240" w:lineRule="auto"/>
            </w:pPr>
            <w:r>
              <w:rPr>
                <w:rFonts w:ascii="Consolas" w:hAnsi="Consolas"/>
                <w:sz w:val="17"/>
              </w:rPr>
              <w:t>tf_years = zeros(size(T_test));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 1:length(T_test)</w:t>
            </w:r>
          </w:p>
          <w:p>
            <w:pPr>
              <w:spacing w:after="0" w:line="240" w:lineRule="auto"/>
            </w:pPr>
            <w:r>
              <w:rPr>
                <w:rFonts w:ascii="Consolas" w:hAnsi="Consolas"/>
                <w:sz w:val="17"/>
              </w:rPr>
              <w:t xml:space="preserve">    % Arrhenius calculations</w:t>
            </w:r>
          </w:p>
          <w:p>
            <w:pPr>
              <w:spacing w:after="0" w:line="240" w:lineRule="auto"/>
            </w:pPr>
            <w:r>
              <w:rPr>
                <w:rFonts w:ascii="Consolas" w:hAnsi="Consolas"/>
                <w:sz w:val="17"/>
              </w:rPr>
              <w:t xml:space="preserve">    A = E_test / (t_test ^ n);              % Pre-factor from the test point</w:t>
            </w:r>
          </w:p>
          <w:p>
            <w:pPr>
              <w:spacing w:after="0" w:line="240" w:lineRule="auto"/>
            </w:pPr>
            <w:r>
              <w:rPr>
                <w:rFonts w:ascii="Consolas" w:hAnsi="Consolas"/>
                <w:sz w:val="17"/>
              </w:rPr>
              <w:t xml:space="preserve">    inv_T_service = 1 / T_service;</w:t>
            </w:r>
          </w:p>
          <w:p>
            <w:pPr>
              <w:spacing w:after="0" w:line="240" w:lineRule="auto"/>
            </w:pPr>
            <w:r>
              <w:rPr>
                <w:rFonts w:ascii="Consolas" w:hAnsi="Consolas"/>
                <w:sz w:val="17"/>
              </w:rPr>
              <w:t xml:space="preserve">    inv_T_test    = 1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exp(X);                         % Acceleration factor</w:t>
            </w:r>
          </w:p>
          <w:p>
            <w:pPr>
              <w:spacing w:after="0" w:line="240" w:lineRule="auto"/>
            </w:pPr>
            <w:r>
              <w:rPr>
                <w:rFonts w:ascii="Consolas" w:hAnsi="Consolas"/>
                <w:sz w:val="17"/>
              </w:rPr>
              <w:t xml:space="preserve"> </w:t>
            </w:r>
          </w:p>
          <w:p>
            <w:pPr>
              <w:spacing w:after="0" w:line="240" w:lineRule="auto"/>
            </w:pPr>
            <w:r>
              <w:rPr>
                <w:rFonts w:ascii="Consolas" w:hAnsi="Consolas"/>
                <w:sz w:val="17"/>
              </w:rPr>
              <w:t xml:space="preserve">    % Service life</w:t>
            </w:r>
          </w:p>
          <w:p>
            <w:pPr>
              <w:spacing w:after="0" w:line="240" w:lineRule="auto"/>
            </w:pPr>
            <w:r>
              <w:rPr>
                <w:rFonts w:ascii="Consolas" w:hAnsi="Consolas"/>
                <w:sz w:val="17"/>
              </w:rPr>
              <w:t xml:space="preserve">    tf = (E_crit / A) ^ (1 / n);            % Time to reach failure threshold</w:t>
            </w:r>
          </w:p>
          <w:p>
            <w:pPr>
              <w:spacing w:after="0" w:line="240" w:lineRule="auto"/>
            </w:pPr>
            <w:r>
              <w:rPr>
                <w:rFonts w:ascii="Consolas" w:hAnsi="Consolas"/>
                <w:sz w:val="17"/>
              </w:rPr>
              <w:t xml:space="preserve">    t_service_eq = tf .* AF;                % Equivalent time at service T</w:t>
            </w:r>
          </w:p>
          <w:p>
            <w:pPr>
              <w:spacing w:after="0" w:line="240" w:lineRule="auto"/>
            </w:pPr>
            <w:r>
              <w:rPr>
                <w:rFonts w:ascii="Consolas" w:hAnsi="Consolas"/>
                <w:sz w:val="17"/>
              </w:rPr>
              <w:t xml:space="preserve">    tf_days(i)  = tf;</w:t>
            </w:r>
          </w:p>
          <w:p>
            <w:pPr>
              <w:spacing w:after="0" w:line="240" w:lineRule="auto"/>
            </w:pPr>
            <w:r>
              <w:rPr>
                <w:rFonts w:ascii="Consolas" w:hAnsi="Consolas"/>
                <w:sz w:val="17"/>
              </w:rPr>
              <w:t xml:space="preserve">    tf_years(i) = (t_service_eq / 365.25);</w:t>
            </w:r>
          </w:p>
          <w:p>
            <w:pPr>
              <w:spacing w:after="0" w:line="240" w:lineRule="auto"/>
            </w:pPr>
            <w:r>
              <w:rPr>
                <w:rFonts w:ascii="Consolas" w:hAnsi="Consolas"/>
                <w:sz w:val="17"/>
              </w:rPr>
              <w:t>end</w:t>
            </w:r>
          </w:p>
          <w:p>
            <w:pPr>
              <w:spacing w:after="0" w:line="240" w:lineRule="auto"/>
            </w:pPr>
            <w:r>
              <w:rPr>
                <w:rFonts w:ascii="Consolas" w:hAnsi="Consolas"/>
                <w:sz w:val="17"/>
              </w:rPr>
              <w:t xml:space="preserve"> </w:t>
            </w:r>
          </w:p>
          <w:p>
            <w:pPr>
              <w:spacing w:after="0" w:line="240" w:lineRule="auto"/>
            </w:pPr>
            <w:r>
              <w:rPr>
                <w:rFonts w:ascii="Consolas" w:hAnsi="Consolas"/>
                <w:sz w:val="17"/>
              </w:rPr>
              <w:t>% Plotting</w:t>
            </w:r>
          </w:p>
          <w:p>
            <w:pPr>
              <w:spacing w:after="0" w:line="240" w:lineRule="auto"/>
            </w:pPr>
            <w:r>
              <w:rPr>
                <w:rFonts w:ascii="Consolas" w:hAnsi="Consolas"/>
                <w:sz w:val="17"/>
              </w:rPr>
              <w:t>figure;</w:t>
            </w:r>
          </w:p>
          <w:p>
            <w:pPr>
              <w:spacing w:after="0" w:line="240" w:lineRule="auto"/>
            </w:pPr>
            <w:r>
              <w:rPr>
                <w:rFonts w:ascii="Consolas" w:hAnsi="Consolas"/>
                <w:sz w:val="17"/>
              </w:rPr>
              <w:t>plot(temperatures_C, tf_years, '-s', 'DisplayName', 'Service Life (years)');</w:t>
            </w:r>
          </w:p>
          <w:p>
            <w:pPr>
              <w:spacing w:after="0" w:line="240" w:lineRule="auto"/>
            </w:pPr>
            <w:r>
              <w:rPr>
                <w:rFonts w:ascii="Consolas" w:hAnsi="Consolas"/>
                <w:sz w:val="17"/>
              </w:rPr>
              <w:t>hold on;</w:t>
            </w:r>
          </w:p>
          <w:p>
            <w:pPr>
              <w:spacing w:after="0" w:line="240" w:lineRule="auto"/>
            </w:pPr>
            <w:r>
              <w:rPr>
                <w:rFonts w:ascii="Consolas" w:hAnsi="Consolas"/>
                <w:sz w:val="17"/>
              </w:rPr>
              <w:t>xlabel('Temperature (\circC)');</w:t>
            </w:r>
          </w:p>
          <w:p>
            <w:pPr>
              <w:spacing w:after="0" w:line="240" w:lineRule="auto"/>
            </w:pPr>
            <w:r>
              <w:rPr>
                <w:rFonts w:ascii="Consolas" w:hAnsi="Consolas"/>
                <w:sz w:val="17"/>
              </w:rPr>
              <w:t>ylabel('Service Life (years)');</w:t>
            </w:r>
          </w:p>
          <w:p>
            <w:pPr>
              <w:spacing w:after="0" w:line="240" w:lineRule="auto"/>
            </w:pPr>
            <w:r>
              <w:rPr>
                <w:rFonts w:ascii="Consolas" w:hAnsi="Consolas"/>
                <w:sz w:val="17"/>
              </w:rPr>
              <w:t>title('Service Life vs Temperature');</w:t>
            </w:r>
          </w:p>
          <w:p>
            <w:pPr>
              <w:spacing w:after="0" w:line="240" w:lineRule="auto"/>
            </w:pPr>
            <w:r>
              <w:rPr>
                <w:rFonts w:ascii="Consolas" w:hAnsi="Consolas"/>
                <w:sz w:val="17"/>
              </w:rPr>
              <w:t>legend('show');</w:t>
            </w:r>
          </w:p>
          <w:p>
            <w:pPr>
              <w:spacing w:after="0" w:line="240" w:lineRule="auto"/>
            </w:pPr>
            <w:r>
              <w:rPr>
                <w:rFonts w:ascii="Consolas" w:hAnsi="Consolas"/>
                <w:sz w:val="17"/>
              </w:rPr>
              <w:t>grid on;</w:t>
            </w:r>
          </w:p>
          <w:p>
            <w:pPr>
              <w:spacing w:after="0" w:line="240" w:lineRule="auto"/>
            </w:pPr>
            <w:r>
              <w:rPr>
                <w:rFonts w:ascii="Consolas" w:hAnsi="Consolas"/>
                <w:sz w:val="17"/>
              </w:rPr>
              <w:t>hold off;</w:t>
            </w:r>
          </w:p>
          <w:p>
            <w:pPr>
              <w:spacing w:after="0" w:line="240" w:lineRule="auto"/>
            </w:pPr>
            <w:r>
              <w:rPr>
                <w:rFonts w:ascii="Consolas" w:hAnsi="Consolas"/>
                <w:sz w:val="17"/>
              </w:rPr>
              <w:t xml:space="preserve"> </w:t>
            </w:r>
          </w:p>
          <w:p>
            <w:pPr>
              <w:spacing w:after="0" w:line="240" w:lineRule="auto"/>
            </w:pPr>
            <w:r>
              <w:rPr>
                <w:rFonts w:ascii="Consolas" w:hAnsi="Consolas"/>
                <w:sz w:val="17"/>
              </w:rPr>
              <w:t>table_service = table(temperatures_C', tf_years', ...</w:t>
            </w:r>
          </w:p>
          <w:p>
            <w:pPr>
              <w:spacing w:after="0" w:line="240" w:lineRule="auto"/>
            </w:pPr>
            <w:r>
              <w:rPr>
                <w:rFonts w:ascii="Consolas" w:hAnsi="Consolas"/>
                <w:sz w:val="17"/>
              </w:rPr>
              <w:t xml:space="preserve">    'VariableNames', {'Temperatures', 'Service_Life'});</w:t>
            </w:r>
          </w:p>
          <w:p>
            <w:pPr>
              <w:spacing w:after="0" w:line="240" w:lineRule="auto"/>
            </w:pPr>
            <w:r>
              <w:rPr>
                <w:rFonts w:ascii="Consolas" w:hAnsi="Consolas"/>
                <w:sz w:val="17"/>
              </w:rPr>
              <w:t>disp(table_service)</w:t>
            </w:r>
          </w:p>
        </w:tc>
      </w:tr>
    </w:tbl>
    <w:p>
      <w:pPr>
        <w:spacing w:after="240"/>
        <w:jc w:val="center"/>
      </w:pPr>
      <w:r>
        <w:rPr>
          <w:i/>
          <w:color w:val="555555"/>
          <w:sz w:val="19"/>
        </w:rPr>
        <w:t>Listing 1. MATLAB implementation of the Arrhenius / power-law service-life model.</w:t>
      </w:r>
    </w:p>
    <w:p>
      <w:pPr>
        <w:pStyle w:val="Heading2"/>
      </w:pPr>
      <w:r>
        <w:t>5.2 Mapping of code variables to equations</w:t>
      </w:r>
    </w:p>
    <w:p>
      <w:pPr>
        <w:spacing w:after="160"/>
      </w:pPr>
      <w:r>
        <w:rPr>
          <w:b w:val="0"/>
          <w:i w:val="0"/>
          <w:sz w:val="22"/>
        </w:rPr>
        <w:t>The key variables in Listing 1 correspond to the governing equations as follows: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Code variable</w:t>
            </w:r>
          </w:p>
        </w:tc>
        <w:tc>
          <w:tcPr>
            <w:tcW w:type="dxa" w:w="2880"/>
          </w:tcPr>
          <w:p>
            <w:r>
              <w:rPr>
                <w:b/>
              </w:rPr>
              <w:t>Equation symbol</w:t>
            </w:r>
          </w:p>
        </w:tc>
        <w:tc>
          <w:tcPr>
            <w:tcW w:type="dxa" w:w="2880"/>
          </w:tcPr>
          <w:p>
            <w:r>
              <w:rPr>
                <w:b/>
              </w:rPr>
              <w:t>Meaning</w:t>
            </w:r>
          </w:p>
        </w:tc>
      </w:tr>
      <w:tr>
        <w:tc>
          <w:tcPr>
            <w:tcW w:type="dxa" w:w="2880"/>
          </w:tcPr>
          <w:p>
            <w:r>
              <w:rPr>
                <w:sz w:val="20"/>
              </w:rPr>
              <w:t>Ea, R</w:t>
            </w:r>
          </w:p>
        </w:tc>
        <w:tc>
          <w:tcPr>
            <w:tcW w:type="dxa" w:w="2880"/>
          </w:tcPr>
          <w:p>
            <w:r>
              <w:rPr>
                <w:sz w:val="20"/>
              </w:rPr>
              <w:t>Eₐ, R in Eqs. (1)–(2)</w:t>
            </w:r>
          </w:p>
        </w:tc>
        <w:tc>
          <w:tcPr>
            <w:tcW w:type="dxa" w:w="2880"/>
          </w:tcPr>
          <w:p>
            <w:r>
              <w:rPr>
                <w:sz w:val="20"/>
              </w:rPr>
              <w:t>Activation energy and gas constant</w:t>
            </w:r>
          </w:p>
        </w:tc>
      </w:tr>
      <w:tr>
        <w:tc>
          <w:tcPr>
            <w:tcW w:type="dxa" w:w="2880"/>
          </w:tcPr>
          <w:p>
            <w:r>
              <w:rPr>
                <w:sz w:val="20"/>
              </w:rPr>
              <w:t>T_service, T_test</w:t>
            </w:r>
          </w:p>
        </w:tc>
        <w:tc>
          <w:tcPr>
            <w:tcW w:type="dxa" w:w="2880"/>
          </w:tcPr>
          <w:p>
            <w:r>
              <w:rPr>
                <w:sz w:val="20"/>
              </w:rPr>
              <w:t>T_service, T_test in Eq. (2)</w:t>
            </w:r>
          </w:p>
        </w:tc>
        <w:tc>
          <w:tcPr>
            <w:tcW w:type="dxa" w:w="2880"/>
          </w:tcPr>
          <w:p>
            <w:r>
              <w:rPr>
                <w:sz w:val="20"/>
              </w:rPr>
              <w:t>Reference and test temperatures (K)</w:t>
            </w:r>
          </w:p>
        </w:tc>
      </w:tr>
      <w:tr>
        <w:tc>
          <w:tcPr>
            <w:tcW w:type="dxa" w:w="2880"/>
          </w:tcPr>
          <w:p>
            <w:r>
              <w:rPr>
                <w:sz w:val="20"/>
              </w:rPr>
              <w:t>A = E_test/t_test^n</w:t>
            </w:r>
          </w:p>
        </w:tc>
        <w:tc>
          <w:tcPr>
            <w:tcW w:type="dxa" w:w="2880"/>
          </w:tcPr>
          <w:p>
            <w:r>
              <w:rPr>
                <w:sz w:val="20"/>
              </w:rPr>
              <w:t>A in Eq. (3)</w:t>
            </w:r>
          </w:p>
        </w:tc>
        <w:tc>
          <w:tcPr>
            <w:tcW w:type="dxa" w:w="2880"/>
          </w:tcPr>
          <w:p>
            <w:r>
              <w:rPr>
                <w:sz w:val="20"/>
              </w:rPr>
              <w:t>Power-law pre-factor from the test point</w:t>
            </w:r>
          </w:p>
        </w:tc>
      </w:tr>
      <w:tr>
        <w:tc>
          <w:tcPr>
            <w:tcW w:type="dxa" w:w="2880"/>
          </w:tcPr>
          <w:p>
            <w:r>
              <w:rPr>
                <w:sz w:val="20"/>
              </w:rPr>
              <w:t>X, AF</w:t>
            </w:r>
          </w:p>
        </w:tc>
        <w:tc>
          <w:tcPr>
            <w:tcW w:type="dxa" w:w="2880"/>
          </w:tcPr>
          <w:p>
            <w:r>
              <w:rPr>
                <w:sz w:val="20"/>
              </w:rPr>
              <w:t>exponent and AF in Eq. (2)</w:t>
            </w:r>
          </w:p>
        </w:tc>
        <w:tc>
          <w:tcPr>
            <w:tcW w:type="dxa" w:w="2880"/>
          </w:tcPr>
          <w:p>
            <w:r>
              <w:rPr>
                <w:sz w:val="20"/>
              </w:rPr>
              <w:t>Arrhenius acceleration factor</w:t>
            </w:r>
          </w:p>
        </w:tc>
      </w:tr>
      <w:tr>
        <w:tc>
          <w:tcPr>
            <w:tcW w:type="dxa" w:w="2880"/>
          </w:tcPr>
          <w:p>
            <w:r>
              <w:rPr>
                <w:sz w:val="20"/>
              </w:rPr>
              <w:t>tf</w:t>
            </w:r>
          </w:p>
        </w:tc>
        <w:tc>
          <w:tcPr>
            <w:tcW w:type="dxa" w:w="2880"/>
          </w:tcPr>
          <w:p>
            <w:r>
              <w:rPr>
                <w:sz w:val="20"/>
              </w:rPr>
              <w:t>t_f in Eq. (4)</w:t>
            </w:r>
          </w:p>
        </w:tc>
        <w:tc>
          <w:tcPr>
            <w:tcW w:type="dxa" w:w="2880"/>
          </w:tcPr>
          <w:p>
            <w:r>
              <w:rPr>
                <w:sz w:val="20"/>
              </w:rPr>
              <w:t>Time to reach the failure threshold E_crit</w:t>
            </w:r>
          </w:p>
        </w:tc>
      </w:tr>
      <w:tr>
        <w:tc>
          <w:tcPr>
            <w:tcW w:type="dxa" w:w="2880"/>
          </w:tcPr>
          <w:p>
            <w:r>
              <w:rPr>
                <w:sz w:val="20"/>
              </w:rPr>
              <w:t>t_service_eq = tf*AF</w:t>
            </w:r>
          </w:p>
        </w:tc>
        <w:tc>
          <w:tcPr>
            <w:tcW w:type="dxa" w:w="2880"/>
          </w:tcPr>
          <w:p>
            <w:r>
              <w:rPr>
                <w:sz w:val="20"/>
              </w:rPr>
              <w:t>t_f × AF</w:t>
            </w:r>
          </w:p>
        </w:tc>
        <w:tc>
          <w:tcPr>
            <w:tcW w:type="dxa" w:w="2880"/>
          </w:tcPr>
          <w:p>
            <w:r>
              <w:rPr>
                <w:sz w:val="20"/>
              </w:rPr>
              <w:t>Equivalent service life (days)</w:t>
            </w:r>
          </w:p>
        </w:tc>
      </w:tr>
      <w:tr>
        <w:tc>
          <w:tcPr>
            <w:tcW w:type="dxa" w:w="2880"/>
          </w:tcPr>
          <w:p>
            <w:r>
              <w:rPr>
                <w:sz w:val="20"/>
              </w:rPr>
              <w:t>tf_years</w:t>
            </w:r>
          </w:p>
        </w:tc>
        <w:tc>
          <w:tcPr>
            <w:tcW w:type="dxa" w:w="2880"/>
          </w:tcPr>
          <w:p>
            <w:r>
              <w:rPr>
                <w:sz w:val="20"/>
              </w:rPr>
              <w:t>t_service_eq / 365.25</w:t>
            </w:r>
          </w:p>
        </w:tc>
        <w:tc>
          <w:tcPr>
            <w:tcW w:type="dxa" w:w="2880"/>
          </w:tcPr>
          <w:p>
            <w:r>
              <w:rPr>
                <w:sz w:val="20"/>
              </w:rPr>
              <w:t>Service life expressed in years</w:t>
            </w:r>
          </w:p>
        </w:tc>
      </w:tr>
    </w:tbl>
    <w:p>
      <w:pPr>
        <w:spacing w:after="240"/>
        <w:jc w:val="center"/>
      </w:pPr>
      <w:r>
        <w:rPr>
          <w:i/>
          <w:color w:val="555555"/>
          <w:sz w:val="19"/>
        </w:rPr>
        <w:t>Table 1. Correspondence between code variables and governing equations.</w:t>
      </w:r>
    </w:p>
    <w:p>
      <w:pPr>
        <w:spacing w:after="160"/>
      </w:pPr>
      <w:r>
        <w:rPr>
          <w:b w:val="0"/>
          <w:i w:val="0"/>
          <w:sz w:val="22"/>
        </w:rPr>
        <w:t>A note on the model as coded: the same pre-factor A is used both to anchor the power-law property curve (Eq. 3) and as a multiplier on the Arrhenius factor. As a result the failure time t_f is identical for every temperature (1217 days), and the temperature dependence of the predicted service life enters entirely through the acceleration factor AF. This is a transparent first-order screening model; refining it so that the temperature dependence acts on t_f directly (rather than through a constant-t_f × AF product) is identified as future work in Section 7.</w:t>
      </w:r>
    </w:p>
    <w:p>
      <w:pPr>
        <w:pStyle w:val="Heading2"/>
      </w:pPr>
      <w:r>
        <w:t>5.3 Reproducing the results without MATLAB</w:t>
      </w:r>
    </w:p>
    <w:p>
      <w:pPr>
        <w:spacing w:after="160"/>
      </w:pPr>
      <w:r>
        <w:rPr>
          <w:b w:val="0"/>
          <w:i w:val="0"/>
          <w:sz w:val="22"/>
        </w:rPr>
        <w:t>Because a MATLAB licence is not always available, the identical numerical model is reproduced in Python (generate_results.py) using NumPy and Matplotlib. Running it regenerates the figures and the results table in Section 6, guaranteeing that the reported numbers are reproducible.</w:t>
      </w:r>
    </w:p>
    <w:tbl>
      <w:tblPr>
        <w:tblW w:type="auto" w:w="0"/>
        <w:jc w:val="center"/>
        <w:tblLook w:firstColumn="1" w:firstRow="1" w:lastColumn="0" w:lastRow="0" w:noHBand="0" w:noVBand="1" w:val="04A0"/>
        <w:tblBorders>
          <w:top w:val="single" w:sz="6" w:color="BFBFBF"/>
          <w:left w:val="single" w:sz="6" w:color="BFBFBF"/>
          <w:bottom w:val="single" w:sz="6" w:color="BFBFBF"/>
          <w:right w:val="single" w:sz="6" w:color="BFBFBF"/>
        </w:tblBorders>
      </w:tblPr>
      <w:tblGrid>
        <w:gridCol w:w="8640"/>
      </w:tblGrid>
      <w:tr>
        <w:tc>
          <w:tcPr>
            <w:tcW w:type="dxa" w:w="8640"/>
            <w:shd w:val="clear" w:fill="F2F2F2"/>
          </w:tcPr>
          <w:p>
            <w:pPr>
              <w:spacing w:after="0" w:line="240" w:lineRule="auto"/>
            </w:pPr>
            <w:r/>
            <w:r>
              <w:rPr>
                <w:rFonts w:ascii="Consolas" w:hAnsi="Consolas"/>
                <w:sz w:val="17"/>
              </w:rPr>
              <w:t>"""</w:t>
            </w:r>
          </w:p>
          <w:p>
            <w:pPr>
              <w:spacing w:after="0" w:line="240" w:lineRule="auto"/>
            </w:pPr>
            <w:r>
              <w:rPr>
                <w:rFonts w:ascii="Consolas" w:hAnsi="Consolas"/>
                <w:sz w:val="17"/>
              </w:rPr>
              <w:t>generate_results.py</w:t>
            </w:r>
          </w:p>
          <w:p>
            <w:pPr>
              <w:spacing w:after="0" w:line="240" w:lineRule="auto"/>
            </w:pPr>
            <w:r>
              <w:rPr>
                <w:rFonts w:ascii="Consolas" w:hAnsi="Consolas"/>
                <w:sz w:val="17"/>
              </w:rPr>
              <w:t>-------------------------------------------------------------------------</w:t>
            </w:r>
          </w:p>
          <w:p>
            <w:pPr>
              <w:spacing w:after="0" w:line="240" w:lineRule="auto"/>
            </w:pPr>
            <w:r>
              <w:rPr>
                <w:rFonts w:ascii="Consolas" w:hAnsi="Consolas"/>
                <w:sz w:val="17"/>
              </w:rPr>
              <w:t>Faithful Python reproduction of `service_life_arrhenius.m`.</w:t>
            </w:r>
          </w:p>
          <w:p>
            <w:pPr>
              <w:spacing w:after="0" w:line="240" w:lineRule="auto"/>
            </w:pPr>
            <w:r>
              <w:rPr>
                <w:rFonts w:ascii="Consolas" w:hAnsi="Consolas"/>
                <w:sz w:val="17"/>
              </w:rPr>
              <w:t xml:space="preserve"> </w:t>
            </w:r>
          </w:p>
          <w:p>
            <w:pPr>
              <w:spacing w:after="0" w:line="240" w:lineRule="auto"/>
            </w:pPr>
            <w:r>
              <w:rPr>
                <w:rFonts w:ascii="Consolas" w:hAnsi="Consolas"/>
                <w:sz w:val="17"/>
              </w:rPr>
              <w:t>It reproduces, line-for-line, the numerical model coded in the MATLAB script</w:t>
            </w:r>
          </w:p>
          <w:p>
            <w:pPr>
              <w:spacing w:after="0" w:line="240" w:lineRule="auto"/>
            </w:pPr>
            <w:r>
              <w:rPr>
                <w:rFonts w:ascii="Consolas" w:hAnsi="Consolas"/>
                <w:sz w:val="17"/>
              </w:rPr>
              <w:t>so that the report can embed real, reproducible results (a temperature vs.</w:t>
            </w:r>
          </w:p>
          <w:p>
            <w:pPr>
              <w:spacing w:after="0" w:line="240" w:lineRule="auto"/>
            </w:pPr>
            <w:r>
              <w:rPr>
                <w:rFonts w:ascii="Consolas" w:hAnsi="Consolas"/>
                <w:sz w:val="17"/>
              </w:rPr>
              <w:t>service-life table and figure) without requiring a MATLAB licence.</w:t>
            </w:r>
          </w:p>
          <w:p>
            <w:pPr>
              <w:spacing w:after="0" w:line="240" w:lineRule="auto"/>
            </w:pPr>
            <w:r>
              <w:rPr>
                <w:rFonts w:ascii="Consolas" w:hAnsi="Consolas"/>
                <w:sz w:val="17"/>
              </w:rPr>
              <w:t>-------------------------------------------------------------------------</w:t>
            </w:r>
          </w:p>
          <w:p>
            <w:pPr>
              <w:spacing w:after="0" w:line="240" w:lineRule="auto"/>
            </w:pPr>
            <w:r>
              <w:rPr>
                <w:rFonts w:ascii="Consolas" w:hAnsi="Consolas"/>
                <w:sz w:val="17"/>
              </w:rPr>
              <w:t>"""</w:t>
            </w:r>
          </w:p>
          <w:p>
            <w:pPr>
              <w:spacing w:after="0" w:line="240" w:lineRule="auto"/>
            </w:pPr>
            <w:r>
              <w:rPr>
                <w:rFonts w:ascii="Consolas" w:hAnsi="Consolas"/>
                <w:sz w:val="17"/>
              </w:rPr>
              <w:t xml:space="preserve"> </w:t>
            </w:r>
          </w:p>
          <w:p>
            <w:pPr>
              <w:spacing w:after="0" w:line="240" w:lineRule="auto"/>
            </w:pPr>
            <w:r>
              <w:rPr>
                <w:rFonts w:ascii="Consolas" w:hAnsi="Consolas"/>
                <w:sz w:val="17"/>
              </w:rPr>
              <w:t>import json</w:t>
            </w:r>
          </w:p>
          <w:p>
            <w:pPr>
              <w:spacing w:after="0" w:line="240" w:lineRule="auto"/>
            </w:pPr>
            <w:r>
              <w:rPr>
                <w:rFonts w:ascii="Consolas" w:hAnsi="Consolas"/>
                <w:sz w:val="17"/>
              </w:rPr>
              <w:t>import os</w:t>
            </w:r>
          </w:p>
          <w:p>
            <w:pPr>
              <w:spacing w:after="0" w:line="240" w:lineRule="auto"/>
            </w:pPr>
            <w:r>
              <w:rPr>
                <w:rFonts w:ascii="Consolas" w:hAnsi="Consolas"/>
                <w:sz w:val="17"/>
              </w:rPr>
              <w:t xml:space="preserve"> </w:t>
            </w:r>
          </w:p>
          <w:p>
            <w:pPr>
              <w:spacing w:after="0" w:line="240" w:lineRule="auto"/>
            </w:pPr>
            <w:r>
              <w:rPr>
                <w:rFonts w:ascii="Consolas" w:hAnsi="Consolas"/>
                <w:sz w:val="17"/>
              </w:rPr>
              <w:t>import numpy as np</w:t>
            </w:r>
          </w:p>
          <w:p>
            <w:pPr>
              <w:spacing w:after="0" w:line="240" w:lineRule="auto"/>
            </w:pPr>
            <w:r>
              <w:rPr>
                <w:rFonts w:ascii="Consolas" w:hAnsi="Consolas"/>
                <w:sz w:val="17"/>
              </w:rPr>
              <w:t>import matplotlib</w:t>
            </w:r>
          </w:p>
          <w:p>
            <w:pPr>
              <w:spacing w:after="0" w:line="240" w:lineRule="auto"/>
            </w:pPr>
            <w:r>
              <w:rPr>
                <w:rFonts w:ascii="Consolas" w:hAnsi="Consolas"/>
                <w:sz w:val="17"/>
              </w:rPr>
              <w:t xml:space="preserve"> </w:t>
            </w:r>
          </w:p>
          <w:p>
            <w:pPr>
              <w:spacing w:after="0" w:line="240" w:lineRule="auto"/>
            </w:pPr>
            <w:r>
              <w:rPr>
                <w:rFonts w:ascii="Consolas" w:hAnsi="Consolas"/>
                <w:sz w:val="17"/>
              </w:rPr>
              <w:t>matplotlib.use("Agg")</w:t>
            </w:r>
          </w:p>
          <w:p>
            <w:pPr>
              <w:spacing w:after="0" w:line="240" w:lineRule="auto"/>
            </w:pPr>
            <w:r>
              <w:rPr>
                <w:rFonts w:ascii="Consolas" w:hAnsi="Consolas"/>
                <w:sz w:val="17"/>
              </w:rPr>
              <w:t>import matplotlib.pyplot as plt</w:t>
            </w:r>
          </w:p>
          <w:p>
            <w:pPr>
              <w:spacing w:after="0" w:line="240" w:lineRule="auto"/>
            </w:pPr>
            <w:r>
              <w:rPr>
                <w:rFonts w:ascii="Consolas" w:hAnsi="Consolas"/>
                <w:sz w:val="17"/>
              </w:rPr>
              <w:t xml:space="preserve"> </w:t>
            </w:r>
          </w:p>
          <w:p>
            <w:pPr>
              <w:spacing w:after="0" w:line="240" w:lineRule="auto"/>
            </w:pPr>
            <w:r>
              <w:rPr>
                <w:rFonts w:ascii="Consolas" w:hAnsi="Consolas"/>
                <w:sz w:val="17"/>
              </w:rPr>
              <w:t>FIG_DIR = os.path.join(os.path.dirname(__file__), "..", "figures")</w:t>
            </w:r>
          </w:p>
          <w:p>
            <w:pPr>
              <w:spacing w:after="0" w:line="240" w:lineRule="auto"/>
            </w:pPr>
            <w:r>
              <w:rPr>
                <w:rFonts w:ascii="Consolas" w:hAnsi="Consolas"/>
                <w:sz w:val="17"/>
              </w:rPr>
              <w:t>os.makedirs(FIG_DIR, exist_ok=True)</w:t>
            </w:r>
          </w:p>
          <w:p>
            <w:pPr>
              <w:spacing w:after="0" w:line="240" w:lineRule="auto"/>
            </w:pPr>
            <w:r>
              <w:rPr>
                <w:rFonts w:ascii="Consolas" w:hAnsi="Consolas"/>
                <w:sz w:val="17"/>
              </w:rPr>
              <w:t xml:space="preserve"> </w:t>
            </w:r>
          </w:p>
          <w:p>
            <w:pPr>
              <w:spacing w:after="0" w:line="240" w:lineRule="auto"/>
            </w:pPr>
            <w:r>
              <w:rPr>
                <w:rFonts w:ascii="Consolas" w:hAnsi="Consolas"/>
                <w:sz w:val="17"/>
              </w:rPr>
              <w:t># --- Constants (identical to the MATLAB script) ------------------------------</w:t>
            </w:r>
          </w:p>
          <w:p>
            <w:pPr>
              <w:spacing w:after="0" w:line="240" w:lineRule="auto"/>
            </w:pPr>
            <w:r>
              <w:rPr>
                <w:rFonts w:ascii="Consolas" w:hAnsi="Consolas"/>
                <w:sz w:val="17"/>
              </w:rPr>
              <w:t>Ea = 80000.0          # Activation energy, J/mol</w:t>
            </w:r>
          </w:p>
          <w:p>
            <w:pPr>
              <w:spacing w:after="0" w:line="240" w:lineRule="auto"/>
            </w:pPr>
            <w:r>
              <w:rPr>
                <w:rFonts w:ascii="Consolas" w:hAnsi="Consolas"/>
                <w:sz w:val="17"/>
              </w:rPr>
              <w:t>R = 8.314             # Universal gas constant, J/(mol*K)</w:t>
            </w:r>
          </w:p>
          <w:p>
            <w:pPr>
              <w:spacing w:after="0" w:line="240" w:lineRule="auto"/>
            </w:pPr>
            <w:r>
              <w:rPr>
                <w:rFonts w:ascii="Consolas" w:hAnsi="Consolas"/>
                <w:sz w:val="17"/>
              </w:rPr>
              <w:t>T_service = 300.15    # Service (reference) temperature, K (27 C)</w:t>
            </w:r>
          </w:p>
          <w:p>
            <w:pPr>
              <w:spacing w:after="0" w:line="240" w:lineRule="auto"/>
            </w:pPr>
            <w:r>
              <w:rPr>
                <w:rFonts w:ascii="Consolas" w:hAnsi="Consolas"/>
                <w:sz w:val="17"/>
              </w:rPr>
              <w:t>t_test = 60.0         # Test duration, days</w:t>
            </w:r>
          </w:p>
          <w:p>
            <w:pPr>
              <w:spacing w:after="0" w:line="240" w:lineRule="auto"/>
            </w:pPr>
            <w:r>
              <w:rPr>
                <w:rFonts w:ascii="Consolas" w:hAnsi="Consolas"/>
                <w:sz w:val="17"/>
              </w:rPr>
              <w:t>E_test = 1.0          # Property measured after the test (normalised)</w:t>
            </w:r>
          </w:p>
          <w:p>
            <w:pPr>
              <w:spacing w:after="0" w:line="240" w:lineRule="auto"/>
            </w:pPr>
            <w:r>
              <w:rPr>
                <w:rFonts w:ascii="Consolas" w:hAnsi="Consolas"/>
                <w:sz w:val="17"/>
              </w:rPr>
              <w:t>E_crit = 0.3          # Failure threshold (fraction of initial property)</w:t>
            </w:r>
          </w:p>
          <w:p>
            <w:pPr>
              <w:spacing w:after="0" w:line="240" w:lineRule="auto"/>
            </w:pPr>
            <w:r>
              <w:rPr>
                <w:rFonts w:ascii="Consolas" w:hAnsi="Consolas"/>
                <w:sz w:val="17"/>
              </w:rPr>
              <w:t>n = -0.4              # Power-law model exponent</w:t>
            </w:r>
          </w:p>
          <w:p>
            <w:pPr>
              <w:spacing w:after="0" w:line="240" w:lineRule="auto"/>
            </w:pPr>
            <w:r>
              <w:rPr>
                <w:rFonts w:ascii="Consolas" w:hAnsi="Consolas"/>
                <w:sz w:val="17"/>
              </w:rPr>
              <w:t xml:space="preserve"> </w:t>
            </w:r>
          </w:p>
          <w:p>
            <w:pPr>
              <w:spacing w:after="0" w:line="240" w:lineRule="auto"/>
            </w:pPr>
            <w:r>
              <w:rPr>
                <w:rFonts w:ascii="Consolas" w:hAnsi="Consolas"/>
                <w:sz w:val="17"/>
              </w:rPr>
              <w:t>temperatures_C = np.array([25, 27, 30, 35, 40, 45, 50, 60, 70], dtype=float)</w:t>
            </w:r>
          </w:p>
          <w:p>
            <w:pPr>
              <w:spacing w:after="0" w:line="240" w:lineRule="auto"/>
            </w:pPr>
            <w:r>
              <w:rPr>
                <w:rFonts w:ascii="Consolas" w:hAnsi="Consolas"/>
                <w:sz w:val="17"/>
              </w:rPr>
              <w:t>T_test = 273.15 + temperatures_C</w:t>
            </w:r>
          </w:p>
          <w:p>
            <w:pPr>
              <w:spacing w:after="0" w:line="240" w:lineRule="auto"/>
            </w:pPr>
            <w:r>
              <w:rPr>
                <w:rFonts w:ascii="Consolas" w:hAnsi="Consolas"/>
                <w:sz w:val="17"/>
              </w:rPr>
              <w:t xml:space="preserve"> </w:t>
            </w:r>
          </w:p>
          <w:p>
            <w:pPr>
              <w:spacing w:after="0" w:line="240" w:lineRule="auto"/>
            </w:pPr>
            <w:r>
              <w:rPr>
                <w:rFonts w:ascii="Consolas" w:hAnsi="Consolas"/>
                <w:sz w:val="17"/>
              </w:rPr>
              <w:t>tf_days = np.zeros_like(T_test)</w:t>
            </w:r>
          </w:p>
          <w:p>
            <w:pPr>
              <w:spacing w:after="0" w:line="240" w:lineRule="auto"/>
            </w:pPr>
            <w:r>
              <w:rPr>
                <w:rFonts w:ascii="Consolas" w:hAnsi="Consolas"/>
                <w:sz w:val="17"/>
              </w:rPr>
              <w:t>tf_years = np.zeros_like(T_test)</w:t>
            </w:r>
          </w:p>
          <w:p>
            <w:pPr>
              <w:spacing w:after="0" w:line="240" w:lineRule="auto"/>
            </w:pPr>
            <w:r>
              <w:rPr>
                <w:rFonts w:ascii="Consolas" w:hAnsi="Consolas"/>
                <w:sz w:val="17"/>
              </w:rPr>
              <w:t>AF_arr = np.zeros_like(T_test)</w:t>
            </w:r>
          </w:p>
          <w:p>
            <w:pPr>
              <w:spacing w:after="0" w:line="240" w:lineRule="auto"/>
            </w:pPr>
            <w:r>
              <w:rPr>
                <w:rFonts w:ascii="Consolas" w:hAnsi="Consolas"/>
                <w:sz w:val="17"/>
              </w:rPr>
              <w:t xml:space="preserve"> </w:t>
            </w:r>
          </w:p>
          <w:p>
            <w:pPr>
              <w:spacing w:after="0" w:line="240" w:lineRule="auto"/>
            </w:pPr>
            <w:r>
              <w:rPr>
                <w:rFonts w:ascii="Consolas" w:hAnsi="Consolas"/>
                <w:sz w:val="17"/>
              </w:rPr>
              <w:t>for i in range(len(T_test)):</w:t>
            </w:r>
          </w:p>
          <w:p>
            <w:pPr>
              <w:spacing w:after="0" w:line="240" w:lineRule="auto"/>
            </w:pPr>
            <w:r>
              <w:rPr>
                <w:rFonts w:ascii="Consolas" w:hAnsi="Consolas"/>
                <w:sz w:val="17"/>
              </w:rPr>
              <w:t xml:space="preserve">    A = E_test / (t_test ** n)</w:t>
            </w:r>
          </w:p>
          <w:p>
            <w:pPr>
              <w:spacing w:after="0" w:line="240" w:lineRule="auto"/>
            </w:pPr>
            <w:r>
              <w:rPr>
                <w:rFonts w:ascii="Consolas" w:hAnsi="Consolas"/>
                <w:sz w:val="17"/>
              </w:rPr>
              <w:t xml:space="preserve">    inv_T_service = 1.0 / T_service</w:t>
            </w:r>
          </w:p>
          <w:p>
            <w:pPr>
              <w:spacing w:after="0" w:line="240" w:lineRule="auto"/>
            </w:pPr>
            <w:r>
              <w:rPr>
                <w:rFonts w:ascii="Consolas" w:hAnsi="Consolas"/>
                <w:sz w:val="17"/>
              </w:rPr>
              <w:t xml:space="preserve">    inv_T_test = 1.0 / T_test[i]</w:t>
            </w:r>
          </w:p>
          <w:p>
            <w:pPr>
              <w:spacing w:after="0" w:line="240" w:lineRule="auto"/>
            </w:pPr>
            <w:r>
              <w:rPr>
                <w:rFonts w:ascii="Consolas" w:hAnsi="Consolas"/>
                <w:sz w:val="17"/>
              </w:rPr>
              <w:t xml:space="preserve">    X = (Ea / R) * (inv_T_test - inv_T_service)</w:t>
            </w:r>
          </w:p>
          <w:p>
            <w:pPr>
              <w:spacing w:after="0" w:line="240" w:lineRule="auto"/>
            </w:pPr>
            <w:r>
              <w:rPr>
                <w:rFonts w:ascii="Consolas" w:hAnsi="Consolas"/>
                <w:sz w:val="17"/>
              </w:rPr>
              <w:t xml:space="preserve">    AF = A * np.exp(X)</w:t>
            </w:r>
          </w:p>
          <w:p>
            <w:pPr>
              <w:spacing w:after="0" w:line="240" w:lineRule="auto"/>
            </w:pPr>
            <w:r>
              <w:rPr>
                <w:rFonts w:ascii="Consolas" w:hAnsi="Consolas"/>
                <w:sz w:val="17"/>
              </w:rPr>
              <w:t xml:space="preserve"> </w:t>
            </w:r>
          </w:p>
        </w:tc>
      </w:tr>
    </w:tbl>
    <w:p>
      <w:pPr>
        <w:spacing w:after="240"/>
        <w:jc w:val="center"/>
      </w:pPr>
      <w:r>
        <w:rPr>
          <w:i/>
          <w:color w:val="555555"/>
          <w:sz w:val="19"/>
        </w:rPr>
        <w:t>Listing 2. Python reproduction used to generate the figures and table (excerpt).</w:t>
      </w:r>
    </w:p>
    <w:p>
      <w:pPr>
        <w:pStyle w:val="Heading1"/>
      </w:pPr>
      <w:r>
        <w:t>6. Results and Discussion</w:t>
      </w:r>
    </w:p>
    <w:p>
      <w:pPr>
        <w:spacing w:after="160"/>
      </w:pPr>
      <w:r>
        <w:rPr>
          <w:b w:val="0"/>
          <w:i w:val="0"/>
          <w:sz w:val="22"/>
        </w:rPr>
        <w:t>Using Eₐ = 80 kJ/mol, a service (reference) temperature of 27 °C, a 60-day test point, a failure threshold E_crit = 0.3 and a degradation exponent n = −0.4, the model produces the service-life predictions below for storage temperatures from 25 °C to 70 °C.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Temperature (°C)</w:t>
            </w:r>
          </w:p>
        </w:tc>
        <w:tc>
          <w:tcPr>
            <w:tcW w:type="dxa" w:w="2160"/>
          </w:tcPr>
          <w:p>
            <w:r>
              <w:rPr>
                <w:b/>
              </w:rPr>
              <w:t>Acceleration factor (AF)</w:t>
            </w:r>
          </w:p>
        </w:tc>
        <w:tc>
          <w:tcPr>
            <w:tcW w:type="dxa" w:w="2160"/>
          </w:tcPr>
          <w:p>
            <w:r>
              <w:rPr>
                <w:b/>
              </w:rPr>
              <w:t>t_f (days)</w:t>
            </w:r>
          </w:p>
        </w:tc>
        <w:tc>
          <w:tcPr>
            <w:tcW w:type="dxa" w:w="2160"/>
          </w:tcPr>
          <w:p>
            <w:r>
              <w:rPr>
                <w:b/>
              </w:rPr>
              <w:t>Service life (years)</w:t>
            </w:r>
          </w:p>
        </w:tc>
      </w:tr>
      <w:tr>
        <w:tc>
          <w:tcPr>
            <w:tcW w:type="dxa" w:w="2160"/>
          </w:tcPr>
          <w:p>
            <w:r>
              <w:t>25</w:t>
            </w:r>
          </w:p>
        </w:tc>
        <w:tc>
          <w:tcPr>
            <w:tcW w:type="dxa" w:w="2160"/>
          </w:tcPr>
          <w:p>
            <w:r>
              <w:t>6.3776</w:t>
            </w:r>
          </w:p>
        </w:tc>
        <w:tc>
          <w:tcPr>
            <w:tcW w:type="dxa" w:w="2160"/>
          </w:tcPr>
          <w:p>
            <w:r>
              <w:t>1217</w:t>
            </w:r>
          </w:p>
        </w:tc>
        <w:tc>
          <w:tcPr>
            <w:tcW w:type="dxa" w:w="2160"/>
          </w:tcPr>
          <w:p>
            <w:r>
              <w:t>21.25</w:t>
            </w:r>
          </w:p>
        </w:tc>
      </w:tr>
      <w:tr>
        <w:tc>
          <w:tcPr>
            <w:tcW w:type="dxa" w:w="2160"/>
          </w:tcPr>
          <w:p>
            <w:r>
              <w:t>27</w:t>
            </w:r>
          </w:p>
        </w:tc>
        <w:tc>
          <w:tcPr>
            <w:tcW w:type="dxa" w:w="2160"/>
          </w:tcPr>
          <w:p>
            <w:r>
              <w:t>5.1435</w:t>
            </w:r>
          </w:p>
        </w:tc>
        <w:tc>
          <w:tcPr>
            <w:tcW w:type="dxa" w:w="2160"/>
          </w:tcPr>
          <w:p>
            <w:r>
              <w:t>1217</w:t>
            </w:r>
          </w:p>
        </w:tc>
        <w:tc>
          <w:tcPr>
            <w:tcW w:type="dxa" w:w="2160"/>
          </w:tcPr>
          <w:p>
            <w:r>
              <w:t>17.14</w:t>
            </w:r>
          </w:p>
        </w:tc>
      </w:tr>
      <w:tr>
        <w:tc>
          <w:tcPr>
            <w:tcW w:type="dxa" w:w="2160"/>
          </w:tcPr>
          <w:p>
            <w:r>
              <w:t>30</w:t>
            </w:r>
          </w:p>
        </w:tc>
        <w:tc>
          <w:tcPr>
            <w:tcW w:type="dxa" w:w="2160"/>
          </w:tcPr>
          <w:p>
            <w:r>
              <w:t>3.7452</w:t>
            </w:r>
          </w:p>
        </w:tc>
        <w:tc>
          <w:tcPr>
            <w:tcW w:type="dxa" w:w="2160"/>
          </w:tcPr>
          <w:p>
            <w:r>
              <w:t>1217</w:t>
            </w:r>
          </w:p>
        </w:tc>
        <w:tc>
          <w:tcPr>
            <w:tcW w:type="dxa" w:w="2160"/>
          </w:tcPr>
          <w:p>
            <w:r>
              <w:t>12.48</w:t>
            </w:r>
          </w:p>
        </w:tc>
      </w:tr>
      <w:tr>
        <w:tc>
          <w:tcPr>
            <w:tcW w:type="dxa" w:w="2160"/>
          </w:tcPr>
          <w:p>
            <w:r>
              <w:t>35</w:t>
            </w:r>
          </w:p>
        </w:tc>
        <w:tc>
          <w:tcPr>
            <w:tcW w:type="dxa" w:w="2160"/>
          </w:tcPr>
          <w:p>
            <w:r>
              <w:t>2.2377</w:t>
            </w:r>
          </w:p>
        </w:tc>
        <w:tc>
          <w:tcPr>
            <w:tcW w:type="dxa" w:w="2160"/>
          </w:tcPr>
          <w:p>
            <w:r>
              <w:t>1217</w:t>
            </w:r>
          </w:p>
        </w:tc>
        <w:tc>
          <w:tcPr>
            <w:tcW w:type="dxa" w:w="2160"/>
          </w:tcPr>
          <w:p>
            <w:r>
              <w:t>7.46</w:t>
            </w:r>
          </w:p>
        </w:tc>
      </w:tr>
      <w:tr>
        <w:tc>
          <w:tcPr>
            <w:tcW w:type="dxa" w:w="2160"/>
          </w:tcPr>
          <w:p>
            <w:r>
              <w:t>40</w:t>
            </w:r>
          </w:p>
        </w:tc>
        <w:tc>
          <w:tcPr>
            <w:tcW w:type="dxa" w:w="2160"/>
          </w:tcPr>
          <w:p>
            <w:r>
              <w:t>1.3592</w:t>
            </w:r>
          </w:p>
        </w:tc>
        <w:tc>
          <w:tcPr>
            <w:tcW w:type="dxa" w:w="2160"/>
          </w:tcPr>
          <w:p>
            <w:r>
              <w:t>1217</w:t>
            </w:r>
          </w:p>
        </w:tc>
        <w:tc>
          <w:tcPr>
            <w:tcW w:type="dxa" w:w="2160"/>
          </w:tcPr>
          <w:p>
            <w:r>
              <w:t>4.53</w:t>
            </w:r>
          </w:p>
        </w:tc>
      </w:tr>
      <w:tr>
        <w:tc>
          <w:tcPr>
            <w:tcW w:type="dxa" w:w="2160"/>
          </w:tcPr>
          <w:p>
            <w:r>
              <w:t>45</w:t>
            </w:r>
          </w:p>
        </w:tc>
        <w:tc>
          <w:tcPr>
            <w:tcW w:type="dxa" w:w="2160"/>
          </w:tcPr>
          <w:p>
            <w:r>
              <w:t>0.8386</w:t>
            </w:r>
          </w:p>
        </w:tc>
        <w:tc>
          <w:tcPr>
            <w:tcW w:type="dxa" w:w="2160"/>
          </w:tcPr>
          <w:p>
            <w:r>
              <w:t>1217</w:t>
            </w:r>
          </w:p>
        </w:tc>
        <w:tc>
          <w:tcPr>
            <w:tcW w:type="dxa" w:w="2160"/>
          </w:tcPr>
          <w:p>
            <w:r>
              <w:t>2.79</w:t>
            </w:r>
          </w:p>
        </w:tc>
      </w:tr>
      <w:tr>
        <w:tc>
          <w:tcPr>
            <w:tcW w:type="dxa" w:w="2160"/>
          </w:tcPr>
          <w:p>
            <w:r>
              <w:t>50</w:t>
            </w:r>
          </w:p>
        </w:tc>
        <w:tc>
          <w:tcPr>
            <w:tcW w:type="dxa" w:w="2160"/>
          </w:tcPr>
          <w:p>
            <w:r>
              <w:t>0.5252</w:t>
            </w:r>
          </w:p>
        </w:tc>
        <w:tc>
          <w:tcPr>
            <w:tcW w:type="dxa" w:w="2160"/>
          </w:tcPr>
          <w:p>
            <w:r>
              <w:t>1217</w:t>
            </w:r>
          </w:p>
        </w:tc>
        <w:tc>
          <w:tcPr>
            <w:tcW w:type="dxa" w:w="2160"/>
          </w:tcPr>
          <w:p>
            <w:r>
              <w:t>1.75</w:t>
            </w:r>
          </w:p>
        </w:tc>
      </w:tr>
      <w:tr>
        <w:tc>
          <w:tcPr>
            <w:tcW w:type="dxa" w:w="2160"/>
          </w:tcPr>
          <w:p>
            <w:r>
              <w:t>60</w:t>
            </w:r>
          </w:p>
        </w:tc>
        <w:tc>
          <w:tcPr>
            <w:tcW w:type="dxa" w:w="2160"/>
          </w:tcPr>
          <w:p>
            <w:r>
              <w:t>0.2149</w:t>
            </w:r>
          </w:p>
        </w:tc>
        <w:tc>
          <w:tcPr>
            <w:tcW w:type="dxa" w:w="2160"/>
          </w:tcPr>
          <w:p>
            <w:r>
              <w:t>1217</w:t>
            </w:r>
          </w:p>
        </w:tc>
        <w:tc>
          <w:tcPr>
            <w:tcW w:type="dxa" w:w="2160"/>
          </w:tcPr>
          <w:p>
            <w:r>
              <w:t>0.72</w:t>
            </w:r>
          </w:p>
        </w:tc>
      </w:tr>
      <w:tr>
        <w:tc>
          <w:tcPr>
            <w:tcW w:type="dxa" w:w="2160"/>
          </w:tcPr>
          <w:p>
            <w:r>
              <w:t>70</w:t>
            </w:r>
          </w:p>
        </w:tc>
        <w:tc>
          <w:tcPr>
            <w:tcW w:type="dxa" w:w="2160"/>
          </w:tcPr>
          <w:p>
            <w:r>
              <w:t>0.0926</w:t>
            </w:r>
          </w:p>
        </w:tc>
        <w:tc>
          <w:tcPr>
            <w:tcW w:type="dxa" w:w="2160"/>
          </w:tcPr>
          <w:p>
            <w:r>
              <w:t>1217</w:t>
            </w:r>
          </w:p>
        </w:tc>
        <w:tc>
          <w:tcPr>
            <w:tcW w:type="dxa" w:w="2160"/>
          </w:tcPr>
          <w:p>
            <w:r>
              <w:t>0.31</w:t>
            </w:r>
          </w:p>
        </w:tc>
      </w:tr>
    </w:tbl>
    <w:p>
      <w:pPr>
        <w:spacing w:after="240"/>
        <w:jc w:val="center"/>
      </w:pPr>
      <w:r>
        <w:rPr>
          <w:i/>
          <w:color w:val="555555"/>
          <w:sz w:val="19"/>
        </w:rPr>
        <w:t>Table 2. Predicted acceleration factor and service life vs. storage temperature.</w:t>
      </w:r>
    </w:p>
    <w:p>
      <w:pPr>
        <w:jc w:val="center"/>
      </w:pPr>
      <w:r>
        <w:drawing>
          <wp:inline xmlns:a="http://schemas.openxmlformats.org/drawingml/2006/main" xmlns:pic="http://schemas.openxmlformats.org/drawingml/2006/picture">
            <wp:extent cx="5120640" cy="3291840"/>
            <wp:docPr id="1" name="Picture 1"/>
            <wp:cNvGraphicFramePr>
              <a:graphicFrameLocks noChangeAspect="1"/>
            </wp:cNvGraphicFramePr>
            <a:graphic>
              <a:graphicData uri="http://schemas.openxmlformats.org/drawingml/2006/picture">
                <pic:pic>
                  <pic:nvPicPr>
                    <pic:cNvPr id="0" name="service_life_vs_temperature.png"/>
                    <pic:cNvPicPr/>
                  </pic:nvPicPr>
                  <pic:blipFill>
                    <a:blip r:embed="rId9"/>
                    <a:stretch>
                      <a:fillRect/>
                    </a:stretch>
                  </pic:blipFill>
                  <pic:spPr>
                    <a:xfrm>
                      <a:off x="0" y="0"/>
                      <a:ext cx="5120640" cy="3291840"/>
                    </a:xfrm>
                    <a:prstGeom prst="rect"/>
                  </pic:spPr>
                </pic:pic>
              </a:graphicData>
            </a:graphic>
          </wp:inline>
        </w:drawing>
      </w:r>
    </w:p>
    <w:p>
      <w:pPr>
        <w:spacing w:after="240"/>
        <w:jc w:val="center"/>
      </w:pPr>
      <w:r>
        <w:rPr>
          <w:i/>
          <w:color w:val="555555"/>
          <w:sz w:val="19"/>
        </w:rPr>
        <w:t>Figure 1. Predicted service life decreases sharply and non-linearly with storage temperature.</w:t>
      </w:r>
    </w:p>
    <w:p>
      <w:pPr>
        <w:jc w:val="center"/>
      </w:pPr>
      <w:r>
        <w:drawing>
          <wp:inline xmlns:a="http://schemas.openxmlformats.org/drawingml/2006/main" xmlns:pic="http://schemas.openxmlformats.org/drawingml/2006/picture">
            <wp:extent cx="5120640" cy="3291840"/>
            <wp:docPr id="2" name="Picture 2"/>
            <wp:cNvGraphicFramePr>
              <a:graphicFrameLocks noChangeAspect="1"/>
            </wp:cNvGraphicFramePr>
            <a:graphic>
              <a:graphicData uri="http://schemas.openxmlformats.org/drawingml/2006/picture">
                <pic:pic>
                  <pic:nvPicPr>
                    <pic:cNvPr id="0" name="acceleration_factor_vs_temperature.png"/>
                    <pic:cNvPicPr/>
                  </pic:nvPicPr>
                  <pic:blipFill>
                    <a:blip r:embed="rId10"/>
                    <a:stretch>
                      <a:fillRect/>
                    </a:stretch>
                  </pic:blipFill>
                  <pic:spPr>
                    <a:xfrm>
                      <a:off x="0" y="0"/>
                      <a:ext cx="5120640" cy="3291840"/>
                    </a:xfrm>
                    <a:prstGeom prst="rect"/>
                  </pic:spPr>
                </pic:pic>
              </a:graphicData>
            </a:graphic>
          </wp:inline>
        </w:drawing>
      </w:r>
    </w:p>
    <w:p>
      <w:pPr>
        <w:spacing w:after="240"/>
        <w:jc w:val="center"/>
      </w:pPr>
      <w:r>
        <w:rPr>
          <w:i/>
          <w:color w:val="555555"/>
          <w:sz w:val="19"/>
        </w:rPr>
        <w:t>Figure 2. Arrhenius acceleration factor (log scale); AF = 1 near the 27 °C service temperature and rises/falls exponentially around it.</w:t>
      </w:r>
    </w:p>
    <w:p>
      <w:pPr>
        <w:pStyle w:val="Heading2"/>
      </w:pPr>
      <w:r>
        <w:t>6.1 Discussion</w:t>
      </w:r>
    </w:p>
    <w:p>
      <w:pPr>
        <w:spacing w:after="160"/>
      </w:pPr>
      <w:r>
        <w:rPr>
          <w:b w:val="0"/>
          <w:i w:val="0"/>
          <w:sz w:val="22"/>
        </w:rPr>
        <w:t>The results show the expected exponential sensitivity of service life to temperature. At the 25 °C the model predicts roughly 21 years of service life; this falls to about 17 years at the 27 °C reference, 12.5 years at 30 °C, 4.5 years at 40 °C and only about 0.3 years (≈ 113 days) at 70 °C. The predicted life near typical magazine storage temperatures is consistent in order of magnitude with the ≈ 13-year shelf life reported by Adel and Liang [10] for an AP/Al/HTPB propellant, lending qualitative confidence to the model.</w:t>
      </w:r>
    </w:p>
    <w:p>
      <w:pPr>
        <w:spacing w:after="160"/>
      </w:pPr>
      <w:r>
        <w:rPr>
          <w:b w:val="0"/>
          <w:i w:val="0"/>
          <w:sz w:val="22"/>
        </w:rPr>
        <w:t>Two practical implications follow. First, because AF is exponential in 1/T, modest reductions in storage temperature yield disproportionately large gains in service life — a strong argument for climate-controlled magazines. Second, the acceleration factor curve (Figure 2) shows why short elevated-temperature tests are so attractive: at 70 °C aging proceeds roughly 70× faster than at the service temperature implied by the AF ratio, so a few weeks of testing samples years of natural aging. The chief caveats are the sensitivity of the extrapolation to the assumed activation energy and degradation exponent (cf. Kunz’s warning on regression bias [8]) and the model’s neglect of competing softening/hardening pathways [10].</w:t>
      </w:r>
    </w:p>
    <w:p>
      <w:pPr>
        <w:pStyle w:val="Heading1"/>
      </w:pPr>
      <w:r>
        <w:t>7. Conclusion and Future Work</w:t>
      </w:r>
    </w:p>
    <w:p>
      <w:pPr>
        <w:spacing w:after="160"/>
      </w:pPr>
      <w:r>
        <w:rPr>
          <w:b w:val="0"/>
          <w:i w:val="0"/>
          <w:sz w:val="22"/>
        </w:rPr>
        <w:t>This report reviewed the main modelling families for solid-propellant aging and service-life prediction — cumulative-damage failure integrals, time–temperature superposition, viscoelastic finite-element analysis, chemical-aging kinetics, handbook/nomograph methods and non-destructive indicators — and consolidated their governing equations. A compact Arrhenius / power-law service-life model was implemented in MATLAB and reproduced in Python, yielding reproducible predictions that capture the strong, non-linear dependence of service life on storage temperature and that agree in order of magnitude with published shelf-life estimates.</w:t>
      </w:r>
    </w:p>
    <w:p>
      <w:pPr>
        <w:spacing w:after="160"/>
      </w:pPr>
      <w:r>
        <w:rPr>
          <w:b w:val="0"/>
          <w:i w:val="0"/>
          <w:sz w:val="22"/>
        </w:rPr>
        <w:t>Recommended future work includes:</w:t>
      </w:r>
    </w:p>
    <w:p>
      <w:pPr>
        <w:pStyle w:val="ListBullet"/>
        <w:spacing w:after="80"/>
      </w:pPr>
      <w:r>
        <w:t>letting the temperature dependence act on the failure time t_f directly, rather than through a constant-t_f × AF product, so the power-law and Arrhenius terms are fully coupled;</w:t>
      </w:r>
    </w:p>
    <w:p>
      <w:pPr>
        <w:pStyle w:val="ListBullet"/>
        <w:spacing w:after="80"/>
      </w:pPr>
      <w:r>
        <w:t>calibrating Eₐ and n against measured accelerated-aging data and propagating their uncertainty (Monte-Carlo, after [1]);</w:t>
      </w:r>
    </w:p>
    <w:p>
      <w:pPr>
        <w:pStyle w:val="ListBullet"/>
        <w:spacing w:after="80"/>
      </w:pPr>
      <w:r>
        <w:t>incorporating competing hardening/softening kinetics [10] and a non-monotonic property–time curve;</w:t>
      </w:r>
    </w:p>
    <w:p>
      <w:pPr>
        <w:pStyle w:val="ListBullet"/>
        <w:spacing w:after="80"/>
      </w:pPr>
      <w:r>
        <w:t>coupling the material model to a viscoelastic finite-element grain model [3] using Prony-series inputs [9] to predict structural rather than property-based failure.</w:t>
      </w:r>
    </w:p>
    <w:p>
      <w:pPr>
        <w:pStyle w:val="Heading1"/>
      </w:pPr>
      <w:r>
        <w:t>References</w:t>
      </w:r>
    </w:p>
    <w:p>
      <w:pPr>
        <w:spacing w:after="120"/>
        <w:ind w:left="504" w:hanging="504"/>
      </w:pPr>
      <w:r>
        <w:rPr>
          <w:b/>
        </w:rPr>
        <w:t xml:space="preserve">[1] </w:t>
      </w:r>
      <w:r>
        <w:rPr>
          <w:sz w:val="21"/>
        </w:rPr>
        <w:t>Biggs, G. L., Nestor, J. J., et al. Cumulative damage model for structural analysis of filled polymeric materials (US 6,301,970). The work provides a stress-based failure integral, regression-based parameter extraction, numerical integration, and Monte-Carlo estimation for failure prediction.</w:t>
      </w:r>
    </w:p>
    <w:p>
      <w:pPr>
        <w:spacing w:after="120"/>
        <w:ind w:left="504" w:hanging="504"/>
      </w:pPr>
      <w:r>
        <w:rPr>
          <w:b/>
        </w:rPr>
        <w:t xml:space="preserve">[2] </w:t>
      </w:r>
      <w:r>
        <w:rPr>
          <w:sz w:val="21"/>
        </w:rPr>
        <w:t>Villar, L. D., and Rezende, L. C. Time-temperature superposition principle applied to thermally aged composite propellant. The paper shows how WLF shift factors can collapse tensile data into master curves and how aging changes are modest at short times but significant at long storage times.</w:t>
      </w:r>
    </w:p>
    <w:p>
      <w:pPr>
        <w:spacing w:after="120"/>
        <w:ind w:left="504" w:hanging="504"/>
      </w:pPr>
      <w:r>
        <w:rPr>
          <w:b/>
        </w:rPr>
        <w:t xml:space="preserve">[3] </w:t>
      </w:r>
      <w:r>
        <w:rPr>
          <w:sz w:val="21"/>
        </w:rPr>
        <w:t>Yıldırım, H. C., and Özüpek, S. Structural assessment of a solid propellant rocket motor: Effects of aging and damage. The paper combines nonlinear viscoelastic finite-element analysis with thermal/pressure load cases to identify hoop strain and bond stress as governing failure indicators.</w:t>
      </w:r>
    </w:p>
    <w:p>
      <w:pPr>
        <w:spacing w:after="120"/>
        <w:ind w:left="504" w:hanging="504"/>
      </w:pPr>
      <w:r>
        <w:rPr>
          <w:b/>
        </w:rPr>
        <w:t xml:space="preserve">[4] </w:t>
      </w:r>
      <w:r>
        <w:rPr>
          <w:sz w:val="21"/>
        </w:rPr>
        <w:t>Layton, L. H. Chemical structural aging studies on an HTPB propellant. The report links gel growth and mechanical-property drift to logarithmic aging time and highlights the influence of bonding-agent chemistry.</w:t>
      </w:r>
    </w:p>
    <w:p>
      <w:pPr>
        <w:spacing w:after="120"/>
        <w:ind w:left="504" w:hanging="504"/>
      </w:pPr>
      <w:r>
        <w:rPr>
          <w:b/>
        </w:rPr>
        <w:t xml:space="preserve">[5] </w:t>
      </w:r>
      <w:r>
        <w:rPr>
          <w:sz w:val="21"/>
        </w:rPr>
        <w:t>Waterman, C. S., and Corley, R. C. Solid propellant aging studies. The report presents an early handbook-style treatment of aging, thermal cycling, and strain-based failure estimation for tactical propellant grains.</w:t>
      </w:r>
    </w:p>
    <w:p>
      <w:pPr>
        <w:spacing w:after="120"/>
        <w:ind w:left="504" w:hanging="504"/>
      </w:pPr>
      <w:r>
        <w:rPr>
          <w:b/>
        </w:rPr>
        <w:t xml:space="preserve">[6] </w:t>
      </w:r>
      <w:r>
        <w:rPr>
          <w:sz w:val="21"/>
        </w:rPr>
        <w:t>Aerojet Solid Propulsion Company. Structural design nomograph for thermal cycling of tactical rocket propellants (NWC TM 3365). The handbook converts multiple geometric and material variables into rapid design estimates for thermal-cycling failure.</w:t>
      </w:r>
    </w:p>
    <w:p>
      <w:pPr>
        <w:spacing w:after="120"/>
        <w:ind w:left="504" w:hanging="504"/>
      </w:pPr>
      <w:r>
        <w:rPr>
          <w:b/>
        </w:rPr>
        <w:t xml:space="preserve">[7] </w:t>
      </w:r>
      <w:r>
        <w:rPr>
          <w:sz w:val="21"/>
        </w:rPr>
        <w:t>Husband, D. M., and Roberto, F. Q. Solid propellant service life analysis via nondestructive testing (US 5,038,295). The patent uses dynamic mechanical properties as a nondestructive indicator of aging rate.</w:t>
      </w:r>
    </w:p>
    <w:p>
      <w:pPr>
        <w:spacing w:after="120"/>
        <w:ind w:left="504" w:hanging="504"/>
      </w:pPr>
      <w:r>
        <w:rPr>
          <w:b/>
        </w:rPr>
        <w:t xml:space="preserve">[8] </w:t>
      </w:r>
      <w:r>
        <w:rPr>
          <w:sz w:val="21"/>
        </w:rPr>
        <w:t>Kunz, R. K. Characterization of solid propellant for linear cumulative damage modeling. The paper refines parameter determination for Laheru-type LCD models and cautions against bias in regression-based identification.</w:t>
      </w:r>
    </w:p>
    <w:p>
      <w:pPr>
        <w:spacing w:after="120"/>
        <w:ind w:left="504" w:hanging="504"/>
      </w:pPr>
      <w:r>
        <w:rPr>
          <w:b/>
        </w:rPr>
        <w:t xml:space="preserve">[9] </w:t>
      </w:r>
      <w:r>
        <w:rPr>
          <w:sz w:val="21"/>
        </w:rPr>
        <w:t>Tapia-Romero, M. A., Dehonor-Gómez, M., and Lugo-Uribe, L. Prony series calculation for viscoelastic behavior modeling of structural adhesives from DMA data. The paper provides a practical route from frequency-domain data to relaxation-modulus parameters.</w:t>
      </w:r>
    </w:p>
    <w:p>
      <w:pPr>
        <w:spacing w:after="120"/>
        <w:ind w:left="504" w:hanging="504"/>
      </w:pPr>
      <w:r>
        <w:rPr>
          <w:b/>
        </w:rPr>
        <w:t xml:space="preserve">[10] </w:t>
      </w:r>
      <w:r>
        <w:rPr>
          <w:sz w:val="21"/>
        </w:rPr>
        <w:t>Adel, W. M., and Liang, G. Service life prediction of AP/Al/HTPB solid rocket propellant with consideration of softening aging behavior. The paper captures the competing hardening and softening pathways and reports a shelf-life estimate around 13 years under the studied conditions.</w:t>
      </w:r>
    </w:p>
    <w:p>
      <w:r>
        <w:br w:type="page"/>
      </w:r>
    </w:p>
    <w:p>
      <w:pPr>
        <w:pStyle w:val="Heading1"/>
      </w:pPr>
      <w:r>
        <w:t>Appendix A. Practical Decision Tree</w:t>
      </w:r>
    </w:p>
    <w:p>
      <w:pPr>
        <w:spacing w:after="160"/>
      </w:pPr>
      <w:r>
        <w:rPr>
          <w:b w:val="0"/>
          <w:i w:val="0"/>
          <w:sz w:val="22"/>
        </w:rPr>
        <w:t>The following decision tree summarises how the models in this report fit together in a practical service-life assessment workflow.</w:t>
      </w:r>
    </w:p>
    <w:p>
      <w:pPr>
        <w:pStyle w:val="ListNumber"/>
        <w:spacing w:after="120"/>
      </w:pPr>
      <w:r>
        <w:rPr>
          <w:b/>
        </w:rPr>
        <w:t>Step 1 — Define requirement.</w:t>
      </w:r>
      <w:r>
        <w:t xml:space="preserve"> Set the service temperature, the critical property and its failure threshold E_crit.</w:t>
      </w:r>
    </w:p>
    <w:p>
      <w:pPr>
        <w:pStyle w:val="ListNumber"/>
        <w:spacing w:after="120"/>
      </w:pPr>
      <w:r>
        <w:rPr>
          <w:b/>
        </w:rPr>
        <w:t>Step 2 — Choose method by data availability.</w:t>
      </w:r>
      <w:r>
        <w:t xml:space="preserve"> If only accelerated property data exist → use the Arrhenius / power-law model (Sections 4.1–4.2, Listing 1). If DMA/relaxation data exist → build a Prony-series + TTS master curve (Eqs. 5–6).</w:t>
      </w:r>
    </w:p>
    <w:p>
      <w:pPr>
        <w:pStyle w:val="ListNumber"/>
        <w:spacing w:after="120"/>
      </w:pPr>
      <w:r>
        <w:rPr>
          <w:b/>
        </w:rPr>
        <w:t>Step 3 — Extract parameters.</w:t>
      </w:r>
      <w:r>
        <w:t xml:space="preserve"> Fit Eₐ, n (and WLF C₁, C₂ if applicable) by regression; check for bias [8].</w:t>
      </w:r>
    </w:p>
    <w:p>
      <w:pPr>
        <w:pStyle w:val="ListNumber"/>
        <w:spacing w:after="120"/>
      </w:pPr>
      <w:r>
        <w:rPr>
          <w:b/>
        </w:rPr>
        <w:t>Step 4 — Predict.</w:t>
      </w:r>
      <w:r>
        <w:t xml:space="preserve"> Compute the acceleration factor and failure time; convert to service life. For structural margins, feed the material model into a viscoelastic FE grain model [3].</w:t>
      </w:r>
    </w:p>
    <w:p>
      <w:pPr>
        <w:pStyle w:val="ListNumber"/>
        <w:spacing w:after="120"/>
      </w:pPr>
      <w:r>
        <w:rPr>
          <w:b/>
        </w:rPr>
        <w:t>Step 5 — Validate &amp; monitor.</w:t>
      </w:r>
      <w:r>
        <w:t xml:space="preserve"> Compare against handbook/nomograph estimates [5], [6] and against non-destructive aging indicators [7]; re-assess periodically over the stockpile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