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D50"/>
          <w:sz w:val="16"/>
          <w:szCs w:val="16"/>
        </w:rPr>
        <w:t xml:space="preserve">PAYOUT-MANAGEMENT-SYSTEM / DOCS / LLD</w:t>
      </w:r>
    </w:p>
    <w:p>
      <w:pPr>
        <w:pStyle w:val="Title"/>
        <w:spacing w:after="300"/>
      </w:pPr>
      <w:r>
        <w:t xml:space="preserve">Low-Level Design</w:t>
      </w: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ARCHITECTURE</w:t>
      </w:r>
    </w:p>
    <w:p>
      <w:pPr>
        <w:pStyle w:val="Heading1"/>
        <w:spacing w:after="150" w:before="300"/>
      </w:pPr>
      <w:r>
        <w:t xml:space="preserve">Layered Structure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Routes handle HTTP only. Services hold all business logic. Models are the ORM layer. Schemas guard the API boundary.</w:t>
      </w:r>
    </w:p>
    <w:p>
      <w:pPr>
        <w:spacing w:after="300" w:before="100"/>
        <w:jc w:val="center"/>
      </w:pPr>
      <w:r>
        <w:drawing>
          <wp:inline distT="0" distB="0" distL="0" distR="0">
            <wp:extent cx="447675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DESIGN RATIONALE</w:t>
      </w:r>
    </w:p>
    <w:p>
      <w:pPr>
        <w:pStyle w:val="Heading1"/>
        <w:spacing w:after="150" w:before="300"/>
      </w:pPr>
      <w:r>
        <w:t xml:space="preserve">Business Rule Enforcement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How each of the four core rules from the assignment is enforced, at a glance.</w:t>
      </w:r>
    </w:p>
    <w:tbl>
      <w:tblPr>
        <w:tblW w:type="dxa" w:w="9350"/>
        <w:tblBorders>
          <w:top w:val="single" w:color="DCDAD3" w:sz="4"/>
          <w:left w:val="single" w:color="DCDAD3" w:sz="4"/>
          <w:bottom w:val="single" w:color="DCDAD3" w:sz="4"/>
          <w:right w:val="single" w:color="DCDAD3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F5D50"/>
                <w:sz w:val="15"/>
                <w:szCs w:val="15"/>
              </w:rPr>
              <w:t xml:space="preserve">RULE 1</w:t>
            </w:r>
          </w:p>
          <w:p>
            <w:pPr>
              <w:spacing w:after="60" w:before="60"/>
            </w:pPr>
            <w:r>
              <w:rPr>
                <w:b/>
                <w:bCs/>
                <w:color w:val="1C2124"/>
                <w:sz w:val="23"/>
                <w:szCs w:val="23"/>
              </w:rPr>
              <w:t xml:space="preserve">Advance Payout Idempotency</w:t>
            </w:r>
          </w:p>
          <w:p>
            <w:r>
              <w:rPr>
                <w:color w:val="45494C"/>
                <w:sz w:val="20"/>
                <w:szCs w:val="20"/>
              </w:rPr>
              <w:t xml:space="preserve">Sale.advance_paid starts at 0 and is set once. The job's eligibility check is a single O(1) condition — safe to re-run any number of times.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DCDAD3" w:sz="4"/>
          <w:left w:val="single" w:color="DCDAD3" w:sz="4"/>
          <w:bottom w:val="single" w:color="DCDAD3" w:sz="4"/>
          <w:right w:val="single" w:color="DCDAD3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F5D50"/>
                <w:sz w:val="15"/>
                <w:szCs w:val="15"/>
              </w:rPr>
              <w:t xml:space="preserve">RULE 2</w:t>
            </w:r>
          </w:p>
          <w:p>
            <w:pPr>
              <w:spacing w:after="60" w:before="60"/>
            </w:pPr>
            <w:r>
              <w:rPr>
                <w:b/>
                <w:bCs/>
                <w:color w:val="1C2124"/>
                <w:sz w:val="23"/>
                <w:szCs w:val="23"/>
              </w:rPr>
              <w:t xml:space="preserve">Final Payout Calculation</w:t>
            </w:r>
          </w:p>
          <w:p>
            <w:r>
              <w:rPr>
                <w:color w:val="45494C"/>
                <w:sz w:val="20"/>
                <w:szCs w:val="20"/>
              </w:rPr>
              <w:t xml:space="preserve">Computed inside the same transaction that flips the sale's status. is_reconciled prevents the adjustment from ever being applied twice.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DCDAD3" w:sz="4"/>
          <w:left w:val="single" w:color="DCDAD3" w:sz="4"/>
          <w:bottom w:val="single" w:color="DCDAD3" w:sz="4"/>
          <w:right w:val="single" w:color="DCDAD3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F5D50"/>
                <w:sz w:val="15"/>
                <w:szCs w:val="15"/>
              </w:rPr>
              <w:t xml:space="preserve">RULE 3</w:t>
            </w:r>
          </w:p>
          <w:p>
            <w:pPr>
              <w:spacing w:after="60" w:before="60"/>
            </w:pPr>
            <w:r>
              <w:rPr>
                <w:b/>
                <w:bCs/>
                <w:color w:val="1C2124"/>
                <w:sz w:val="23"/>
                <w:szCs w:val="23"/>
              </w:rPr>
              <w:t xml:space="preserve">Withdrawal Cooldown</w:t>
            </w:r>
          </w:p>
          <w:p>
            <w:r>
              <w:rPr>
                <w:color w:val="45494C"/>
                <w:sz w:val="20"/>
                <w:szCs w:val="20"/>
              </w:rPr>
              <w:t xml:space="preserve">User.last_withdrawal_at checked against now minus 24h. No separate rate-limiter table needed — one timestamp column suffices.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DCDAD3" w:sz="4"/>
          <w:left w:val="single" w:color="DCDAD3" w:sz="4"/>
          <w:bottom w:val="single" w:color="DCDAD3" w:sz="4"/>
          <w:right w:val="single" w:color="DCDAD3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F5D50"/>
                <w:sz w:val="15"/>
                <w:szCs w:val="15"/>
              </w:rPr>
              <w:t xml:space="preserve">QUESTION 2</w:t>
            </w:r>
          </w:p>
          <w:p>
            <w:pPr>
              <w:spacing w:after="60" w:before="60"/>
            </w:pPr>
            <w:r>
              <w:rPr>
                <w:b/>
                <w:bCs/>
                <w:color w:val="1C2124"/>
                <w:sz w:val="23"/>
                <w:szCs w:val="23"/>
              </w:rPr>
              <w:t xml:space="preserve">Failed Payout Recovery</w:t>
            </w:r>
          </w:p>
          <w:p>
            <w:r>
              <w:rPr>
                <w:color w:val="45494C"/>
                <w:sz w:val="20"/>
                <w:szCs w:val="20"/>
              </w:rPr>
              <w:t xml:space="preserve">A status transition into a bad terminal state immediately credits the amount back, stamped with recovered_at. A batch sweep catches anything missed.</w:t>
            </w:r>
          </w:p>
        </w:tc>
      </w:tr>
    </w:tbl>
    <w:p>
      <w:pPr>
        <w:spacing w:after="150"/>
      </w:pP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DATA INTEGRITY</w:t>
      </w:r>
    </w:p>
    <w:p>
      <w:pPr>
        <w:pStyle w:val="Heading1"/>
        <w:spacing w:after="150" w:before="300"/>
      </w:pPr>
      <w:r>
        <w:t xml:space="preserve">Transaction Boundaries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Every balance-mutating operation commits atomically per unit of work.</w:t>
      </w:r>
    </w:p>
    <w:p>
      <w:pPr>
        <w:spacing w:after="300" w:before="100"/>
        <w:jc w:val="center"/>
      </w:pPr>
      <w:r>
        <w:drawing>
          <wp:inline distT="0" distB="0" distL="0" distR="0">
            <wp:extent cx="447675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45494C"/>
          <w:sz w:val="21"/>
          <w:szCs w:val="21"/>
        </w:rPr>
        <w:t xml:space="preserve">Note: batch reconciliation runs the Reconciliation transaction once per sale independently — not wrapped in one outer transaction. See design-decisions.docx.</w:t>
      </w: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SCOPE</w:t>
      </w:r>
    </w:p>
    <w:p>
      <w:pPr>
        <w:pStyle w:val="Heading1"/>
        <w:spacing w:after="150" w:before="300"/>
      </w:pPr>
      <w:r>
        <w:t xml:space="preserve">Explicitly Out of Scope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Kept out deliberately to match intern-level scope: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 / authorization (admin vs. user roles)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Distributed locking across multiple concurrent job workers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payment processor integration (simulated via status-update endpoint)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Multi-currency / locale support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12e5018bcfad696c8384a898277399a7c5a375.png"/><Relationship Id="rId8" Type="http://schemas.openxmlformats.org/officeDocument/2006/relationships/image" Target="media/dd0aadd42d539550b0ace03933379dcc0ad0023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2026-07-19T03:38:24.175Z</dcterms:created>
  <dcterms:modified xsi:type="dcterms:W3CDTF">2026-07-19T03:38:24.175Z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