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D50"/>
          <w:sz w:val="16"/>
          <w:szCs w:val="16"/>
        </w:rPr>
        <w:t xml:space="preserve">PAYOUT-MANAGEMENT-SYSTEM / DOCS / DATABASE-SCHEMA</w:t>
      </w:r>
    </w:p>
    <w:p>
      <w:pPr>
        <w:pStyle w:val="Title"/>
        <w:spacing w:after="300"/>
      </w:pPr>
      <w:r>
        <w:t xml:space="preserve">Database Schema</w:t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SCHEMA</w:t>
      </w:r>
    </w:p>
    <w:p>
      <w:pPr>
        <w:pStyle w:val="Heading1"/>
        <w:spacing w:after="150" w:before="300"/>
      </w:pPr>
      <w:r>
        <w:t xml:space="preserve">Entity-Relationship Diagram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One user has many sales and many payouts. A payout may optionally reference the sale that generated it — nullable for withdrawals, which draw from the aggregated balance rather than one sale.</w:t>
      </w:r>
    </w:p>
    <w:p>
      <w:pPr>
        <w:spacing w:after="300" w:before="100"/>
        <w:jc w:val="center"/>
      </w:pPr>
      <w:r>
        <w:drawing>
          <wp:inline distT="0" distB="0" distL="0" distR="0">
            <wp:extent cx="16573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TABLES</w:t>
      </w:r>
    </w:p>
    <w:p>
      <w:pPr>
        <w:pStyle w:val="Heading1"/>
        <w:spacing w:after="150" w:before="300"/>
      </w:pPr>
      <w:r>
        <w:t xml:space="preserve">Column-Level Detail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</w:tblGrid>
      <w:tr>
        <w:tc>
          <w:tcPr>
            <w:tcW w:type="dxa" w:w="6200"/>
            <w:gridSpan w:val="2"/>
            <w:shd w:fill="2F5D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INTEGER PK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VARCHAR(100) UK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VARCHAR(255)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withdrawable_balance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NUMERIC(12,2)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last_withdrawal_at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TIMESTAMPTZ?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TIMESTAMPTZ</w:t>
            </w:r>
          </w:p>
        </w:tc>
      </w:tr>
    </w:tbl>
    <w:p>
      <w:pPr>
        <w:spacing w:after="20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</w:tblGrid>
      <w:tr>
        <w:tc>
          <w:tcPr>
            <w:tcW w:type="dxa" w:w="6200"/>
            <w:gridSpan w:val="2"/>
            <w:shd w:fill="2F5D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INTEGER PK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FK -&gt; users.id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VARCHAR(100)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ENUM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earning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NUMERIC(12,2)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advance_paid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NUMERIC(12,2)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is_reconciled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BOOLEAN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reconciled_at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TIMESTAMPTZ?</w:t>
            </w:r>
          </w:p>
        </w:tc>
      </w:tr>
    </w:tbl>
    <w:p>
      <w:pPr>
        <w:spacing w:after="20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</w:tblGrid>
      <w:tr>
        <w:tc>
          <w:tcPr>
            <w:tcW w:type="dxa" w:w="6200"/>
            <w:gridSpan w:val="2"/>
            <w:shd w:fill="2F5D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payouts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INTEGER PK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FK -&gt; users.id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sale_id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FK -&gt; sales.id?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payout_type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ENUM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ENUM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NUMERIC(12,2)</w:t>
            </w:r>
          </w:p>
        </w:tc>
      </w:tr>
      <w:tr>
        <w:tc>
          <w:tcPr>
            <w:tcW w:type="dxa" w:w="34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8"/>
                <w:szCs w:val="18"/>
              </w:rPr>
              <w:t xml:space="preserve">recovered_at</w:t>
            </w:r>
          </w:p>
        </w:tc>
        <w:tc>
          <w:tcPr>
            <w:tcW w:type="dxa" w:w="2800"/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TIMESTAMPTZ?</w:t>
            </w:r>
          </w:p>
        </w:tc>
      </w:tr>
    </w:tbl>
    <w:p>
      <w:pPr>
        <w:spacing w:after="300"/>
      </w:pP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PERFORMANCE</w:t>
      </w:r>
    </w:p>
    <w:p>
      <w:pPr>
        <w:pStyle w:val="Heading1"/>
        <w:spacing w:after="150" w:before="300"/>
      </w:pPr>
      <w:r>
        <w:t xml:space="preserve">Indexing Map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Every index maps directly to a real query pattern in the service layer — no speculative indexing.</w:t>
      </w:r>
    </w:p>
    <w:p>
      <w:pPr>
        <w:spacing w:after="300" w:before="100"/>
        <w:jc w:val="center"/>
      </w:pPr>
      <w:r>
        <w:drawing>
          <wp:inline distT="0" distB="0" distL="0" distR="0">
            <wp:extent cx="4029075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d17a0df733936f54962f40e91e92be3a309681.png"/><Relationship Id="rId8" Type="http://schemas.openxmlformats.org/officeDocument/2006/relationships/image" Target="media/4016bb41d095efd1a263cc743b29f20f9af0d27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2026-07-19T03:41:03.270Z</dcterms:created>
  <dcterms:modified xsi:type="dcterms:W3CDTF">2026-07-19T03:41:03.270Z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