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Pr>
      <w:tblGrid>
        <w:gridCol w:w="4320"/>
        <w:gridCol w:w="4320"/>
      </w:tblGrid>
      <w:tr>
        <w:tc>
          <w:tcPr>
            <w:tcW w:type="dxa" w:w="4320"/>
          </w:tcPr>
          <w:p>
            <w:r>
              <w:rPr>
                <w:sz w:val="19"/>
              </w:rPr>
              <w:t>MASTER SERVICES AGREEMENT</w:t>
            </w:r>
          </w:p>
        </w:tc>
        <w:tc>
          <w:tcPr>
            <w:tcW w:type="dxa" w:w="4320"/>
          </w:tcPr>
          <w:p>
            <w:r>
              <w:rPr>
                <w:sz w:val="19"/>
              </w:rPr>
              <w:t>between Northwind Software LLP and Cobalt Retail Group</w:t>
            </w:r>
          </w:p>
        </w:tc>
      </w:tr>
    </w:tbl>
    <w:p>
      <w:r>
        <w:t>This Master Services Agreement (the “Agreement”) is entered into on 3 August 2026 (the “Effective Date”) between Northwind Software LLP, a limited liability partnership registered at Pune (“Supplier”), and Cobalt Retail Group Ltd, Mumbai (“Client”).</w:t>
      </w:r>
    </w:p>
    <w:p>
      <w:pPr>
        <w:pStyle w:val="Heading2"/>
      </w:pPr>
      <w:r>
        <w:t>1. SERVICES AND SOWs</w:t>
      </w:r>
    </w:p>
    <w:p>
      <w:r>
        <w:t>1.1 Supplier shall provide software development and data-engineering services described in one or more mutually executed statements of work (“SOW”), each incorporated into this Agreement. In case of conflict, this Agreement prevails over a SOW unless the SOW expressly states otherwise.</w:t>
      </w:r>
    </w:p>
    <w:p>
      <w:r>
        <w:t>1.2 Changes to a SOW follow the change-control procedure in the SOW; no change is effective without written approval of both parties' authorised representatives.</w:t>
      </w:r>
    </w:p>
    <w:p>
      <w:pPr>
        <w:pStyle w:val="Heading2"/>
      </w:pPr>
      <w:r>
        <w:t>2. FEES, INVOICING AND TAXES</w:t>
      </w:r>
    </w:p>
    <w:p>
      <w:r>
        <w:t>2.1 Fees are as stated in each SOW. Unless the SOW states otherwise, Supplier invoices monthly in arrears and Client pays each correct invoice within forty-five (45) days of receipt.</w:t>
      </w:r>
    </w:p>
    <w:p>
      <w:r>
        <w:t>2.2 Undisputed overdue amounts accrue interest at 1.5% per month. Client may withhold only the disputed portion, giving written reasons within ten (10) days of invoice date. GST is payable in addition and appears as a separate invoice line.</w:t>
      </w:r>
    </w:p>
    <w:p>
      <w:pPr>
        <w:pStyle w:val="Heading2"/>
      </w:pPr>
      <w:r>
        <w:t>3. TERM AND TERMINATION</w:t>
      </w:r>
    </w:p>
    <w:p>
      <w:r>
        <w:t>3.1 This Agreement runs for twenty-four (24) months from the Effective Date and renews for successive twelve (12) month terms unless either party gives sixty (60) days' non-renewal notice.</w:t>
      </w:r>
    </w:p>
    <w:p>
      <w:r>
        <w:t>3.2 Either party may terminate for material breach not cured within thirty (30) days of written notice, or immediately on insolvency of the other party. Client may terminate any SOW for convenience on thirty (30) days' notice, paying for work performed to the termination date.</w:t>
      </w:r>
    </w:p>
    <w:p>
      <w:r>
        <w:t>3.3 On termination, Supplier shall deliver all completed work product paid for, and Client shall pay undisputed amounts accrued. Clauses 4 (IP), 5 (Confidentiality) and 6 (Liability) survive.</w:t>
      </w:r>
    </w:p>
    <w:p>
      <w:pPr>
        <w:pStyle w:val="Heading2"/>
      </w:pPr>
      <w:r>
        <w:t>4. INTELLECTUAL PROPERTY</w:t>
      </w:r>
    </w:p>
    <w:p>
      <w:r>
        <w:t>4.1 On full payment, Supplier assigns to Client all bespoke deliverables developed specifically for Client under the applicable SOW. Supplier retains its frameworks, libraries and know-how, and grants Client a perpetual, non-exclusive licence to use them embedded in the deliverables.</w:t>
      </w:r>
    </w:p>
    <w:p>
      <w:pPr>
        <w:pStyle w:val="Heading2"/>
      </w:pPr>
      <w:r>
        <w:t>5. CONFIDENTIALITY</w:t>
      </w:r>
    </w:p>
    <w:p>
      <w:r>
        <w:t>5.1 Each party protects the other's confidential information with at least reasonable care and uses it only to perform this Agreement. The obligation lasts for the term and three (3) years after.</w:t>
      </w:r>
    </w:p>
    <w:p>
      <w:pPr>
        <w:pStyle w:val="Heading2"/>
      </w:pPr>
      <w:r>
        <w:t>6. LIABILITY</w:t>
      </w:r>
    </w:p>
    <w:p>
      <w:r>
        <w:t>6.1 Neither party is liable for indirect or consequential loss. Each party's aggregate liability is capped at the fees paid or payable in the twelve (12) months preceding the claim; the cap does not apply to breach of confidentiality, IP infringement or wilful misconduct.</w:t>
      </w:r>
    </w:p>
    <w:p>
      <w:pPr>
        <w:pStyle w:val="Heading2"/>
      </w:pPr>
      <w:r>
        <w:t>7. GENERAL</w:t>
      </w:r>
    </w:p>
    <w:p>
      <w:r>
        <w:t>7.1 Governing law is that of India; courts at Pune have exclusive jurisdiction, subject to good-faith escalation of thirty (30) days. Neither party may assign without consent, save to a group company on notice. This Agreement is the entire understanding of the parties.</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t>STATEMENT OF WORK No. SOW-2026-04</w:t>
            </w:r>
          </w:p>
        </w:tc>
        <w:tc>
          <w:tcPr>
            <w:tcW w:type="dxa" w:w="4320"/>
          </w:tcPr>
          <w:p>
            <w:r>
              <w:rPr>
                <w:sz w:val="19"/>
              </w:rPr>
              <w:t>under the Master Services Agreement dated 3 August 2026</w:t>
            </w:r>
          </w:p>
        </w:tc>
      </w:tr>
    </w:tbl>
    <w:p>
      <w:r>
        <w:t>1. SCOPE. Supplier shall design and build a real-time inventory reconciliation pipeline connecting the Client's point-of-sale systems (12 stores) to the Client's ERP, including data validation rules, exception dashboards and handover documentation.</w:t>
      </w:r>
    </w:p>
    <w:p>
      <w:r>
        <w:t>2. DELIVERABLES. (a) Solution design document; (b) working pipeline in the Client's AWS environment; (c) exception dashboard; (d) runbook and two training sessions.</w:t>
      </w:r>
    </w:p>
    <w:p>
      <w:r>
        <w:t>3. TIMELINE. Sixteen (16) weeks from kick-off, subject to Client dependencies listed in Schedule 1. Delay caused solely by Client dependencies extends the timeline day-for-day.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t>Role</w:t>
            </w:r>
          </w:p>
        </w:tc>
        <w:tc>
          <w:tcPr>
            <w:tcW w:type="dxa" w:w="2880"/>
          </w:tcPr>
          <w:p>
            <w:r>
              <w:rPr>
                <w:sz w:val="19"/>
              </w:rPr>
              <w:t>Rate (Rs. / month)</w:t>
            </w:r>
          </w:p>
        </w:tc>
        <w:tc>
          <w:tcPr>
            <w:tcW w:type="dxa" w:w="2880"/>
          </w:tcPr>
          <w:p>
            <w:r>
              <w:rPr>
                <w:sz w:val="19"/>
              </w:rPr>
              <w:t>Persons</w:t>
            </w:r>
          </w:p>
        </w:tc>
      </w:tr>
      <w:tr>
        <w:tc>
          <w:tcPr>
            <w:tcW w:type="dxa" w:w="2880"/>
          </w:tcPr>
          <w:p>
            <w:r>
              <w:rPr>
                <w:sz w:val="19"/>
              </w:rPr>
              <w:t>Solution architect</w:t>
            </w:r>
          </w:p>
        </w:tc>
        <w:tc>
          <w:tcPr>
            <w:tcW w:type="dxa" w:w="2880"/>
          </w:tcPr>
          <w:p>
            <w:r>
              <w:rPr>
                <w:sz w:val="19"/>
              </w:rPr>
              <w:t>3,20,000</w:t>
            </w:r>
          </w:p>
        </w:tc>
        <w:tc>
          <w:tcPr>
            <w:tcW w:type="dxa" w:w="2880"/>
          </w:tcPr>
          <w:p>
            <w:r>
              <w:rPr>
                <w:sz w:val="19"/>
              </w:rPr>
              <w:t>1</w:t>
            </w:r>
          </w:p>
        </w:tc>
      </w:tr>
      <w:tr>
        <w:tc>
          <w:tcPr>
            <w:tcW w:type="dxa" w:w="2880"/>
          </w:tcPr>
          <w:p>
            <w:r>
              <w:rPr>
                <w:sz w:val="19"/>
              </w:rPr>
              <w:t>Senior data engineer</w:t>
            </w:r>
          </w:p>
        </w:tc>
        <w:tc>
          <w:tcPr>
            <w:tcW w:type="dxa" w:w="2880"/>
          </w:tcPr>
          <w:p>
            <w:r>
              <w:rPr>
                <w:sz w:val="19"/>
              </w:rPr>
              <w:t>2,40,000</w:t>
            </w:r>
          </w:p>
        </w:tc>
        <w:tc>
          <w:tcPr>
            <w:tcW w:type="dxa" w:w="2880"/>
          </w:tcPr>
          <w:p>
            <w:r>
              <w:rPr>
                <w:sz w:val="19"/>
              </w:rPr>
              <w:t>2</w:t>
            </w:r>
          </w:p>
        </w:tc>
      </w:tr>
      <w:tr>
        <w:tc>
          <w:tcPr>
            <w:tcW w:type="dxa" w:w="2880"/>
          </w:tcPr>
          <w:p>
            <w:r>
              <w:rPr>
                <w:sz w:val="19"/>
              </w:rPr>
              <w:t>QA engineer</w:t>
            </w:r>
          </w:p>
        </w:tc>
        <w:tc>
          <w:tcPr>
            <w:tcW w:type="dxa" w:w="2880"/>
          </w:tcPr>
          <w:p>
            <w:r>
              <w:rPr>
                <w:sz w:val="19"/>
              </w:rPr>
              <w:t>1,60,000</w:t>
            </w:r>
          </w:p>
        </w:tc>
        <w:tc>
          <w:tcPr>
            <w:tcW w:type="dxa" w:w="2880"/>
          </w:tcPr>
          <w:p>
            <w:r>
              <w:rPr>
                <w:sz w:val="19"/>
              </w:rPr>
              <w:t>1</w:t>
            </w:r>
          </w:p>
        </w:tc>
      </w:tr>
    </w:tbl>
    <w:p>
      <w:r>
        <w:t>4. ACCEPTANCE. Client tests each deliverable against the acceptance criteria within ten (10) working days of delivery; silence constitutes acceptance. Defects are classified as critical (fix within 2 business days), major (5) or minor (10).</w:t>
      </w:r>
    </w:p>
    <w:p>
      <w:r>
        <w:t>5. KEY PERSONNEL. The named architect may not be replaced without Client consent, save for reasons outside Supplier's control.</w:t>
      </w:r>
    </w:p>
    <w:p>
      <w:r>
        <w:t>Signed: Supplier - A. Deshpande, Delivery Head. Client - S. Iyer, VP Technology. Date: 20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