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LightGrid-Accent1"/>
        <w:tblW w:type="auto" w:w="0"/>
        <w:tblLook w:firstColumn="1" w:firstRow="1" w:lastColumn="0" w:lastRow="0" w:noHBand="0" w:noVBand="1" w:val="04A0"/>
      </w:tblPr>
      <w:tblGrid>
        <w:gridCol w:w="4320"/>
        <w:gridCol w:w="4320"/>
      </w:tblGrid>
      <w:tr>
        <w:tc>
          <w:tcPr>
            <w:tcW w:type="dxa" w:w="4320"/>
          </w:tcPr>
          <w:p>
            <w:r>
              <w:rPr>
                <w:sz w:val="19"/>
              </w:rPr>
              <w:t>LOAN AGREEMENT</w:t>
            </w:r>
          </w:p>
        </w:tc>
        <w:tc>
          <w:tcPr>
            <w:tcW w:type="dxa" w:w="4320"/>
          </w:tcPr>
          <w:p>
            <w:r>
              <w:rPr>
                <w:sz w:val="19"/>
              </w:rPr>
              <w:t>Meridian Small Finance Bank Ltd - Borrower: Kavita &amp; Sons Traders</w:t>
            </w:r>
          </w:p>
        </w:tc>
      </w:tr>
    </w:tbl>
    <w:p>
      <w:r>
        <w:t>This Loan Agreement is made on 15 July 2026 between Meridian Small Finance Bank Ltd ("the Bank"), having its registered office at 9 Arena House, Jaipur, and Kavita &amp; Sons Traders, a proprietary concern represented by its proprietor Kavita Joshi ("the Borrower").</w:t>
      </w:r>
    </w:p>
    <w:p>
      <w:pPr>
        <w:pStyle w:val="Heading2"/>
      </w:pPr>
      <w:r>
        <w:t>1. LOAN AMOUNT AND PURPOSE</w:t>
      </w:r>
    </w:p>
    <w:p>
      <w:r>
        <w:t>1.1 The Bank grants a working-capital term loan of Rs. 18,00,000/- (Rupees eighteen lakh only) ("the Loan") for inventory purchase at the Borrower's Jaipur store. Diversion of the Loan to any other purpose is an Event of Default.</w:t>
      </w:r>
    </w:p>
    <w:p>
      <w:pPr>
        <w:pStyle w:val="Heading2"/>
      </w:pPr>
      <w:r>
        <w:t>2. INTEREST</w:t>
      </w:r>
    </w:p>
    <w:p>
      <w:r>
        <w:t>2.1 Interest accrues at 14.5% per annum on the daily outstanding balance, computed on actual/365 days, from the date of disbursement until full repayment.</w:t>
      </w:r>
    </w:p>
    <w:p>
      <w:r>
        <w:t>2.2 The Bank may reset the interest rate every twelve (12) months per its board policy on external benchmark movements, with thirty (30) days' written notice; the spread of 5.75% remains unchanged.</w:t>
      </w:r>
    </w:p>
    <w:p>
      <w:pPr>
        <w:pStyle w:val="Heading2"/>
      </w:pPr>
      <w:r>
        <w:t>3. REPAYMENT</w:t>
      </w:r>
    </w:p>
    <w:p>
      <w:r>
        <w:t>3.1 The Loan is repayable in sixty (60) equated monthly instalments (EMIs) of approximately Rs. 42,397/- each, beginning 5 September 2026, on the 5th of every month.</w:t>
      </w:r>
    </w:p>
    <w:tbl>
      <w:tblPr>
        <w:tblStyle w:val="LightGrid-Accent1"/>
        <w:tblW w:type="auto" w:w="0"/>
        <w:tblLook w:firstColumn="1" w:firstRow="1" w:lastColumn="0" w:lastRow="0" w:noHBand="0" w:noVBand="1" w:val="04A0"/>
      </w:tblPr>
      <w:tblGrid>
        <w:gridCol w:w="4320"/>
        <w:gridCol w:w="4320"/>
      </w:tblGrid>
      <w:tr>
        <w:tc>
          <w:tcPr>
            <w:tcW w:type="dxa" w:w="4320"/>
          </w:tcPr>
          <w:p>
            <w:r>
              <w:rPr>
                <w:sz w:val="19"/>
              </w:rPr>
              <w:t>Item</w:t>
            </w:r>
          </w:p>
        </w:tc>
        <w:tc>
          <w:tcPr>
            <w:tcW w:type="dxa" w:w="4320"/>
          </w:tcPr>
          <w:p>
            <w:r>
              <w:rPr>
                <w:sz w:val="19"/>
              </w:rPr>
              <w:t>Value</w:t>
            </w:r>
          </w:p>
        </w:tc>
      </w:tr>
      <w:tr>
        <w:tc>
          <w:tcPr>
            <w:tcW w:type="dxa" w:w="4320"/>
          </w:tcPr>
          <w:p>
            <w:r>
              <w:rPr>
                <w:sz w:val="19"/>
              </w:rPr>
              <w:t>Principal</w:t>
            </w:r>
          </w:p>
        </w:tc>
        <w:tc>
          <w:tcPr>
            <w:tcW w:type="dxa" w:w="4320"/>
          </w:tcPr>
          <w:p>
            <w:r>
              <w:rPr>
                <w:sz w:val="19"/>
              </w:rPr>
              <w:t>Rs. 18,00,000</w:t>
            </w:r>
          </w:p>
        </w:tc>
      </w:tr>
      <w:tr>
        <w:tc>
          <w:tcPr>
            <w:tcW w:type="dxa" w:w="4320"/>
          </w:tcPr>
          <w:p>
            <w:r>
              <w:rPr>
                <w:sz w:val="19"/>
              </w:rPr>
              <w:t>Interest rate</w:t>
            </w:r>
          </w:p>
        </w:tc>
        <w:tc>
          <w:tcPr>
            <w:tcW w:type="dxa" w:w="4320"/>
          </w:tcPr>
          <w:p>
            <w:r>
              <w:rPr>
                <w:sz w:val="19"/>
              </w:rPr>
              <w:t>14.5% p.a. (floating, reset annually)</w:t>
            </w:r>
          </w:p>
        </w:tc>
      </w:tr>
      <w:tr>
        <w:tc>
          <w:tcPr>
            <w:tcW w:type="dxa" w:w="4320"/>
          </w:tcPr>
          <w:p>
            <w:r>
              <w:rPr>
                <w:sz w:val="19"/>
              </w:rPr>
              <w:t>Tenure</w:t>
            </w:r>
          </w:p>
        </w:tc>
        <w:tc>
          <w:tcPr>
            <w:tcW w:type="dxa" w:w="4320"/>
          </w:tcPr>
          <w:p>
            <w:r>
              <w:rPr>
                <w:sz w:val="19"/>
              </w:rPr>
              <w:t>60 months</w:t>
            </w:r>
          </w:p>
        </w:tc>
      </w:tr>
      <w:tr>
        <w:tc>
          <w:tcPr>
            <w:tcW w:type="dxa" w:w="4320"/>
          </w:tcPr>
          <w:p>
            <w:r>
              <w:rPr>
                <w:sz w:val="19"/>
              </w:rPr>
              <w:t>EMI</w:t>
            </w:r>
          </w:p>
        </w:tc>
        <w:tc>
          <w:tcPr>
            <w:tcW w:type="dxa" w:w="4320"/>
          </w:tcPr>
          <w:p>
            <w:r>
              <w:rPr>
                <w:sz w:val="19"/>
              </w:rPr>
              <w:t>Rs. 42,397 (approx.)</w:t>
            </w:r>
          </w:p>
        </w:tc>
      </w:tr>
      <w:tr>
        <w:tc>
          <w:tcPr>
            <w:tcW w:type="dxa" w:w="4320"/>
          </w:tcPr>
          <w:p>
            <w:r>
              <w:rPr>
                <w:sz w:val="19"/>
              </w:rPr>
              <w:t>Processing fee</w:t>
            </w:r>
          </w:p>
        </w:tc>
        <w:tc>
          <w:tcPr>
            <w:tcW w:type="dxa" w:w="4320"/>
          </w:tcPr>
          <w:p>
            <w:r>
              <w:rPr>
                <w:sz w:val="19"/>
              </w:rPr>
              <w:t>Rs. 18,000 (1%), non-refundable</w:t>
            </w:r>
          </w:p>
        </w:tc>
      </w:tr>
      <w:tr>
        <w:tc>
          <w:tcPr>
            <w:tcW w:type="dxa" w:w="4320"/>
          </w:tcPr>
          <w:p>
            <w:r>
              <w:rPr>
                <w:sz w:val="19"/>
              </w:rPr>
              <w:t>Prepayment charge</w:t>
            </w:r>
          </w:p>
        </w:tc>
        <w:tc>
          <w:tcPr>
            <w:tcW w:type="dxa" w:w="4320"/>
          </w:tcPr>
          <w:p>
            <w:r>
              <w:rPr>
                <w:sz w:val="19"/>
              </w:rPr>
              <w:t>Nil after 12 EMIs; 3% of prepaid amount before</w:t>
            </w:r>
          </w:p>
        </w:tc>
      </w:tr>
    </w:tbl>
    <w:p>
      <w:r>
        <w:t>3.2 Payments are applied first to costs, then interest, then principal. A payment returned for insufficient funds attracts Rs. 590/- per bounce plus applicable GST.</w:t>
      </w:r>
    </w:p>
    <w:p>
      <w:pPr>
        <w:pStyle w:val="Heading2"/>
      </w:pPr>
      <w:r>
        <w:t>4. SECURITY</w:t>
      </w:r>
    </w:p>
    <w:p>
      <w:r>
        <w:t>4.1 The Loan is secured by (a) hypothecation over inventory financed, and (b) personal guarantee of the proprietor and of Mr. Rakesh Joshi, documented separately.</w:t>
      </w:r>
    </w:p>
    <w:p>
      <w:pPr>
        <w:pStyle w:val="Heading2"/>
      </w:pPr>
      <w:r>
        <w:t>5. EVENTS OF DEFAULT AND ACCELERATION</w:t>
      </w:r>
    </w:p>
    <w:p>
      <w:r>
        <w:t>5.1 Each of the following is an Event of Default: (a) EMI unpaid for ninety (90) days; (b) material misstatement in the loan application; (c) disposal of secured inventory other than in ordinary trading; (d) insolvency proceedings against the Borrower.</w:t>
      </w:r>
    </w:p>
    <w:p>
      <w:r>
        <w:t>5.2 On an Event of Default the Bank may declare the entire outstanding immediately payable ("acceleration"), enforce the security, and apply proceeds per Clause 3.2. Penal interest of 2% p.a. over the applicable rate applies to overdue amounts for the overdue period only.</w:t>
      </w:r>
    </w:p>
    <w:p>
      <w:pPr>
        <w:pStyle w:val="Heading2"/>
      </w:pPr>
      <w:r>
        <w:t>6. GENERAL</w:t>
      </w:r>
    </w:p>
    <w:p>
      <w:r>
        <w:t>6.1 The Borrower authorises the Bank to report credit information to credit bureaus as per applicable RBI regulation. Notices to the addresses in the application are valid. This Agreement is governed by Indian law; courts at Jaipur have exclusive jurisdiction.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