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tcPr>
          <w:p>
            <w:r>
              <w:rPr>
                <w:sz w:val="19"/>
              </w:rPr>
              <w:t>MEMORANDUM OF UNDERSTANDING</w:t>
            </w:r>
          </w:p>
        </w:tc>
        <w:tc>
          <w:tcPr>
            <w:tcW w:type="dxa" w:w="4320"/>
          </w:tcPr>
          <w:p>
            <w:r>
              <w:rPr>
                <w:sz w:val="19"/>
              </w:rPr>
              <w:t>Silverline Ventures and Aarambh Robotics</w:t>
            </w:r>
          </w:p>
        </w:tc>
      </w:tr>
    </w:tbl>
    <w:p>
      <w:r>
        <w:t>This Memorandum of Understanding ("MOU") is made on 22 February 2027 between Silverline Ventures Fund II, Delhi (“Investor”) and Aarambh Robotics Private Limited, Noida (“Company”). It records the principal terms on which the Investor proposes to invest in the Company's Series A financing, and is EXCEPT AS STATED IN CLAUSE 7 NOT LEGALLY BINDING.</w:t>
      </w:r>
    </w:p>
    <w:p>
      <w:pPr>
        <w:pStyle w:val="Heading2"/>
      </w:pPr>
      <w:r>
        <w:t>1. PROPOSED INVESTMENT</w:t>
      </w:r>
    </w:p>
    <w:p>
      <w:r>
        <w:t>1.1 The Investor proposes to subscribe for compulsorily convertible preference shares aggregating Rs. 12 crore, at a pre-money valuation of Rs. 48 crore, subject to due diligence.</w:t>
      </w:r>
    </w:p>
    <w:p>
      <w:pPr>
        <w:pStyle w:val="Heading2"/>
      </w:pPr>
      <w:r>
        <w:t>2. CONDITIONS</w:t>
      </w:r>
    </w:p>
    <w:p>
      <w:r>
        <w:t>2.1 Closing is conditional on: (a) satisfactory legal, financial and technical due diligence; (b) execution of definitive transaction documents (Share Subscription and Shareholders Agreement) on agreed terms; (c) board and shareholder approvals; (d) no material adverse change in the Company's business.</w:t>
      </w:r>
    </w:p>
    <w:p>
      <w:pPr>
        <w:pStyle w:val="Heading2"/>
      </w:pPr>
      <w:r>
        <w:t>3. EXCLUSIVITY</w:t>
      </w:r>
    </w:p>
    <w:p>
      <w:r>
        <w:t>3.1 Clause 3 is binding: for sixty (60) days from the date of this MOU, the Company shall not solicit, negotiate or conclude any alternative investment at or below the proposed valuation without first offering the opportunity to the Investor.</w:t>
      </w:r>
    </w:p>
    <w:p>
      <w:pPr>
        <w:pStyle w:val="Heading2"/>
      </w:pPr>
      <w:r>
        <w:t>4. EXPENSES</w:t>
      </w:r>
    </w:p>
    <w:p>
      <w:r>
        <w:t>4.1 Each party bears its own costs; transaction legal fees are shared equally whether or not the transaction completes, capped at Rs. 3 lakh each side.</w:t>
      </w:r>
    </w:p>
    <w:p>
      <w:pPr>
        <w:pStyle w:val="Heading2"/>
      </w:pPr>
      <w:r>
        <w:t>5. CONFIDENTIALITY - BINDING</w:t>
      </w:r>
    </w:p>
    <w:p>
      <w:r>
        <w:t>5.1 Clause 5 is binding: each party keeps the other's non-public information (including the existence and terms of these discussions) confidential and uses it only to evaluate the transaction, for two (2) years.</w:t>
      </w:r>
    </w:p>
    <w:p>
      <w:pPr>
        <w:pStyle w:val="Heading2"/>
      </w:pPr>
      <w:r>
        <w:t>6. GOVERNING LAW</w:t>
      </w:r>
    </w:p>
    <w:p>
      <w:r>
        <w:t>6.1 This MOU (including the binding clauses) is governed by Indian law; courts at Delhi have exclusive jurisdiction.</w:t>
      </w:r>
    </w:p>
    <w:p>
      <w:pPr>
        <w:pStyle w:val="Heading2"/>
      </w:pPr>
      <w:r>
        <w:t>7. NON-BINDING NATURE</w:t>
      </w:r>
    </w:p>
    <w:p>
      <w:r>
        <w:t>7.1 Except Clauses 3, 5 and 6, no provision of this MOU creates legally enforceable obligations, and neither party is committed to the transaction until definitive documents are executed.</w:t>
      </w:r>
    </w:p>
    <w:p>
      <w:r>
        <w:t>Signed: Investor - Meera Khanna, Partner. Company - Aditya Rao, CEO. 22 February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