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3B82F6"/>
          <w:sz w:val="64"/>
        </w:rPr>
        <w:t>RAZORPAY RISKGUARD</w:t>
      </w:r>
    </w:p>
    <w:p>
      <w:pPr>
        <w:jc w:val="center"/>
      </w:pPr>
      <w:r>
        <w:rPr>
          <w:color w:val="6B7280"/>
          <w:sz w:val="28"/>
        </w:rPr>
        <w:t>Agentic Payment Fraud Defense — System Architecture &amp; Execution Plan</w:t>
      </w:r>
    </w:p>
    <w:p/>
    <w:p>
      <w:pPr>
        <w:jc w:val="center"/>
      </w:pPr>
      <w:r>
        <w:rPr>
          <w:color w:val="9CA3AF"/>
          <w:sz w:val="22"/>
        </w:rPr>
        <w:t>Track 2: AI Risk Manager | Razorpay AI Builder Internship 2026</w:t>
      </w:r>
    </w:p>
    <w:p/>
    <w:p>
      <w:pPr>
        <w:jc w:val="center"/>
      </w:pPr>
      <w:r>
        <w:rPr>
          <w:color w:val="9CA3AF"/>
          <w:sz w:val="20"/>
        </w:rPr>
        <w:t>Prepared by: Devansh Kumar | August 29, 2026</w:t>
      </w:r>
    </w:p>
    <w:p>
      <w:r>
        <w:br w:type="page"/>
      </w:r>
    </w:p>
    <w:p>
      <w:pPr>
        <w:pStyle w:val="Heading1"/>
      </w:pPr>
      <w:r>
        <w:rPr>
          <w:b/>
          <w:color w:val="1F2937"/>
        </w:rPr>
        <w:t>TABLE OF CONTENTS</w:t>
      </w:r>
    </w:p>
    <w:p>
      <w:pPr>
        <w:pStyle w:val="ListNumber"/>
        <w:spacing w:after="80"/>
      </w:pPr>
      <w:r>
        <w:t>1. Strategic Verdict &amp; Track Selection</w:t>
      </w:r>
    </w:p>
    <w:p>
      <w:pPr>
        <w:pStyle w:val="ListNumber"/>
        <w:spacing w:after="80"/>
      </w:pPr>
      <w:r>
        <w:t>2. System Architecture — 6 Layers</w:t>
      </w:r>
    </w:p>
    <w:p>
      <w:pPr>
        <w:pStyle w:val="ListNumber"/>
        <w:spacing w:after="80"/>
      </w:pPr>
      <w:r>
        <w:t>3. API Contract</w:t>
      </w:r>
    </w:p>
    <w:p>
      <w:pPr>
        <w:pStyle w:val="ListNumber"/>
        <w:spacing w:after="80"/>
      </w:pPr>
      <w:r>
        <w:t>4. 7-Day Execution Phases</w:t>
      </w:r>
    </w:p>
    <w:p>
      <w:pPr>
        <w:pStyle w:val="ListNumber"/>
        <w:spacing w:after="80"/>
      </w:pPr>
      <w:r>
        <w:t>5. End Product Targets</w:t>
      </w:r>
    </w:p>
    <w:p>
      <w:pPr>
        <w:pStyle w:val="ListNumber"/>
        <w:spacing w:after="80"/>
      </w:pPr>
      <w:r>
        <w:t>6. Risk Mitigation</w:t>
      </w:r>
    </w:p>
    <w:p>
      <w:pPr>
        <w:pStyle w:val="ListNumber"/>
        <w:spacing w:after="80"/>
      </w:pPr>
      <w:r>
        <w:t>7. The Signal: Why You Get the Interview</w:t>
      </w:r>
    </w:p>
    <w:p>
      <w:r>
        <w:br w:type="page"/>
      </w:r>
    </w:p>
    <w:p>
      <w:pPr>
        <w:pStyle w:val="Heading1"/>
      </w:pPr>
      <w:r>
        <w:rPr>
          <w:b/>
          <w:color w:val="1F2937"/>
        </w:rPr>
        <w:t>1. STRATEGIC VERDICT</w:t>
      </w:r>
    </w:p>
    <w:p>
      <w:r>
        <w:rPr>
          <w:b/>
          <w:color w:val="EF4444"/>
          <w:sz w:val="28"/>
        </w:rPr>
        <w:t>Track 2: AI Risk Manager</w:t>
      </w:r>
    </w:p>
    <w:p>
      <w:pPr>
        <w:spacing w:after="240"/>
      </w:pPr>
      <w:r>
        <w:t>You have a publication-grade fraud detection pipeline with 284K+ transactions, staged uncertainty, Dempster-Shafer fusion, and 100% decline precision. This is your unfair advantage. Every other applicant is building a toy XGBoost model. You are bringing IEEE TDSC-level rigor. Do not waste it on another track.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jc w:val="center"/>
            </w:pPr>
            <w:r>
              <w:rPr>
                <w:b/>
                <w:color w:val="10B981"/>
                <w:sz w:val="28"/>
              </w:rPr>
              <w:t>100%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color w:val="10B981"/>
                <w:sz w:val="28"/>
              </w:rPr>
              <w:t>86.73%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color w:val="10B981"/>
                <w:sz w:val="28"/>
              </w:rPr>
              <w:t>&lt;100ms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color w:val="10B981"/>
                <w:sz w:val="28"/>
              </w:rPr>
              <w:t>7 Days</w:t>
            </w:r>
          </w:p>
        </w:tc>
      </w:tr>
      <w:tr>
        <w:tc>
          <w:tcPr>
            <w:tcW w:type="dxa" w:w="2160"/>
            <w:shd w:fill="F9FAFB"/>
          </w:tcPr>
          <w:p>
            <w:pPr>
              <w:jc w:val="center"/>
            </w:pPr>
            <w:r>
              <w:rPr>
                <w:color w:val="6B7280"/>
                <w:sz w:val="18"/>
              </w:rPr>
              <w:t>Decline Precision</w:t>
            </w:r>
          </w:p>
        </w:tc>
        <w:tc>
          <w:tcPr>
            <w:tcW w:type="dxa" w:w="2160"/>
            <w:shd w:fill="F9FAFB"/>
          </w:tcPr>
          <w:p>
            <w:pPr>
              <w:jc w:val="center"/>
            </w:pPr>
            <w:r>
              <w:rPr>
                <w:color w:val="6B7280"/>
                <w:sz w:val="18"/>
              </w:rPr>
              <w:t>Fraud Recall</w:t>
            </w:r>
          </w:p>
        </w:tc>
        <w:tc>
          <w:tcPr>
            <w:tcW w:type="dxa" w:w="2160"/>
            <w:shd w:fill="F9FAFB"/>
          </w:tcPr>
          <w:p>
            <w:pPr>
              <w:jc w:val="center"/>
            </w:pPr>
            <w:r>
              <w:rPr>
                <w:color w:val="6B7280"/>
                <w:sz w:val="18"/>
              </w:rPr>
              <w:t>Inference</w:t>
            </w:r>
          </w:p>
        </w:tc>
        <w:tc>
          <w:tcPr>
            <w:tcW w:type="dxa" w:w="2160"/>
            <w:shd w:fill="F9FAFB"/>
          </w:tcPr>
          <w:p>
            <w:pPr>
              <w:jc w:val="center"/>
            </w:pPr>
            <w:r>
              <w:rPr>
                <w:color w:val="6B7280"/>
                <w:sz w:val="18"/>
              </w:rPr>
              <w:t>To Deadline</w:t>
            </w:r>
          </w:p>
        </w:tc>
      </w:tr>
    </w:tbl>
    <w:p/>
    <w:p>
      <w:pPr>
        <w:pStyle w:val="Heading1"/>
      </w:pPr>
      <w:r>
        <w:rPr>
          <w:b/>
          <w:color w:val="1F2937"/>
        </w:rPr>
        <w:t>2. SYSTEM ARCHITECTURE — 6 LAYERS</w:t>
      </w:r>
    </w:p>
    <w:p>
      <w:pPr>
        <w:pStyle w:val="Heading2"/>
      </w:pPr>
      <w:r>
        <w:rPr>
          <w:b/>
          <w:color w:val="3B82F6"/>
        </w:rPr>
        <w:t>Layer 1: Transaction Ingestion (NEW)</w:t>
      </w:r>
    </w:p>
    <w:p>
      <w:r>
        <w:t>Payment events enter the system via an async FastAPI endpoint. Feature engineering happens in-memory for speed. Historical aggregates (merchant 30-day average, card frequency) are fetched from Redis cache.</w:t>
      </w:r>
    </w:p>
    <w:p>
      <w:r>
        <w:rPr>
          <w:i/>
          <w:color w:val="6B7280"/>
        </w:rPr>
        <w:t>Target: &lt;20ms ingestion overhead</w:t>
      </w:r>
    </w:p>
    <w:p>
      <w:pPr>
        <w:spacing w:after="120" w:before="40"/>
        <w:ind w:left="288" w:right="288"/>
        <w:shd w:fill="111827"/>
      </w:pPr>
      <w:r>
        <w:rPr>
          <w:rFonts w:ascii="Consolas" w:hAnsi="Consolas"/>
          <w:color w:val="E5E7EB"/>
          <w:sz w:val="18"/>
        </w:rPr>
        <w:t>POST /v1/assess</w:t>
        <w:br/>
        <w:t>├── Pydantic v2 schema validator</w:t>
        <w:br/>
        <w:t>├── Feature engineer (real-time + historical aggregations)</w:t>
        <w:br/>
        <w:t>└── Redis cache lookup (merchant velocity, card BIN risk, geo-anomaly)</w:t>
      </w:r>
    </w:p>
    <w:p>
      <w:pPr>
        <w:pStyle w:val="Heading2"/>
      </w:pPr>
      <w:r>
        <w:rPr>
          <w:b/>
          <w:color w:val="10B981"/>
        </w:rPr>
        <w:t>Layer 2: Staged Uncertainty Pipeline (REUSE — Your Core)</w:t>
      </w:r>
    </w:p>
    <w:p>
      <w:r>
        <w:t>This is your existing work, domain-adapted to payment fraud. The 4-stage pipeline routes transactions through increasing scrutiny only when uncertainty demands it.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4320"/>
        <w:gridCol w:w="3600"/>
      </w:tblGrid>
      <w:tr>
        <w:tc>
          <w:tcPr>
            <w:tcW w:type="dxa" w:w="2880"/>
            <w:shd w:fill="ECFDF5"/>
          </w:tcPr>
          <w:p>
            <w:r>
              <w:rPr>
                <w:b/>
                <w:sz w:val="20"/>
              </w:rPr>
              <w:t>Stage</w:t>
            </w:r>
          </w:p>
        </w:tc>
        <w:tc>
          <w:tcPr>
            <w:tcW w:type="dxa" w:w="2880"/>
            <w:shd w:fill="ECFDF5"/>
          </w:tcPr>
          <w:p>
            <w:r>
              <w:rPr>
                <w:b/>
                <w:sz w:val="20"/>
              </w:rPr>
              <w:t>Component</w:t>
            </w:r>
          </w:p>
        </w:tc>
        <w:tc>
          <w:tcPr>
            <w:tcW w:type="dxa" w:w="2880"/>
            <w:shd w:fill="ECFDF5"/>
          </w:tcPr>
          <w:p>
            <w:r>
              <w:rPr>
                <w:b/>
                <w:sz w:val="20"/>
              </w:rPr>
              <w:t>Purpose</w:t>
            </w:r>
          </w:p>
        </w:tc>
      </w:tr>
      <w:tr>
        <w:tc>
          <w:tcPr>
            <w:tcW w:type="dxa" w:w="2880"/>
          </w:tcPr>
          <w:p/>
        </w:tc>
        <w:tc>
          <w:tcPr>
            <w:tcW w:type="dxa" w:w="2880"/>
          </w:tcPr>
          <w:p/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/>
        </w:tc>
        <w:tc>
          <w:tcPr>
            <w:tcW w:type="dxa" w:w="2880"/>
          </w:tcPr>
          <w:p/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/>
        </w:tc>
        <w:tc>
          <w:tcPr>
            <w:tcW w:type="dxa" w:w="2880"/>
          </w:tcPr>
          <w:p/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/>
        </w:tc>
        <w:tc>
          <w:tcPr>
            <w:tcW w:type="dxa" w:w="2880"/>
          </w:tcPr>
          <w:p/>
        </w:tc>
        <w:tc>
          <w:tcPr>
            <w:tcW w:type="dxa" w:w="2880"/>
          </w:tcPr>
          <w:p/>
        </w:tc>
      </w:tr>
      <w:tr>
        <w:tc>
          <w:tcPr>
            <w:tcW w:type="dxa" w:w="1728"/>
          </w:tcPr>
          <w:p>
            <w:r>
              <w:rPr>
                <w:sz w:val="19"/>
              </w:rPr>
              <w:t>V1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  <w:t>XGBoost Ensemble + Isolation Forest</w:t>
            </w:r>
          </w:p>
        </w:tc>
        <w:tc>
          <w:tcPr>
            <w:tcW w:type="dxa" w:w="3600"/>
          </w:tcPr>
          <w:p>
            <w:r>
              <w:rPr>
                <w:sz w:val="19"/>
              </w:rPr>
              <w:t>Fast first-pass + novelty detection</w:t>
            </w:r>
          </w:p>
        </w:tc>
      </w:tr>
      <w:tr>
        <w:tc>
          <w:tcPr>
            <w:tcW w:type="dxa" w:w="1728"/>
          </w:tcPr>
          <w:p>
            <w:r>
              <w:rPr>
                <w:sz w:val="19"/>
              </w:rPr>
              <w:t>V2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  <w:t>Calibrated SVM</w:t>
            </w:r>
          </w:p>
        </w:tc>
        <w:tc>
          <w:tcPr>
            <w:tcW w:type="dxa" w:w="3600"/>
          </w:tcPr>
          <w:p>
            <w:r>
              <w:rPr>
                <w:sz w:val="19"/>
              </w:rPr>
              <w:t>Second opinion for epistemic uncertainty</w:t>
            </w:r>
          </w:p>
        </w:tc>
      </w:tr>
      <w:tr>
        <w:tc>
          <w:tcPr>
            <w:tcW w:type="dxa" w:w="1728"/>
          </w:tcPr>
          <w:p>
            <w:r>
              <w:rPr>
                <w:sz w:val="19"/>
              </w:rPr>
              <w:t>V3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  <w:t>Dempster-Shafer Fusion</w:t>
            </w:r>
          </w:p>
        </w:tc>
        <w:tc>
          <w:tcPr>
            <w:tcW w:type="dxa" w:w="3600"/>
          </w:tcPr>
          <w:p>
            <w:r>
              <w:rPr>
                <w:sz w:val="19"/>
              </w:rPr>
              <w:t>Belief fusion across 3 evidence sources</w:t>
            </w:r>
          </w:p>
        </w:tc>
      </w:tr>
      <w:tr>
        <w:tc>
          <w:tcPr>
            <w:tcW w:type="dxa" w:w="1728"/>
          </w:tcPr>
          <w:p>
            <w:r>
              <w:rPr>
                <w:sz w:val="19"/>
              </w:rPr>
              <w:t>V4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  <w:t>SHAP Deferral</w:t>
            </w:r>
          </w:p>
        </w:tc>
        <w:tc>
          <w:tcPr>
            <w:tcW w:type="dxa" w:w="3600"/>
          </w:tcPr>
          <w:p>
            <w:r>
              <w:rPr>
                <w:sz w:val="19"/>
              </w:rPr>
              <w:t>Structured human queue with PEND reason codes</w:t>
            </w:r>
          </w:p>
        </w:tc>
      </w:tr>
    </w:tbl>
    <w:p/>
    <w:p>
      <w:r>
        <w:rPr>
          <w:b/>
        </w:rPr>
        <w:t>Domain Adaptation — Payment-Specific Features:</w:t>
      </w:r>
    </w:p>
    <w:p>
      <w:pPr>
        <w:pStyle w:val="ListBullet"/>
        <w:spacing w:after="40"/>
      </w:pPr>
      <w:r>
        <w:t>Merchant category risk score</w:t>
      </w:r>
    </w:p>
    <w:p>
      <w:pPr>
        <w:pStyle w:val="ListBullet"/>
        <w:spacing w:after="40"/>
      </w:pPr>
      <w:r>
        <w:t>Card BIN country mismatch</w:t>
      </w:r>
    </w:p>
    <w:p>
      <w:pPr>
        <w:pStyle w:val="ListBullet"/>
        <w:spacing w:after="40"/>
      </w:pPr>
      <w:r>
        <w:t>Transaction velocity (amount &amp; count)</w:t>
      </w:r>
    </w:p>
    <w:p>
      <w:pPr>
        <w:pStyle w:val="ListBullet"/>
        <w:spacing w:after="40"/>
      </w:pPr>
      <w:r>
        <w:t>Time-of-day anomaly</w:t>
      </w:r>
    </w:p>
    <w:p>
      <w:pPr>
        <w:pStyle w:val="ListBullet"/>
        <w:spacing w:after="40"/>
      </w:pPr>
      <w:r>
        <w:t>Device fingerprint consistency</w:t>
      </w:r>
    </w:p>
    <w:p>
      <w:pPr>
        <w:pStyle w:val="ListBullet"/>
        <w:spacing w:after="40"/>
      </w:pPr>
      <w:r>
        <w:t>Amount vs. merchant historical average</w:t>
      </w:r>
    </w:p>
    <w:p>
      <w:pPr>
        <w:pStyle w:val="Heading2"/>
      </w:pPr>
      <w:r>
        <w:rPr>
          <w:b/>
          <w:color w:val="3B82F6"/>
        </w:rPr>
        <w:t>Layer 3: Agentic AI Layer (NEW — Buildathon Differentiator)</w:t>
      </w:r>
    </w:p>
    <w:p>
      <w:r>
        <w:rPr>
          <w:b/>
          <w:color w:val="3B82F6"/>
          <w:sz w:val="24"/>
        </w:rPr>
        <w:t>3A. Risk Explanation Agent</w:t>
      </w:r>
    </w:p>
    <w:p>
      <w:r>
        <w:t>Consumes SHAP values + transaction context and generates natural-language risk reports via LLM. Uses structured prompts with few-shot examples and pre-computed SHAP summaries to stay under 150ms.</w:t>
      </w:r>
    </w:p>
    <w:p>
      <w:pPr>
        <w:spacing w:after="120" w:before="40"/>
        <w:ind w:left="288" w:right="288"/>
        <w:shd w:fill="111827"/>
      </w:pPr>
      <w:r>
        <w:rPr>
          <w:rFonts w:ascii="Consolas" w:hAnsi="Consolas"/>
          <w:color w:val="E5E7EB"/>
          <w:sz w:val="18"/>
        </w:rPr>
        <w:t>SHAP values + transaction context → Structured prompt → LLM → Natural language risk report</w:t>
        <w:br/>
        <w:br/>
        <w:t>Input: SHAP waterfall (top 5 features), transaction JSON, merchant profile</w:t>
        <w:br/>
        <w:t>Prompt strategy: Few-shot examples + structured output schema</w:t>
        <w:br/>
        <w:t>Latency hack: Pre-compute SHAP summaries per merchant category</w:t>
        <w:br/>
        <w:t>Target: &lt;150ms total (V1-V4 + explanation)</w:t>
      </w:r>
    </w:p>
    <w:p>
      <w:r>
        <w:rPr>
          <w:b/>
          <w:color w:val="3B82F6"/>
          <w:sz w:val="24"/>
        </w:rPr>
        <w:t>3B. Auto-Threshold Agent</w:t>
      </w:r>
    </w:p>
    <w:p>
      <w:r>
        <w:t>Each merchant gets their own threshold bandit using ε-greedy strategy. Exponential smoothing (α=0.3) prevents oscillation. Minimum 50 samples required before adjustment. Hard floor/ceiling guards ensure safety.</w:t>
      </w:r>
    </w:p>
    <w:p>
      <w:r>
        <w:rPr>
          <w:b/>
          <w:color w:val="3B82F6"/>
          <w:sz w:val="24"/>
        </w:rPr>
        <w:t>3C. Chargeback Predictor</w:t>
      </w:r>
    </w:p>
    <w:p>
      <w:r>
        <w:t>Predicts chargeback probability pre-settlement using XGBoost with SMOTE oversampling and cost-sensitive learning. Time-based train/test split prevents data leakage. Outputs risk score + top 3 contributing factors.</w:t>
      </w:r>
    </w:p>
    <w:p>
      <w:pPr>
        <w:pStyle w:val="Heading2"/>
      </w:pPr>
      <w:r>
        <w:rPr>
          <w:b/>
          <w:color w:val="1F2937"/>
        </w:rPr>
        <w:t>Layer 4: Decision &amp; Output</w:t>
      </w:r>
    </w:p>
    <w:p>
      <w:pPr>
        <w:spacing w:after="120" w:before="40"/>
        <w:ind w:left="288" w:right="288"/>
        <w:shd w:fill="111827"/>
      </w:pPr>
      <w:r>
        <w:rPr>
          <w:rFonts w:ascii="Consolas" w:hAnsi="Consolas"/>
          <w:color w:val="E5E7EB"/>
          <w:sz w:val="18"/>
        </w:rPr>
        <w:t>DECISION ∈ {APPROVE, DECLINE, PEND}</w:t>
        <w:br/>
        <w:t>├── Risk Report JSON (explanation, SHAP values, confidence)</w:t>
        <w:br/>
        <w:t>├── Merchant-specific threshold metadata</w:t>
        <w:br/>
        <w:t>└── Chargeback risk score (if applicable)</w:t>
      </w:r>
    </w:p>
    <w:p>
      <w:pPr>
        <w:pStyle w:val="Heading2"/>
      </w:pPr>
      <w:r>
        <w:rPr>
          <w:b/>
          <w:color w:val="3B82F6"/>
        </w:rPr>
        <w:t>Layer 5: Risk Ops Dashboard (Next.js 14 — NEW)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600"/>
        <w:gridCol w:w="5760"/>
      </w:tblGrid>
      <w:tr>
        <w:tc>
          <w:tcPr>
            <w:tcW w:type="dxa" w:w="4320"/>
            <w:shd w:fill="EFF6FF"/>
          </w:tcPr>
          <w:p>
            <w:r>
              <w:rPr>
                <w:b/>
              </w:rPr>
              <w:t>Panel</w:t>
            </w:r>
          </w:p>
        </w:tc>
        <w:tc>
          <w:tcPr>
            <w:tcW w:type="dxa" w:w="4320"/>
            <w:shd w:fill="EFF6FF"/>
          </w:tcPr>
          <w:p>
            <w:r>
              <w:rPr>
                <w:b/>
              </w:rPr>
              <w:t>Function</w:t>
            </w:r>
          </w:p>
        </w:tc>
      </w:tr>
      <w:tr>
        <w:tc>
          <w:tcPr>
            <w:tcW w:type="dxa" w:w="4320"/>
          </w:tcPr>
          <w:p/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/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/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/>
        </w:tc>
        <w:tc>
          <w:tcPr>
            <w:tcW w:type="dxa" w:w="4320"/>
          </w:tcPr>
          <w:p/>
        </w:tc>
      </w:tr>
      <w:tr>
        <w:tc>
          <w:tcPr>
            <w:tcW w:type="dxa" w:w="3600"/>
          </w:tcPr>
          <w:p>
            <w:r>
              <w:rPr>
                <w:sz w:val="19"/>
              </w:rPr>
              <w:t>Live Feed</w:t>
            </w:r>
          </w:p>
        </w:tc>
        <w:tc>
          <w:tcPr>
            <w:tcW w:type="dxa" w:w="5760"/>
          </w:tcPr>
          <w:p>
            <w:r>
              <w:rPr>
                <w:sz w:val="19"/>
              </w:rPr>
              <w:t>SSE stream of transactions with color-coded decisions (green/red/orange)</w:t>
            </w:r>
          </w:p>
        </w:tc>
      </w:tr>
      <w:tr>
        <w:tc>
          <w:tcPr>
            <w:tcW w:type="dxa" w:w="3600"/>
          </w:tcPr>
          <w:p>
            <w:r>
              <w:rPr>
                <w:sz w:val="19"/>
              </w:rPr>
              <w:t>Explanation Cards</w:t>
            </w:r>
          </w:p>
        </w:tc>
        <w:tc>
          <w:tcPr>
            <w:tcW w:type="dxa" w:w="5760"/>
          </w:tcPr>
          <w:p>
            <w:r>
              <w:rPr>
                <w:sz w:val="19"/>
              </w:rPr>
              <w:t>SHAP waterfall chart + LLM-generated summary per transaction</w:t>
            </w:r>
          </w:p>
        </w:tc>
      </w:tr>
      <w:tr>
        <w:tc>
          <w:tcPr>
            <w:tcW w:type="dxa" w:w="3600"/>
          </w:tcPr>
          <w:p>
            <w:r>
              <w:rPr>
                <w:sz w:val="19"/>
              </w:rPr>
              <w:t>Threshold Controls</w:t>
            </w:r>
          </w:p>
        </w:tc>
        <w:tc>
          <w:tcPr>
            <w:tcW w:type="dxa" w:w="5760"/>
          </w:tcPr>
          <w:p>
            <w:r>
              <w:rPr>
                <w:sz w:val="19"/>
              </w:rPr>
              <w:t>Slider UI to manually override per-merchant thresholds</w:t>
            </w:r>
          </w:p>
        </w:tc>
      </w:tr>
      <w:tr>
        <w:tc>
          <w:tcPr>
            <w:tcW w:type="dxa" w:w="3600"/>
          </w:tcPr>
          <w:p>
            <w:r>
              <w:rPr>
                <w:sz w:val="19"/>
              </w:rPr>
              <w:t>Metrics Panel</w:t>
            </w:r>
          </w:p>
        </w:tc>
        <w:tc>
          <w:tcPr>
            <w:tcW w:type="dxa" w:w="5760"/>
          </w:tcPr>
          <w:p>
            <w:r>
              <w:rPr>
                <w:sz w:val="19"/>
              </w:rPr>
              <w:t>Precision/Recall/AUC, calibration curve, per-merchant breakdown</w:t>
            </w:r>
          </w:p>
        </w:tc>
      </w:tr>
    </w:tbl>
    <w:p>
      <w:pPr>
        <w:pStyle w:val="Heading2"/>
      </w:pPr>
      <w:r>
        <w:rPr>
          <w:b/>
          <w:color w:val="8B5CF6"/>
        </w:rPr>
        <w:t>Layer 6: Infrastructure</w:t>
      </w:r>
    </w:p>
    <w:p>
      <w:pPr>
        <w:spacing w:after="120" w:before="40"/>
        <w:ind w:left="288" w:right="288"/>
        <w:shd w:fill="111827"/>
      </w:pPr>
      <w:r>
        <w:rPr>
          <w:rFonts w:ascii="Consolas" w:hAnsi="Consolas"/>
          <w:color w:val="E5E7EB"/>
          <w:sz w:val="18"/>
        </w:rPr>
        <w:t>docker-compose up</w:t>
        <w:br/>
        <w:t>├── PostgreSQL 16 (transaction store, model registry)</w:t>
        <w:br/>
        <w:t>├── Redis (velocity cache + Celery broker)</w:t>
        <w:br/>
        <w:t>├── Celery Workers (background: threshold updates, batch SHAP)</w:t>
        <w:br/>
        <w:t>├── FastAPI (async API + OpenAPI docs)</w:t>
        <w:br/>
        <w:t>└── Next.js (dashboard, static export)</w:t>
      </w:r>
    </w:p>
    <w:p>
      <w:r>
        <w:br w:type="page"/>
      </w:r>
    </w:p>
    <w:p>
      <w:pPr>
        <w:pStyle w:val="Heading1"/>
      </w:pPr>
      <w:r>
        <w:rPr>
          <w:b/>
          <w:color w:val="1F2937"/>
        </w:rPr>
        <w:t>3. API CONTRACT</w:t>
      </w:r>
    </w:p>
    <w:p>
      <w:r>
        <w:rPr>
          <w:b/>
          <w:color w:val="3B82F6"/>
          <w:sz w:val="18"/>
        </w:rPr>
        <w:t>Request Schema</w:t>
      </w:r>
    </w:p>
    <w:p>
      <w:pPr>
        <w:spacing w:after="120" w:before="40"/>
        <w:ind w:left="288" w:right="288"/>
        <w:shd w:fill="111827"/>
      </w:pPr>
      <w:r>
        <w:rPr>
          <w:rFonts w:ascii="Consolas" w:hAnsi="Consolas"/>
          <w:color w:val="E5E7EB"/>
          <w:sz w:val="18"/>
        </w:rPr>
        <w:t># POST /v1/assess</w:t>
        <w:br/>
        <w:t># Request</w:t>
        <w:br/>
        <w:t>{</w:t>
        <w:br/>
        <w:t xml:space="preserve">  "transaction_id": "txn_abc123",</w:t>
        <w:br/>
        <w:t xml:space="preserve">  "merchant_id": "merch_xyz789",</w:t>
        <w:br/>
        <w:t xml:space="preserve">  "amount": 2500.00,</w:t>
        <w:br/>
        <w:t xml:space="preserve">  "currency": "INR",</w:t>
        <w:br/>
        <w:t xml:space="preserve">  "card_bin": "411111",</w:t>
        <w:br/>
        <w:t xml:space="preserve">  "device_id": "dev_456",</w:t>
        <w:br/>
        <w:t xml:space="preserve">  "timestamp": "2026-08-29T10:30:00Z",</w:t>
        <w:br/>
        <w:t xml:space="preserve">  "customer_id": "cust_999"</w:t>
        <w:br/>
        <w:t>}</w:t>
      </w:r>
    </w:p>
    <w:p>
      <w:r>
        <w:rPr>
          <w:b/>
          <w:color w:val="3B82F6"/>
          <w:sz w:val="18"/>
        </w:rPr>
        <w:t>Response Schema</w:t>
      </w:r>
    </w:p>
    <w:p>
      <w:pPr>
        <w:spacing w:after="120" w:before="40"/>
        <w:ind w:left="288" w:right="288"/>
        <w:shd w:fill="111827"/>
      </w:pPr>
      <w:r>
        <w:rPr>
          <w:rFonts w:ascii="Consolas" w:hAnsi="Consolas"/>
          <w:color w:val="E5E7EB"/>
          <w:sz w:val="18"/>
        </w:rPr>
        <w:t># Response</w:t>
        <w:br/>
        <w:t>{</w:t>
        <w:br/>
        <w:t xml:space="preserve">  "transaction_id": "txn_abc123",</w:t>
        <w:br/>
        <w:t xml:space="preserve">  "decision": "DECLINE",</w:t>
        <w:br/>
        <w:t xml:space="preserve">  "confidence": 0.97,</w:t>
        <w:br/>
        <w:t xml:space="preserve">  "stage_reached": "V4",</w:t>
        <w:br/>
        <w:t xml:space="preserve">  "risk_report": {</w:t>
        <w:br/>
        <w:t xml:space="preserve">    "explanation": "High-risk transaction: amount is 4.2x merchant average, card BIN from high-fraud country, velocity spike detected.",</w:t>
        <w:br/>
        <w:t xml:space="preserve">    "shap_top_features": [</w:t>
        <w:br/>
        <w:t xml:space="preserve">      {"feature": "amount_vs_avg", "impact": 0.34},</w:t>
        <w:br/>
        <w:t xml:space="preserve">      {"feature": "bin_country_risk", "impact": 0.28},</w:t>
        <w:br/>
        <w:t xml:space="preserve">      {"feature": "velocity_1h", "impact": 0.19}</w:t>
        <w:br/>
        <w:t xml:space="preserve">    ],</w:t>
        <w:br/>
        <w:t xml:space="preserve">    "merchant_threshold": 0.72,</w:t>
        <w:br/>
        <w:t xml:space="preserve">    "chargeback_risk": 0.89</w:t>
        <w:br/>
        <w:t xml:space="preserve">  },</w:t>
        <w:br/>
        <w:t xml:space="preserve">  "inference_ms": 87</w:t>
        <w:br/>
        <w:t>}</w:t>
      </w:r>
    </w:p>
    <w:p>
      <w:r>
        <w:br w:type="page"/>
      </w:r>
    </w:p>
    <w:p>
      <w:pPr>
        <w:pStyle w:val="Heading1"/>
      </w:pPr>
      <w:r>
        <w:rPr>
          <w:b/>
          <w:color w:val="1F2937"/>
        </w:rPr>
        <w:t>4. 7-DAY EXECUTION PHASES</w:t>
      </w:r>
    </w:p>
    <w:p>
      <w:r>
        <w:rPr>
          <w:b/>
          <w:color w:val="EF4444"/>
          <w:sz w:val="26"/>
        </w:rPr>
        <w:t>PHASE 1: Fork &amp; Restructure — Aug 29 (TODAY)</w:t>
      </w:r>
    </w:p>
    <w:p>
      <w:r>
        <w:t>Goal: Working skeleton by end of day.</w:t>
      </w:r>
    </w:p>
    <w:p>
      <w:r>
        <w:rPr>
          <w:b/>
          <w:color w:val="EF4444"/>
        </w:rPr>
        <w:t>CRITICAL: This is the foundation. Do not skip.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5040"/>
        <w:gridCol w:w="3600"/>
      </w:tblGrid>
      <w:tr>
        <w:tc>
          <w:tcPr>
            <w:tcW w:type="dxa" w:w="2880"/>
            <w:shd w:fill="FEF2F2"/>
          </w:tcPr>
          <w:p>
            <w:r>
              <w:rPr>
                <w:b/>
              </w:rPr>
              <w:t>Hour</w:t>
            </w:r>
          </w:p>
        </w:tc>
        <w:tc>
          <w:tcPr>
            <w:tcW w:type="dxa" w:w="2880"/>
            <w:shd w:fill="FEF2F2"/>
          </w:tcPr>
          <w:p>
            <w:r>
              <w:rPr>
                <w:b/>
              </w:rPr>
              <w:t>Task</w:t>
            </w:r>
          </w:p>
        </w:tc>
        <w:tc>
          <w:tcPr>
            <w:tcW w:type="dxa" w:w="2880"/>
            <w:shd w:fill="FEF2F2"/>
          </w:tcPr>
          <w:p>
            <w:r>
              <w:rPr>
                <w:b/>
              </w:rPr>
              <w:t>Output</w:t>
            </w:r>
          </w:p>
        </w:tc>
      </w:tr>
      <w:tr>
        <w:tc>
          <w:tcPr>
            <w:tcW w:type="dxa" w:w="2880"/>
          </w:tcPr>
          <w:p/>
        </w:tc>
        <w:tc>
          <w:tcPr>
            <w:tcW w:type="dxa" w:w="2880"/>
          </w:tcPr>
          <w:p/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/>
        </w:tc>
        <w:tc>
          <w:tcPr>
            <w:tcW w:type="dxa" w:w="2880"/>
          </w:tcPr>
          <w:p/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/>
        </w:tc>
        <w:tc>
          <w:tcPr>
            <w:tcW w:type="dxa" w:w="2880"/>
          </w:tcPr>
          <w:p/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/>
        </w:tc>
        <w:tc>
          <w:tcPr>
            <w:tcW w:type="dxa" w:w="2880"/>
          </w:tcPr>
          <w:p/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/>
        </w:tc>
        <w:tc>
          <w:tcPr>
            <w:tcW w:type="dxa" w:w="2880"/>
          </w:tcPr>
          <w:p/>
        </w:tc>
        <w:tc>
          <w:tcPr>
            <w:tcW w:type="dxa" w:w="2880"/>
          </w:tcPr>
          <w:p/>
        </w:tc>
      </w:tr>
      <w:tr>
        <w:tc>
          <w:tcPr>
            <w:tcW w:type="dxa" w:w="1440"/>
          </w:tcPr>
          <w:p>
            <w:r>
              <w:rPr>
                <w:sz w:val="18"/>
              </w:rPr>
              <w:t>0-2</w:t>
            </w:r>
          </w:p>
        </w:tc>
        <w:tc>
          <w:tcPr>
            <w:tcW w:type="dxa" w:w="5040"/>
          </w:tcPr>
          <w:p>
            <w:r>
              <w:rPr>
                <w:sz w:val="18"/>
              </w:rPr>
              <w:t>Fork fraud repo → razorpay-riskguard. Strip all medical/crypto references.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Clean repo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2-4</w:t>
            </w:r>
          </w:p>
        </w:tc>
        <w:tc>
          <w:tcPr>
            <w:tcW w:type="dxa" w:w="5040"/>
          </w:tcPr>
          <w:p>
            <w:r>
              <w:rPr>
                <w:sz w:val="18"/>
              </w:rPr>
              <w:t>Design Transaction Pydantic model with payment-specific fields.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models/transaction.py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4-6</w:t>
            </w:r>
          </w:p>
        </w:tc>
        <w:tc>
          <w:tcPr>
            <w:tcW w:type="dxa" w:w="5040"/>
          </w:tcPr>
          <w:p>
            <w:r>
              <w:rPr>
                <w:sz w:val="18"/>
              </w:rPr>
              <w:t>Create docker-compose.yml with Postgres + Redis + FastAPI skeleton.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docker-compose up works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6-8</w:t>
            </w:r>
          </w:p>
        </w:tc>
        <w:tc>
          <w:tcPr>
            <w:tcW w:type="dxa" w:w="5040"/>
          </w:tcPr>
          <w:p>
            <w:r>
              <w:rPr>
                <w:sz w:val="18"/>
              </w:rPr>
              <w:t>Seed 10K synthetic transactions (faker + skewed fraud labels ~2%).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scripts/seed_data.py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8-10</w:t>
            </w:r>
          </w:p>
        </w:tc>
        <w:tc>
          <w:tcPr>
            <w:tcW w:type="dxa" w:w="5040"/>
          </w:tcPr>
          <w:p>
            <w:r>
              <w:rPr>
                <w:sz w:val="18"/>
              </w:rPr>
              <w:t>Write POST /v1/assess endpoint that returns mock decision.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API responds</w:t>
            </w:r>
          </w:p>
        </w:tc>
      </w:tr>
    </w:tbl>
    <w:p>
      <w:r>
        <w:rPr>
          <w:i/>
          <w:color w:val="6B7280"/>
        </w:rPr>
        <w:t>Skip: Dashboard, agents, actual models. Just the skeleton.</w:t>
      </w:r>
    </w:p>
    <w:p>
      <w:r>
        <w:rPr>
          <w:b/>
          <w:color w:val="F59E0B"/>
          <w:sz w:val="26"/>
        </w:rPr>
        <w:t>PHASE 2: Core Pipeline Adapt — Aug 30</w:t>
      </w:r>
    </w:p>
    <w:p>
      <w:r>
        <w:t>Goal: V1-V4 working with payment data.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7200"/>
      </w:tblGrid>
      <w:tr>
        <w:tc>
          <w:tcPr>
            <w:tcW w:type="dxa" w:w="4320"/>
            <w:shd w:fill="FFFBEB"/>
          </w:tcPr>
          <w:p>
            <w:r>
              <w:rPr>
                <w:b/>
              </w:rPr>
              <w:t>Hour</w:t>
            </w:r>
          </w:p>
        </w:tc>
        <w:tc>
          <w:tcPr>
            <w:tcW w:type="dxa" w:w="4320"/>
            <w:shd w:fill="FFFBEB"/>
          </w:tcPr>
          <w:p>
            <w:r>
              <w:rPr>
                <w:b/>
              </w:rPr>
              <w:t>Task</w:t>
            </w:r>
          </w:p>
        </w:tc>
      </w:tr>
      <w:tr>
        <w:tc>
          <w:tcPr>
            <w:tcW w:type="dxa" w:w="4320"/>
          </w:tcPr>
          <w:p/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/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/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/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/>
        </w:tc>
        <w:tc>
          <w:tcPr>
            <w:tcW w:type="dxa" w:w="4320"/>
          </w:tcPr>
          <w:p/>
        </w:tc>
      </w:tr>
      <w:tr>
        <w:tc>
          <w:tcPr>
            <w:tcW w:type="dxa" w:w="2160"/>
          </w:tcPr>
          <w:p>
            <w:r>
              <w:rPr>
                <w:sz w:val="18"/>
              </w:rPr>
              <w:t>0-3</w:t>
            </w:r>
          </w:p>
        </w:tc>
        <w:tc>
          <w:tcPr>
            <w:tcW w:type="dxa" w:w="7200"/>
          </w:tcPr>
          <w:p>
            <w:r>
              <w:rPr>
                <w:sz w:val="18"/>
              </w:rPr>
              <w:t>Adapt feature engineering: merchant velocity, card BIN, geo, amount ratios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3-6</w:t>
            </w:r>
          </w:p>
        </w:tc>
        <w:tc>
          <w:tcPr>
            <w:tcW w:type="dxa" w:w="7200"/>
          </w:tcPr>
          <w:p>
            <w:r>
              <w:rPr>
                <w:sz w:val="18"/>
              </w:rPr>
              <w:t>Port V1 (XGBoost + IF) — train on synthetic data, verify sub-100ms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6-9</w:t>
            </w:r>
          </w:p>
        </w:tc>
        <w:tc>
          <w:tcPr>
            <w:tcW w:type="dxa" w:w="7200"/>
          </w:tcPr>
          <w:p>
            <w:r>
              <w:rPr>
                <w:sz w:val="18"/>
              </w:rPr>
              <w:t>Port V2 (Calibrated SVM) — verify calibration curve looks good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9-12</w:t>
            </w:r>
          </w:p>
        </w:tc>
        <w:tc>
          <w:tcPr>
            <w:tcW w:type="dxa" w:w="7200"/>
          </w:tcPr>
          <w:p>
            <w:r>
              <w:rPr>
                <w:sz w:val="18"/>
              </w:rPr>
              <w:t>Port V3 (Dempster-Shafer) — map 3 evidence sources to payment domain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12-14</w:t>
            </w:r>
          </w:p>
        </w:tc>
        <w:tc>
          <w:tcPr>
            <w:tcW w:type="dxa" w:w="7200"/>
          </w:tcPr>
          <w:p>
            <w:r>
              <w:rPr>
                <w:sz w:val="18"/>
              </w:rPr>
              <w:t>Port V4 (SHAP Deferral) — generate PEND reason codes</w:t>
            </w:r>
          </w:p>
        </w:tc>
      </w:tr>
    </w:tbl>
    <w:p>
      <w:r>
        <w:rPr>
          <w:i/>
          <w:color w:val="6B7280"/>
        </w:rPr>
        <w:t>End of day test: Run 1000 transactions through full pipeline. Measure latency distribution.</w:t>
      </w:r>
    </w:p>
    <w:p>
      <w:r>
        <w:rPr>
          <w:b/>
          <w:color w:val="3B82F6"/>
          <w:sz w:val="26"/>
        </w:rPr>
        <w:t>PHASE 3: Agentic Layer — Aug 31 + Sept 1</w:t>
      </w:r>
    </w:p>
    <w:p>
      <w:r>
        <w:t>Goal: Three agents working.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6480"/>
      </w:tblGrid>
      <w:tr>
        <w:tc>
          <w:tcPr>
            <w:tcW w:type="dxa" w:w="4320"/>
            <w:shd w:fill="EFF6FF"/>
          </w:tcPr>
          <w:p>
            <w:r>
              <w:rPr>
                <w:b/>
              </w:rPr>
              <w:t>Day</w:t>
            </w:r>
          </w:p>
        </w:tc>
        <w:tc>
          <w:tcPr>
            <w:tcW w:type="dxa" w:w="4320"/>
            <w:shd w:fill="EFF6FF"/>
          </w:tcPr>
          <w:p>
            <w:r>
              <w:rPr>
                <w:b/>
              </w:rPr>
              <w:t>Focus</w:t>
            </w:r>
          </w:p>
        </w:tc>
      </w:tr>
      <w:tr>
        <w:tc>
          <w:tcPr>
            <w:tcW w:type="dxa" w:w="4320"/>
          </w:tcPr>
          <w:p/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/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/>
        </w:tc>
        <w:tc>
          <w:tcPr>
            <w:tcW w:type="dxa" w:w="4320"/>
          </w:tcPr>
          <w:p/>
        </w:tc>
      </w:tr>
      <w:tr>
        <w:tc>
          <w:tcPr>
            <w:tcW w:type="dxa" w:w="2880"/>
          </w:tcPr>
          <w:p>
            <w:r>
              <w:rPr>
                <w:sz w:val="18"/>
              </w:rPr>
              <w:t>Aug 31</w:t>
            </w:r>
          </w:p>
        </w:tc>
        <w:tc>
          <w:tcPr>
            <w:tcW w:type="dxa" w:w="6480"/>
          </w:tcPr>
          <w:p>
            <w:r>
              <w:rPr>
                <w:sz w:val="18"/>
              </w:rPr>
              <w:t>Explanation Agent: SHAP → structured prompt pipeline. OpenAI/Claude API with 3 few-shot examples. Redis caching. Test 20 transactions.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Sept 1 AM</w:t>
            </w:r>
          </w:p>
        </w:tc>
        <w:tc>
          <w:tcPr>
            <w:tcW w:type="dxa" w:w="6480"/>
          </w:tcPr>
          <w:p>
            <w:r>
              <w:rPr>
                <w:sz w:val="18"/>
              </w:rPr>
              <w:t>Auto-Threshold Agent: ε-greedy bandit per merchant. Exponential smoothing + sample size guards.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Sept 1 PM</w:t>
            </w:r>
          </w:p>
        </w:tc>
        <w:tc>
          <w:tcPr>
            <w:tcW w:type="dxa" w:w="6480"/>
          </w:tcPr>
          <w:p>
            <w:r>
              <w:rPr>
                <w:sz w:val="18"/>
              </w:rPr>
              <w:t>Chargeback Predictor: SMOTE + cost-sensitive XGBoost. Celery background jobs. End-to-end full flow test.</w:t>
            </w:r>
          </w:p>
        </w:tc>
      </w:tr>
    </w:tbl>
    <w:p>
      <w:r>
        <w:rPr>
          <w:b/>
          <w:color w:val="3B82F6"/>
          <w:sz w:val="26"/>
        </w:rPr>
        <w:t>PHASE 4: Dashboard &amp; Integration — Sept 2 + 3</w:t>
      </w:r>
    </w:p>
    <w:p>
      <w:r>
        <w:t>Goal: Clickable dashboard.</w:t>
      </w:r>
    </w:p>
    <w:p>
      <w:r>
        <w:rPr>
          <w:b/>
        </w:rPr>
        <w:t xml:space="preserve">Sept 2: </w:t>
      </w:r>
      <w:r>
        <w:t>Next.js scaffold → Live feed (SSE) → Decision cards (green/red/orange)</w:t>
      </w:r>
    </w:p>
    <w:p>
      <w:r>
        <w:rPr>
          <w:b/>
        </w:rPr>
        <w:t xml:space="preserve">Sept 3: </w:t>
      </w:r>
      <w:r>
        <w:t>Explanation cards with SHAP waterfall → Threshold controls UI → Metrics panel → Docker Compose full stack test</w:t>
      </w:r>
    </w:p>
    <w:p>
      <w:r>
        <w:rPr>
          <w:b/>
          <w:color w:val="10B981"/>
          <w:sz w:val="26"/>
        </w:rPr>
        <w:t>PHASE 5: Polish &amp; Pitch — Sept 4</w:t>
      </w:r>
    </w:p>
    <w:p>
      <w:r>
        <w:t>Goal: Submission-ready artifacts.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5040"/>
        <w:gridCol w:w="3600"/>
      </w:tblGrid>
      <w:tr>
        <w:tc>
          <w:tcPr>
            <w:tcW w:type="dxa" w:w="2880"/>
            <w:shd w:fill="ECFDF5"/>
          </w:tcPr>
          <w:p>
            <w:r>
              <w:rPr>
                <w:b/>
              </w:rPr>
              <w:t>Hour</w:t>
            </w:r>
          </w:p>
        </w:tc>
        <w:tc>
          <w:tcPr>
            <w:tcW w:type="dxa" w:w="2880"/>
            <w:shd w:fill="ECFDF5"/>
          </w:tcPr>
          <w:p>
            <w:r>
              <w:rPr>
                <w:b/>
              </w:rPr>
              <w:t>Task</w:t>
            </w:r>
          </w:p>
        </w:tc>
        <w:tc>
          <w:tcPr>
            <w:tcW w:type="dxa" w:w="2880"/>
            <w:shd w:fill="ECFDF5"/>
          </w:tcPr>
          <w:p>
            <w:r>
              <w:rPr>
                <w:b/>
              </w:rPr>
              <w:t>Output</w:t>
            </w:r>
          </w:p>
        </w:tc>
      </w:tr>
      <w:tr>
        <w:tc>
          <w:tcPr>
            <w:tcW w:type="dxa" w:w="2880"/>
          </w:tcPr>
          <w:p/>
        </w:tc>
        <w:tc>
          <w:tcPr>
            <w:tcW w:type="dxa" w:w="2880"/>
          </w:tcPr>
          <w:p/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/>
        </w:tc>
        <w:tc>
          <w:tcPr>
            <w:tcW w:type="dxa" w:w="2880"/>
          </w:tcPr>
          <w:p/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/>
        </w:tc>
        <w:tc>
          <w:tcPr>
            <w:tcW w:type="dxa" w:w="2880"/>
          </w:tcPr>
          <w:p/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/>
        </w:tc>
        <w:tc>
          <w:tcPr>
            <w:tcW w:type="dxa" w:w="2880"/>
          </w:tcPr>
          <w:p/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/>
        </w:tc>
        <w:tc>
          <w:tcPr>
            <w:tcW w:type="dxa" w:w="2880"/>
          </w:tcPr>
          <w:p/>
        </w:tc>
        <w:tc>
          <w:tcPr>
            <w:tcW w:type="dxa" w:w="2880"/>
          </w:tcPr>
          <w:p/>
        </w:tc>
      </w:tr>
      <w:tr>
        <w:tc>
          <w:tcPr>
            <w:tcW w:type="dxa" w:w="1440"/>
          </w:tcPr>
          <w:p>
            <w:r>
              <w:rPr>
                <w:sz w:val="18"/>
              </w:rPr>
              <w:t>0-3</w:t>
            </w:r>
          </w:p>
        </w:tc>
        <w:tc>
          <w:tcPr>
            <w:tcW w:type="dxa" w:w="5040"/>
          </w:tcPr>
          <w:p>
            <w:r>
              <w:rPr>
                <w:sz w:val="18"/>
              </w:rPr>
              <w:t>README: architecture diagram, decision log, setup instructions, API docs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README.md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3-5</w:t>
            </w:r>
          </w:p>
        </w:tc>
        <w:tc>
          <w:tcPr>
            <w:tcW w:type="dxa" w:w="5040"/>
          </w:tcPr>
          <w:p>
            <w:r>
              <w:rPr>
                <w:sz w:val="18"/>
              </w:rPr>
              <w:t>Performance benchmark: 1000 requests, latency histogram, throughput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benchmarks/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5-7</w:t>
            </w:r>
          </w:p>
        </w:tc>
        <w:tc>
          <w:tcPr>
            <w:tcW w:type="dxa" w:w="5040"/>
          </w:tcPr>
          <w:p>
            <w:r>
              <w:rPr>
                <w:sz w:val="18"/>
              </w:rPr>
              <w:t>Record 5-min pitch video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YouTube/Vimeo link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7-9</w:t>
            </w:r>
          </w:p>
        </w:tc>
        <w:tc>
          <w:tcPr>
            <w:tcW w:type="dxa" w:w="5040"/>
          </w:tcPr>
          <w:p>
            <w:r>
              <w:rPr>
                <w:sz w:val="18"/>
              </w:rPr>
              <w:t>Write "Build Challenges" narrative (3 stories of iteration)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Form answer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9-11</w:t>
            </w:r>
          </w:p>
        </w:tc>
        <w:tc>
          <w:tcPr>
            <w:tcW w:type="dxa" w:w="5040"/>
          </w:tcPr>
          <w:p>
            <w:r>
              <w:rPr>
                <w:sz w:val="18"/>
              </w:rPr>
              <w:t>Final QA: test every endpoint, check dashboard on fresh Docker build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Green CI</w:t>
            </w:r>
          </w:p>
        </w:tc>
      </w:tr>
    </w:tbl>
    <w:p>
      <w:r>
        <w:rPr>
          <w:b/>
          <w:color w:val="10B981"/>
          <w:sz w:val="26"/>
        </w:rPr>
        <w:t>PHASE 6: Submit — Sept 5</w:t>
      </w:r>
    </w:p>
    <w:p>
      <w:pPr>
        <w:pStyle w:val="ListBullet"/>
        <w:spacing w:after="60"/>
      </w:pPr>
      <w:r>
        <w:t>Morning: One final end-to-end demo run</w:t>
      </w:r>
    </w:p>
    <w:p>
      <w:pPr>
        <w:pStyle w:val="ListBullet"/>
        <w:spacing w:after="60"/>
      </w:pPr>
      <w:r>
        <w:t>Submit form with GitHub URL, video link, and challenges narrative</w:t>
      </w:r>
    </w:p>
    <w:p>
      <w:pPr>
        <w:pStyle w:val="ListBullet"/>
        <w:spacing w:after="60"/>
      </w:pPr>
      <w:r>
        <w:t>Do not touch code after submitting</w:t>
      </w:r>
    </w:p>
    <w:p>
      <w:r>
        <w:br w:type="page"/>
      </w:r>
    </w:p>
    <w:p>
      <w:pPr>
        <w:pStyle w:val="Heading1"/>
      </w:pPr>
      <w:r>
        <w:rPr>
          <w:b/>
          <w:color w:val="1F2937"/>
        </w:rPr>
        <w:t>5. END PRODUCT TARGETS</w:t>
      </w:r>
    </w:p>
    <w:p>
      <w:r>
        <w:rPr>
          <w:b/>
          <w:color w:val="1F2937"/>
          <w:sz w:val="24"/>
        </w:rPr>
        <w:t>Functional</w:t>
      </w:r>
    </w:p>
    <w:p>
      <w:pPr>
        <w:pStyle w:val="ListBullet"/>
        <w:spacing w:after="60"/>
      </w:pPr>
      <w:r>
        <w:t>docker-compose up → full stack running in &lt;2 minutes</w:t>
      </w:r>
    </w:p>
    <w:p>
      <w:pPr>
        <w:pStyle w:val="ListBullet"/>
        <w:spacing w:after="60"/>
      </w:pPr>
      <w:r>
        <w:t>POST /v1/assess → decision + explanation + risk report</w:t>
      </w:r>
    </w:p>
    <w:p>
      <w:pPr>
        <w:pStyle w:val="ListBullet"/>
        <w:spacing w:after="60"/>
      </w:pPr>
      <w:r>
        <w:t>Dashboard shows live feed with AI explanations</w:t>
      </w:r>
    </w:p>
    <w:p>
      <w:pPr>
        <w:pStyle w:val="ListBullet"/>
        <w:spacing w:after="60"/>
      </w:pPr>
      <w:r>
        <w:t>Per-merchant threshold controls work</w:t>
      </w:r>
    </w:p>
    <w:p/>
    <w:p>
      <w:r>
        <w:rPr>
          <w:b/>
          <w:color w:val="1F2937"/>
          <w:sz w:val="24"/>
        </w:rPr>
        <w:t>Performance</w:t>
      </w:r>
    </w:p>
    <w:p>
      <w:pPr>
        <w:pStyle w:val="ListBullet"/>
        <w:spacing w:after="60"/>
      </w:pPr>
      <w:r>
        <w:t>V1-V4 inference: &lt;100ms p95</w:t>
      </w:r>
    </w:p>
    <w:p>
      <w:pPr>
        <w:pStyle w:val="ListBullet"/>
        <w:spacing w:after="60"/>
      </w:pPr>
      <w:r>
        <w:t>With explanation: &lt;150ms p95</w:t>
      </w:r>
    </w:p>
    <w:p>
      <w:pPr>
        <w:pStyle w:val="ListBullet"/>
        <w:spacing w:after="60"/>
      </w:pPr>
      <w:r>
        <w:t>Simulated throughput: 1000+ TPS (use locust or wrk)</w:t>
      </w:r>
    </w:p>
    <w:p/>
    <w:p>
      <w:r>
        <w:rPr>
          <w:b/>
          <w:color w:val="1F2937"/>
          <w:sz w:val="24"/>
        </w:rPr>
        <w:t>Evaluation Metrics</w:t>
      </w:r>
    </w:p>
    <w:p>
      <w:pPr>
        <w:pStyle w:val="ListBullet"/>
        <w:spacing w:after="60"/>
      </w:pPr>
      <w:r>
        <w:t>Fraud recall: ≥86% (your existing number)</w:t>
      </w:r>
    </w:p>
    <w:p>
      <w:pPr>
        <w:pStyle w:val="ListBullet"/>
        <w:spacing w:after="60"/>
      </w:pPr>
      <w:r>
        <w:t>DECLINE precision: 100% (your unfair advantage)</w:t>
      </w:r>
    </w:p>
    <w:p>
      <w:pPr>
        <w:pStyle w:val="ListBullet"/>
        <w:spacing w:after="60"/>
      </w:pPr>
      <w:r>
        <w:t>Calibration curve + Brier score</w:t>
      </w:r>
    </w:p>
    <w:p>
      <w:pPr>
        <w:pStyle w:val="ListBullet"/>
        <w:spacing w:after="60"/>
      </w:pPr>
      <w:r>
        <w:t>Per-merchant precision/recall breakdown</w:t>
      </w:r>
    </w:p>
    <w:p/>
    <w:p>
      <w:r>
        <w:rPr>
          <w:b/>
          <w:color w:val="1F2937"/>
          <w:sz w:val="24"/>
        </w:rPr>
        <w:t>Deliverables</w:t>
      </w:r>
    </w:p>
    <w:p>
      <w:pPr>
        <w:pStyle w:val="ListBullet"/>
        <w:spacing w:after="60"/>
      </w:pPr>
      <w:r>
        <w:t>Public GitHub repo with clean commit history</w:t>
      </w:r>
    </w:p>
    <w:p>
      <w:pPr>
        <w:pStyle w:val="ListBullet"/>
        <w:spacing w:after="60"/>
      </w:pPr>
      <w:r>
        <w:t>Architecture diagram in README</w:t>
      </w:r>
    </w:p>
    <w:p>
      <w:pPr>
        <w:pStyle w:val="ListBullet"/>
        <w:spacing w:after="60"/>
      </w:pPr>
      <w:r>
        <w:t>5-min pitch video with live demo</w:t>
      </w:r>
    </w:p>
    <w:p>
      <w:pPr>
        <w:pStyle w:val="ListBullet"/>
        <w:spacing w:after="60"/>
      </w:pPr>
      <w:r>
        <w:t>"Build Challenges" narrative (3 iteration stories)</w:t>
      </w:r>
    </w:p>
    <w:p>
      <w:pPr>
        <w:pStyle w:val="ListBullet"/>
        <w:spacing w:after="60"/>
      </w:pPr>
      <w:r>
        <w:t>OpenAPI docs (/docs from FastAPI)</w:t>
      </w:r>
    </w:p>
    <w:p/>
    <w:p>
      <w:r>
        <w:rPr>
          <w:b/>
          <w:color w:val="1F2937"/>
          <w:sz w:val="24"/>
        </w:rPr>
        <w:t>The Signal</w:t>
      </w:r>
    </w:p>
    <w:p>
      <w:pPr>
        <w:pStyle w:val="ListBullet"/>
        <w:spacing w:after="60"/>
      </w:pPr>
      <w:r>
        <w:t>IEEE TDSC-level rigor + production systems thinking + AI-native architecture = interview lock</w:t>
      </w:r>
    </w:p>
    <w:p/>
    <w:p>
      <w:r>
        <w:br w:type="page"/>
      </w:r>
    </w:p>
    <w:p>
      <w:pPr>
        <w:pStyle w:val="Heading1"/>
      </w:pPr>
      <w:r>
        <w:rPr>
          <w:b/>
          <w:color w:val="1F2937"/>
        </w:rPr>
        <w:t>6. RISK MITIGATION</w:t>
      </w:r>
    </w:p>
    <w:p>
      <w:pPr>
        <w:spacing w:after="240"/>
      </w:pPr>
      <w:r>
        <w:t>What could kill you — and how to prevent it.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5760"/>
      </w:tblGrid>
      <w:tr>
        <w:tc>
          <w:tcPr>
            <w:tcW w:type="dxa" w:w="4320"/>
            <w:shd w:fill="F3F4F6"/>
          </w:tcPr>
          <w:p>
            <w:r>
              <w:rPr>
                <w:b/>
                <w:sz w:val="20"/>
              </w:rPr>
              <w:t>Risk</w:t>
            </w:r>
          </w:p>
        </w:tc>
        <w:tc>
          <w:tcPr>
            <w:tcW w:type="dxa" w:w="4320"/>
            <w:shd w:fill="F3F4F6"/>
          </w:tcPr>
          <w:p>
            <w:r>
              <w:rPr>
                <w:b/>
                <w:sz w:val="20"/>
              </w:rPr>
              <w:t>Mitigation</w:t>
            </w:r>
          </w:p>
        </w:tc>
      </w:tr>
      <w:tr>
        <w:tc>
          <w:tcPr>
            <w:tcW w:type="dxa" w:w="4320"/>
          </w:tcPr>
          <w:p/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/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/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/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/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>
            <w:r>
              <w:rPr>
                <w:sz w:val="19"/>
              </w:rPr>
              <w:t>LLM latency blows budget</w:t>
            </w:r>
          </w:p>
        </w:tc>
        <w:tc>
          <w:tcPr>
            <w:tcW w:type="dxa" w:w="5760"/>
          </w:tcPr>
          <w:p>
            <w:r>
              <w:rPr>
                <w:sz w:val="19"/>
              </w:rPr>
              <w:t>Pre-compute SHAP templates. Use structured prompts (not chat). Cache explanations in Redis.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  <w:t>Synthetic data looks fake</w:t>
            </w:r>
          </w:p>
        </w:tc>
        <w:tc>
          <w:tcPr>
            <w:tcW w:type="dxa" w:w="5760"/>
          </w:tcPr>
          <w:p>
            <w:r>
              <w:rPr>
                <w:sz w:val="19"/>
              </w:rPr>
              <w:t>Use faker with realistic Indian merchant names, UPI IDs, card BINs. Add noise.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  <w:t>Dashboard too complex</w:t>
            </w:r>
          </w:p>
        </w:tc>
        <w:tc>
          <w:tcPr>
            <w:tcW w:type="dxa" w:w="5760"/>
          </w:tcPr>
          <w:p>
            <w:r>
              <w:rPr>
                <w:sz w:val="19"/>
              </w:rPr>
              <w:t>Build MVP first: table + cards. Skip real-time charts if time is tight.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  <w:t>Models do not converge</w:t>
            </w:r>
          </w:p>
        </w:tc>
        <w:tc>
          <w:tcPr>
            <w:tcW w:type="dxa" w:w="5760"/>
          </w:tcPr>
          <w:p>
            <w:r>
              <w:rPr>
                <w:sz w:val="19"/>
              </w:rPr>
              <w:t>Your existing models work. Do not retrain from scratch. Fine-tune on synthetic data only.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  <w:t>7 days is not enough</w:t>
            </w:r>
          </w:p>
        </w:tc>
        <w:tc>
          <w:tcPr>
            <w:tcW w:type="dxa" w:w="5760"/>
          </w:tcPr>
          <w:p>
            <w:r>
              <w:rPr>
                <w:sz w:val="19"/>
              </w:rPr>
              <w:t>Scope ruthlessly. If something takes &gt;4 hours and is not core, cut it.</w:t>
            </w:r>
          </w:p>
        </w:tc>
      </w:tr>
    </w:tbl>
    <w:p>
      <w:r>
        <w:br w:type="page"/>
      </w:r>
    </w:p>
    <w:p>
      <w:pPr>
        <w:pStyle w:val="Heading1"/>
      </w:pPr>
      <w:r>
        <w:rPr>
          <w:b/>
          <w:color w:val="1F2937"/>
        </w:rPr>
        <w:t>7. THE SIGNAL: WHY YOU GET THE INTERVIEW</w:t>
      </w:r>
    </w:p>
    <w:p>
      <w:pPr>
        <w:spacing w:after="240"/>
      </w:pPr>
      <w:r>
        <w:t>Your 100% DECLINE precision with zero false blocks on legitimate transactions is Razorpay's dream metric. Every payment company lives in fear of false declines — angry merchants equal churn. You solved it with Dempster-Shafer belief fusion and isotonic calibration. That is IEEE TDSC-level rigor.</w:t>
      </w:r>
    </w:p>
    <w:p>
      <w:r>
        <w:rPr>
          <w:b/>
          <w:color w:val="EF4444"/>
          <w:sz w:val="24"/>
        </w:rPr>
        <w:t>Lead with that in your pitch. Everything else is supporting evidence.</w:t>
      </w:r>
    </w:p>
    <w:p>
      <w:r>
        <w:rPr>
          <w:b/>
          <w:sz w:val="24"/>
        </w:rPr>
        <w:t>Why You Win: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600"/>
        <w:gridCol w:w="6480"/>
      </w:tblGrid>
      <w:tr>
        <w:tc>
          <w:tcPr>
            <w:tcW w:type="dxa" w:w="4320"/>
            <w:shd w:fill="ECFDF5"/>
          </w:tcPr>
          <w:p>
            <w:r>
              <w:rPr>
                <w:b/>
              </w:rPr>
              <w:t>Dimension</w:t>
            </w:r>
          </w:p>
        </w:tc>
        <w:tc>
          <w:tcPr>
            <w:tcW w:type="dxa" w:w="4320"/>
            <w:shd w:fill="ECFDF5"/>
          </w:tcPr>
          <w:p>
            <w:r>
              <w:rPr>
                <w:b/>
              </w:rPr>
              <w:t>Your Advantage</w:t>
            </w:r>
          </w:p>
        </w:tc>
      </w:tr>
      <w:tr>
        <w:tc>
          <w:tcPr>
            <w:tcW w:type="dxa" w:w="4320"/>
          </w:tcPr>
          <w:p/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/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/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/>
        </w:tc>
        <w:tc>
          <w:tcPr>
            <w:tcW w:type="dxa" w:w="4320"/>
          </w:tcPr>
          <w:p/>
        </w:tc>
      </w:tr>
      <w:tr>
        <w:tc>
          <w:tcPr>
            <w:tcW w:type="dxa" w:w="3600"/>
          </w:tcPr>
          <w:p>
            <w:r>
              <w:rPr>
                <w:sz w:val="19"/>
              </w:rPr>
              <w:t>Research Depth</w:t>
            </w:r>
          </w:p>
        </w:tc>
        <w:tc>
          <w:tcPr>
            <w:tcW w:type="dxa" w:w="6480"/>
          </w:tcPr>
          <w:p>
            <w:r>
              <w:rPr>
                <w:sz w:val="19"/>
              </w:rPr>
              <w:t>IEEE TDSC-targeted manuscript. Dempster-Shafer belief fusion. Isotonic calibration. This is not a Kaggle notebook.</w:t>
            </w:r>
          </w:p>
        </w:tc>
      </w:tr>
      <w:tr>
        <w:tc>
          <w:tcPr>
            <w:tcW w:type="dxa" w:w="3600"/>
          </w:tcPr>
          <w:p>
            <w:r>
              <w:rPr>
                <w:sz w:val="19"/>
              </w:rPr>
              <w:t>Production Systems</w:t>
            </w:r>
          </w:p>
        </w:tc>
        <w:tc>
          <w:tcPr>
            <w:tcW w:type="dxa" w:w="6480"/>
          </w:tcPr>
          <w:p>
            <w:r>
              <w:rPr>
                <w:sz w:val="19"/>
              </w:rPr>
              <w:t>FastAPI, Redis, Celery, Docker, async I/O, PgBouncer. You ship. Most applicants cannot deploy.</w:t>
            </w:r>
          </w:p>
        </w:tc>
      </w:tr>
      <w:tr>
        <w:tc>
          <w:tcPr>
            <w:tcW w:type="dxa" w:w="3600"/>
          </w:tcPr>
          <w:p>
            <w:r>
              <w:rPr>
                <w:sz w:val="19"/>
              </w:rPr>
              <w:t>Zero False Declines</w:t>
            </w:r>
          </w:p>
        </w:tc>
        <w:tc>
          <w:tcPr>
            <w:tcW w:type="dxa" w:w="6480"/>
          </w:tcPr>
          <w:p>
            <w:r>
              <w:rPr>
                <w:sz w:val="19"/>
              </w:rPr>
              <w:t>100% DECLINE precision means zero angry merchants. That is Razorpay's core nightmare. You solved it.</w:t>
            </w:r>
          </w:p>
        </w:tc>
      </w:tr>
      <w:tr>
        <w:tc>
          <w:tcPr>
            <w:tcW w:type="dxa" w:w="3600"/>
          </w:tcPr>
          <w:p>
            <w:r>
              <w:rPr>
                <w:sz w:val="19"/>
              </w:rPr>
              <w:t>Agentic Layer</w:t>
            </w:r>
          </w:p>
        </w:tc>
        <w:tc>
          <w:tcPr>
            <w:tcW w:type="dxa" w:w="6480"/>
          </w:tcPr>
          <w:p>
            <w:r>
              <w:rPr>
                <w:sz w:val="19"/>
              </w:rPr>
              <w:t>LLM explanation + auto-threshold agents make it feel like 2026, not 2020. Fits the "AI Builder" narrative perfectly.</w:t>
            </w:r>
          </w:p>
        </w:tc>
      </w:tr>
    </w:tbl>
    <w:p/>
    <w:p/>
    <w:p>
      <w:pPr>
        <w:jc w:val="center"/>
      </w:pPr>
      <w:r>
        <w:rPr>
          <w:i/>
          <w:color w:val="9CA3AF"/>
          <w:sz w:val="18"/>
        </w:rPr>
        <w:t>— Razorpay RiskGuard Architecture Document —</w:t>
        <w:br/>
        <w:t>Devansh Kumar | August 29, 2026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1F2937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