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0F172A"/>
          <w:sz w:val="48"/>
        </w:rPr>
        <w:t>CryptoFlow: Encryption 101 &amp; Architecture Guide</w:t>
      </w:r>
    </w:p>
    <w:p>
      <w:pPr>
        <w:spacing w:after="280"/>
      </w:pPr>
      <w:r>
        <w:rPr>
          <w:i/>
          <w:color w:val="0284C7"/>
          <w:sz w:val="26"/>
        </w:rPr>
        <w:t>A Complete, Beginner-Friendly Guide to Applied Cryptography, Cybersecurity, Uncertainty Quantification (DST vs. DEL), and the CryptoFlow Codebase (From Zero to Hero)</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top w:val="none"/>
              <w:left w:val="single" w:sz="36" w:space="0" w:color="0284c7"/>
              <w:bottom w:val="none"/>
              <w:right w:val="none"/>
            </w:tcBorders>
          </w:tcPr>
          <w:p>
            <w:pPr>
              <w:spacing w:before="40" w:after="80"/>
            </w:pPr>
            <w:r>
              <w:rPr>
                <w:b/>
                <w:color w:val="0284C7"/>
                <w:sz w:val="22"/>
              </w:rPr>
              <w:t>🚀 Welcome to Encryption &amp; Uncertainty 101! (No Experience Needed)</w:t>
              <w:br/>
            </w:r>
            <w:r>
              <w:rPr>
                <w:color w:val="334155"/>
                <w:sz w:val="20"/>
              </w:rPr>
              <w:t>If terms like 'AES-256-GCM', 'HMAC-SHA256', 'Dempster-Shafer Theory', 'Deep Evidential Learning', 'Dirichlet Distributions', and 'Digital Envelopes' sound intimidating, you are in the right place! This guide explains everything from the ground up using real-world analogies (locks, keys, blender smoothies, courtroom juries, marble jars, and armored delivery trucks) combined with authentic mathematical formulations. By the time you finish this document, you will understand how modern medical encryption works, why data uncertainty is the missing piece in healthcare cybersecurity, and what every file and equation in CryptoFlow accomplishes!</w:t>
            </w:r>
          </w:p>
        </w:tc>
      </w:tr>
    </w:tbl>
    <w:p>
      <w:pPr>
        <w:spacing w:after="120"/>
      </w:pPr>
    </w:p>
    <w:p>
      <w:pPr>
        <w:pStyle w:val="Heading1"/>
        <w:spacing w:before="320"/>
      </w:pPr>
      <w:r>
        <w:t>Chapter 1: The Core Concepts of Cybersecurity (The Magic Behind Secrets)</w:t>
      </w:r>
    </w:p>
    <w:p>
      <w:r>
        <w:t>Before we look at code, let's understand what cryptography actually is. Cryptography comes from the Greek words 'kryptos' (hidden) and 'graphein' (to write). It is simply the science of scrambling information so that only the intended recipient can read it and prove that nobody tampered with it.</w:t>
      </w:r>
    </w:p>
    <w:p>
      <w:pPr>
        <w:pStyle w:val="Heading2"/>
      </w:pPr>
      <w:r>
        <w:t>1.1 Plaintext vs. Ciphertext</w:t>
      </w:r>
    </w:p>
    <w:p>
      <w:r>
        <w:t>• Plaintext: The original, readable information. For example, a hospital CT scan of the chest, a text report saying 'Patient has early-stage Pneumonia', or an EHR record with drug allergy alerts.</w:t>
        <w:br/>
        <w:t>• Ciphertext: The scrambled, unreadable static produced after running encryption. To anyone inspecting the packet, it looks like random noise: `8f3a9b2c7e114d...`.</w:t>
        <w:br/>
        <w:t>• Encryption: The mathematical algorithm that transforms Plaintext into Ciphertext using a Secret Key.</w:t>
        <w:br/>
        <w:t>• Decryption: The mathematical algorithm that transforms Ciphertext back into clean Plaintext using the Secret Key.</w:t>
      </w:r>
    </w:p>
    <w:p>
      <w:pPr>
        <w:pStyle w:val="Heading2"/>
      </w:pPr>
      <w:r>
        <w:t>1.2 The Three Big Goals of Modern Cryptography</w:t>
      </w:r>
    </w:p>
    <w:p>
      <w:r>
        <w:t>Most people think encryption is only about secrecy. But in modern medicine and high-reliability systems, there are three equally vital security pillars:</w:t>
      </w:r>
    </w:p>
    <w:tbl>
      <w:tblPr>
        <w:tblW w:type="auto" w:w="0"/>
        <w:jc w:val="center"/>
        <w:tblLayout w:type="fixed"/>
        <w:tblLook w:firstColumn="1" w:firstRow="1" w:lastColumn="0" w:lastRow="0" w:noHBand="0" w:noVBand="1" w:val="04A0"/>
      </w:tblPr>
      <w:tblGrid>
        <w:gridCol w:w="9360"/>
      </w:tblGrid>
      <w:tr>
        <w:tc>
          <w:tcPr>
            <w:tcW w:type="dxa" w:w="9360"/>
            <w:shd w:fill="ecfdf5"/>
            <w:tcMar>
              <w:top w:w="140" w:type="dxa"/>
              <w:bottom w:w="140" w:type="dxa"/>
              <w:left w:w="200" w:type="dxa"/>
              <w:right w:w="200" w:type="dxa"/>
            </w:tcMar>
            <w:tcBorders>
              <w:top w:val="none"/>
              <w:left w:val="single" w:sz="36" w:space="0" w:color="059669"/>
              <w:bottom w:val="none"/>
              <w:right w:val="none"/>
            </w:tcBorders>
          </w:tcPr>
          <w:p>
            <w:pPr>
              <w:spacing w:before="40" w:after="80"/>
            </w:pPr>
            <w:r>
              <w:rPr>
                <w:b/>
                <w:color w:val="059669"/>
                <w:sz w:val="22"/>
              </w:rPr>
              <w:t>🔒 The Three Pillars: Confidentiality, Integrity, and Trustworthiness</w:t>
              <w:br/>
            </w:r>
            <w:r>
              <w:rPr>
                <w:color w:val="334155"/>
                <w:sz w:val="20"/>
              </w:rPr>
              <w:t>1. Confidentiality (Secrecy): 'Nobody unauthorized can read my file.' If a hacker intercepts patient files on the internet, they see only unreadable mathematical gibberish.</w:t>
              <w:br/>
              <w:br/>
              <w:t>2. Integrity (Authenticity &amp; Tamper Detection): 'Nobody changed my file.' If a malicious actor or network glitch flips even a single bit of data in transit, the system instantly detects the corruption and aborts decryption.</w:t>
              <w:br/>
              <w:br/>
              <w:t>3. Trustworthiness / Uncertainty Quantification: 'Is the clinical data actually complete, consistent, and reliable to begin with?' Traditional encryption blindly seals whatever file you hand it. CryptoFlow evaluates whether the data has missing modalities, corrupted headers, or conflicting evidence BEFORE locking the vault!</w:t>
            </w:r>
          </w:p>
        </w:tc>
      </w:tr>
    </w:tbl>
    <w:p>
      <w:pPr>
        <w:spacing w:after="120"/>
      </w:pPr>
    </w:p>
    <w:p>
      <w:pPr>
        <w:pStyle w:val="Heading2"/>
      </w:pPr>
      <w:r>
        <w:t>1.3 Symmetric vs. Asymmetric Encryption (The Lockbox vs. The Mailbox)</w:t>
      </w:r>
    </w:p>
    <w:p>
      <w:r>
        <w:t>There are two fundamental families of encryption algorithms. CryptoFlow uses both in a hybrid architecture:</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tcMar>
              <w:top w:w="100" w:type="dxa"/>
              <w:bottom w:w="100" w:type="dxa"/>
              <w:left w:w="120" w:type="dxa"/>
              <w:right w:w="120" w:type="dxa"/>
            </w:tcMar>
            <w:vAlign w:val="center"/>
            <w:shd w:fill="0f172a"/>
          </w:tcPr>
          <w:p>
            <w:pPr>
              <w:spacing w:before="40" w:after="40"/>
            </w:pPr>
            <w:r>
              <w:rPr>
                <w:b/>
                <w:color w:val="FFFFFF"/>
                <w:sz w:val="19"/>
              </w:rPr>
              <w:t>Type</w:t>
            </w:r>
          </w:p>
        </w:tc>
        <w:tc>
          <w:tcPr>
            <w:tcW w:type="dxa" w:w="2304"/>
            <w:tcMar>
              <w:top w:w="100" w:type="dxa"/>
              <w:bottom w:w="100" w:type="dxa"/>
              <w:left w:w="120" w:type="dxa"/>
              <w:right w:w="120" w:type="dxa"/>
            </w:tcMar>
            <w:vAlign w:val="center"/>
            <w:shd w:fill="0f172a"/>
          </w:tcPr>
          <w:p>
            <w:pPr>
              <w:spacing w:before="40" w:after="40"/>
            </w:pPr>
            <w:r>
              <w:rPr>
                <w:b/>
                <w:color w:val="FFFFFF"/>
                <w:sz w:val="19"/>
              </w:rPr>
              <w:t>Real-World Analogy</w:t>
            </w:r>
          </w:p>
        </w:tc>
        <w:tc>
          <w:tcPr>
            <w:tcW w:type="dxa" w:w="2880"/>
            <w:tcMar>
              <w:top w:w="100" w:type="dxa"/>
              <w:bottom w:w="100" w:type="dxa"/>
              <w:left w:w="120" w:type="dxa"/>
              <w:right w:w="120" w:type="dxa"/>
            </w:tcMar>
            <w:vAlign w:val="center"/>
            <w:shd w:fill="0f172a"/>
          </w:tcPr>
          <w:p>
            <w:pPr>
              <w:spacing w:before="40" w:after="40"/>
            </w:pPr>
            <w:r>
              <w:rPr>
                <w:b/>
                <w:color w:val="FFFFFF"/>
                <w:sz w:val="19"/>
              </w:rPr>
              <w:t>How It Works</w:t>
            </w:r>
          </w:p>
        </w:tc>
        <w:tc>
          <w:tcPr>
            <w:tcW w:type="dxa" w:w="2016"/>
            <w:tcMar>
              <w:top w:w="100" w:type="dxa"/>
              <w:bottom w:w="100" w:type="dxa"/>
              <w:left w:w="120" w:type="dxa"/>
              <w:right w:w="120" w:type="dxa"/>
            </w:tcMar>
            <w:vAlign w:val="center"/>
            <w:shd w:fill="0f172a"/>
          </w:tcPr>
          <w:p>
            <w:pPr>
              <w:spacing w:before="40" w:after="40"/>
            </w:pPr>
            <w:r>
              <w:rPr>
                <w:b/>
                <w:color w:val="FFFFFF"/>
                <w:sz w:val="19"/>
              </w:rPr>
              <w:t>Used in CryptoFlow For</w:t>
            </w:r>
          </w:p>
        </w:tc>
      </w:tr>
      <w:tr>
        <w:trPr>
          <w:cantSplit/>
        </w:trPr>
        <w:tc>
          <w:tcPr>
            <w:tcW w:type="dxa" w:w="2160"/>
            <w:tcMar>
              <w:top w:w="100" w:type="dxa"/>
              <w:bottom w:w="100" w:type="dxa"/>
              <w:left w:w="120" w:type="dxa"/>
              <w:right w:w="120" w:type="dxa"/>
            </w:tcMar>
            <w:vAlign w:val="center"/>
            <w:shd w:fill="ffffff"/>
          </w:tcPr>
          <w:p>
            <w:pPr>
              <w:spacing w:before="40" w:after="40"/>
            </w:pPr>
            <w:r>
              <w:rPr>
                <w:color w:val="1E293B"/>
                <w:sz w:val="18"/>
              </w:rPr>
              <w:t>Symmetric Encryption (e.g. AES-256)</w:t>
            </w:r>
          </w:p>
        </w:tc>
        <w:tc>
          <w:tcPr>
            <w:tcW w:type="dxa" w:w="2304"/>
            <w:tcMar>
              <w:top w:w="100" w:type="dxa"/>
              <w:bottom w:w="100" w:type="dxa"/>
              <w:left w:w="120" w:type="dxa"/>
              <w:right w:w="120" w:type="dxa"/>
            </w:tcMar>
            <w:vAlign w:val="center"/>
            <w:shd w:fill="ffffff"/>
          </w:tcPr>
          <w:p>
            <w:pPr>
              <w:spacing w:before="40" w:after="40"/>
            </w:pPr>
            <w:r>
              <w:rPr>
                <w:color w:val="1E293B"/>
                <w:sz w:val="18"/>
              </w:rPr>
              <w:t>A physical padlock with ONE key.</w:t>
            </w:r>
          </w:p>
        </w:tc>
        <w:tc>
          <w:tcPr>
            <w:tcW w:type="dxa" w:w="2880"/>
            <w:tcMar>
              <w:top w:w="100" w:type="dxa"/>
              <w:bottom w:w="100" w:type="dxa"/>
              <w:left w:w="120" w:type="dxa"/>
              <w:right w:w="120" w:type="dxa"/>
            </w:tcMar>
            <w:vAlign w:val="center"/>
            <w:shd w:fill="ffffff"/>
          </w:tcPr>
          <w:p>
            <w:pPr>
              <w:spacing w:before="40" w:after="40"/>
            </w:pPr>
            <w:r>
              <w:rPr>
                <w:color w:val="1E293B"/>
                <w:sz w:val="18"/>
              </w:rPr>
              <w:t>The EXACT same secret key locks and unlocks the data. Super fast (Gigabytes per second).</w:t>
            </w:r>
          </w:p>
        </w:tc>
        <w:tc>
          <w:tcPr>
            <w:tcW w:type="dxa" w:w="2016"/>
            <w:tcMar>
              <w:top w:w="100" w:type="dxa"/>
              <w:bottom w:w="100" w:type="dxa"/>
              <w:left w:w="120" w:type="dxa"/>
              <w:right w:w="120" w:type="dxa"/>
            </w:tcMar>
            <w:vAlign w:val="center"/>
            <w:shd w:fill="ffffff"/>
          </w:tcPr>
          <w:p>
            <w:pPr>
              <w:spacing w:before="40" w:after="40"/>
            </w:pPr>
            <w:r>
              <w:rPr>
                <w:color w:val="1E293B"/>
                <w:sz w:val="18"/>
              </w:rPr>
              <w:t>Encrypting heavy patient modalities (DICOM images, radiology text reports, JSON metadata).</w:t>
            </w:r>
          </w:p>
        </w:tc>
      </w:tr>
      <w:tr>
        <w:trPr>
          <w:cantSplit/>
        </w:trPr>
        <w:tc>
          <w:tcPr>
            <w:tcW w:type="dxa" w:w="2160"/>
            <w:tcMar>
              <w:top w:w="100" w:type="dxa"/>
              <w:bottom w:w="100" w:type="dxa"/>
              <w:left w:w="120" w:type="dxa"/>
              <w:right w:w="120" w:type="dxa"/>
            </w:tcMar>
            <w:vAlign w:val="center"/>
            <w:shd w:fill="f8fafc"/>
          </w:tcPr>
          <w:p>
            <w:pPr>
              <w:spacing w:before="40" w:after="40"/>
            </w:pPr>
            <w:r>
              <w:rPr>
                <w:color w:val="1E293B"/>
                <w:sz w:val="18"/>
              </w:rPr>
              <w:t>Asymmetric Encryption (e.g. RSA-2048)</w:t>
            </w:r>
          </w:p>
        </w:tc>
        <w:tc>
          <w:tcPr>
            <w:tcW w:type="dxa" w:w="2304"/>
            <w:tcMar>
              <w:top w:w="100" w:type="dxa"/>
              <w:bottom w:w="100" w:type="dxa"/>
              <w:left w:w="120" w:type="dxa"/>
              <w:right w:w="120" w:type="dxa"/>
            </w:tcMar>
            <w:vAlign w:val="center"/>
            <w:shd w:fill="f8fafc"/>
          </w:tcPr>
          <w:p>
            <w:pPr>
              <w:spacing w:before="40" w:after="40"/>
            </w:pPr>
            <w:r>
              <w:rPr>
                <w:color w:val="1E293B"/>
                <w:sz w:val="18"/>
              </w:rPr>
              <w:t>A public postal mailbox with a slot.</w:t>
            </w:r>
          </w:p>
        </w:tc>
        <w:tc>
          <w:tcPr>
            <w:tcW w:type="dxa" w:w="2880"/>
            <w:tcMar>
              <w:top w:w="100" w:type="dxa"/>
              <w:bottom w:w="100" w:type="dxa"/>
              <w:left w:w="120" w:type="dxa"/>
              <w:right w:w="120" w:type="dxa"/>
            </w:tcMar>
            <w:vAlign w:val="center"/>
            <w:shd w:fill="f8fafc"/>
          </w:tcPr>
          <w:p>
            <w:pPr>
              <w:spacing w:before="40" w:after="40"/>
            </w:pPr>
            <w:r>
              <w:rPr>
                <w:color w:val="1E293B"/>
                <w:sz w:val="18"/>
              </w:rPr>
              <w:t>Uses a KEYPAIR: Anyone can drop a letter using your Public Key, but ONLY you have the Private Key to open the door.</w:t>
            </w:r>
          </w:p>
        </w:tc>
        <w:tc>
          <w:tcPr>
            <w:tcW w:type="dxa" w:w="2016"/>
            <w:tcMar>
              <w:top w:w="100" w:type="dxa"/>
              <w:bottom w:w="100" w:type="dxa"/>
              <w:left w:w="120" w:type="dxa"/>
              <w:right w:w="120" w:type="dxa"/>
            </w:tcMar>
            <w:vAlign w:val="center"/>
            <w:shd w:fill="f8fafc"/>
          </w:tcPr>
          <w:p>
            <w:pPr>
              <w:spacing w:before="40" w:after="40"/>
            </w:pPr>
            <w:r>
              <w:rPr>
                <w:color w:val="1E293B"/>
                <w:sz w:val="18"/>
              </w:rPr>
              <w:t>Safely encrypting and transporting the symmetric keys (The .keyring digital envelope).</w:t>
            </w:r>
          </w:p>
        </w:tc>
      </w:tr>
    </w:tbl>
    <w:p>
      <w:pPr>
        <w:pStyle w:val="Heading1"/>
        <w:spacing w:before="320"/>
      </w:pPr>
      <w:r>
        <w:t>Chapter 2: The Cryptographic &amp; Uncertainty Dictionary (All Heavy Terms Demystified)</w:t>
      </w:r>
    </w:p>
    <w:p>
      <w:r>
        <w:t>Here are all the key technical terms used across CryptoFlow explained with everyday analogies alongside their technical definitions:</w:t>
      </w:r>
    </w:p>
    <w:p>
      <w:pPr>
        <w:spacing w:before="80" w:after="80"/>
      </w:pPr>
      <w:r>
        <w:rPr>
          <w:b/>
          <w:color w:val="0F766E"/>
        </w:rPr>
        <w:t>🔑 AES (Advanced Encryption Standard):</w:t>
        <w:br/>
      </w:r>
      <w:r>
        <w:rPr>
          <w:sz w:val="20"/>
        </w:rPr>
        <w:t>The world's gold-standard symmetric encryption algorithm, approved by the NSA and banks worldwide. 'AES-256' means the secret key is 256 bits long (a binary number with 256 ones and zeros). There are 2^256 possible keys—more than all the estimated atoms in the observable universe! It cannot be brute-forced.</w:t>
      </w:r>
    </w:p>
    <w:p>
      <w:pPr>
        <w:spacing w:before="80" w:after="80"/>
      </w:pPr>
      <w:r>
        <w:rPr>
          <w:b/>
          <w:color w:val="0F766E"/>
        </w:rPr>
        <w:t>🔑 GCM (Galois/Counter Mode):</w:t>
        <w:br/>
      </w:r>
      <w:r>
        <w:rPr>
          <w:sz w:val="20"/>
        </w:rPr>
        <w:t>A special mode of AES that provides BOTH encryption (confidentiality) AND an authentication tag (integrity) in one pass. It scrambles your file and puts a tamper-evident seal on it at hardware speed (&gt;120 MB/s).</w:t>
      </w:r>
    </w:p>
    <w:p>
      <w:pPr>
        <w:spacing w:before="80" w:after="80"/>
      </w:pPr>
      <w:r>
        <w:rPr>
          <w:b/>
          <w:color w:val="0F766E"/>
        </w:rPr>
        <w:t>🔑 IV / Nonce (Number Used Once):</w:t>
        <w:br/>
      </w:r>
      <w:r>
        <w:rPr>
          <w:sz w:val="20"/>
        </w:rPr>
        <w:t>A 12-byte random number generated fresh for every single encryption. Think of it like a unique receipt ID. If you encrypt the exact same chest X-ray twice with different Nonces, the resulting scrambled files look 100% completely different. This prevents eavesdroppers from spotting recurring medical patterns.</w:t>
      </w:r>
    </w:p>
    <w:p>
      <w:pPr>
        <w:spacing w:before="80" w:after="80"/>
      </w:pPr>
      <w:r>
        <w:rPr>
          <w:b/>
          <w:color w:val="0F766E"/>
        </w:rPr>
        <w:t>🔑 Auth Tag (Authentication Tag):</w:t>
        <w:br/>
      </w:r>
      <w:r>
        <w:rPr>
          <w:sz w:val="20"/>
        </w:rPr>
        <w:t>A 16-byte cryptographic stamp generated by AES-GCM. Think of it like an unbreakable wax seal. When decrypting, if even 1 pixel in the X-ray was altered during transmission, the verification math fails and decryption is aborted.</w:t>
      </w:r>
    </w:p>
    <w:p>
      <w:pPr>
        <w:spacing w:before="80" w:after="80"/>
      </w:pPr>
      <w:r>
        <w:rPr>
          <w:b/>
          <w:color w:val="0F766E"/>
        </w:rPr>
        <w:t>🔑 Hash Function (e.g. SHA-256):</w:t>
        <w:br/>
      </w:r>
      <w:r>
        <w:rPr>
          <w:sz w:val="20"/>
        </w:rPr>
        <w:t>A one-way mathematical blender. You can put an entire dictionary or a 1GB MRI scan into SHA-256, and it spits out a 32-byte (64 hexadecimal characters) fingerprint. It is mathematically impossible to turn the fingerprint back into the original file (just like you cannot turn a fruit smoothie back into an apple).</w:t>
      </w:r>
    </w:p>
    <w:p>
      <w:pPr>
        <w:spacing w:before="80" w:after="80"/>
      </w:pPr>
      <w:r>
        <w:rPr>
          <w:b/>
          <w:color w:val="0F766E"/>
        </w:rPr>
        <w:t>🔑 HMAC (Hash-based Message Authentication Code):</w:t>
        <w:br/>
      </w:r>
      <w:r>
        <w:rPr>
          <w:sz w:val="20"/>
        </w:rPr>
        <w:t>A Hash function combined with a SECRET KEY. Anyone can compute a standard SHA-256 hash, but ONLY someone holding the secret HMAC Key can compute a valid HMAC! In CryptoFlow, we use HMAC to weld all files in a patient bundle together into an atomic unit.</w:t>
      </w:r>
    </w:p>
    <w:p>
      <w:pPr>
        <w:spacing w:before="80" w:after="80"/>
      </w:pPr>
      <w:r>
        <w:rPr>
          <w:b/>
          <w:color w:val="0F766E"/>
        </w:rPr>
        <w:t>🔑 CSPRNG (Cryptographically Secure Pseudo-Random Number Generator):</w:t>
        <w:br/>
      </w:r>
      <w:r>
        <w:rPr>
          <w:sz w:val="20"/>
        </w:rPr>
        <w:t>Computers cannot easily create true randomness on their own. A CSPRNG harvests unpredictable hardware entropy (CPU thermal noise, clock jitter, OS interrupts) to generate unguessable 256-bit cryptographic keys.</w:t>
      </w:r>
    </w:p>
    <w:p>
      <w:pPr>
        <w:spacing w:before="80" w:after="80"/>
      </w:pPr>
      <w:r>
        <w:rPr>
          <w:b/>
          <w:color w:val="0F766E"/>
        </w:rPr>
        <w:t>🔑 Hybrid Encryption (Digital Envelope):</w:t>
        <w:br/>
      </w:r>
      <w:r>
        <w:rPr>
          <w:sz w:val="20"/>
        </w:rPr>
        <w:t>Combining the speed of AES with the security of RSA. High-volume clinical scans are encrypted with fast AES-256 keys, and that tiny AES key is sealed inside an RSA-2048 digital envelope for the recipient hospital.</w:t>
      </w:r>
    </w:p>
    <w:p>
      <w:pPr>
        <w:spacing w:before="80" w:after="80"/>
      </w:pPr>
      <w:r>
        <w:rPr>
          <w:b/>
          <w:color w:val="0F766E"/>
        </w:rPr>
        <w:t>🔑 Shannon Entropy (Data Randomness Measure):</w:t>
        <w:br/>
      </w:r>
      <w:r>
        <w:rPr>
          <w:sz w:val="20"/>
        </w:rPr>
        <w:t>A mathematical formula created by Claude Shannon (1948) that measures the unpredictability or 'texture' of byte values on a scale from 0 to 8 bits. A file of repeated 'A's has 0 entropy (totally predictable). Real medical images have rich entropy (~7.9 bits). If a 50MB CT scan has an entropy of only 1.2 bits, it is fake, blank, or corrupted!</w:t>
      </w:r>
    </w:p>
    <w:p>
      <w:pPr>
        <w:spacing w:before="80" w:after="80"/>
      </w:pPr>
      <w:r>
        <w:rPr>
          <w:b/>
          <w:color w:val="0F766E"/>
        </w:rPr>
        <w:t>🔑 Epistemic Uncertainty vs. Aleatoric Uncertainty:</w:t>
        <w:br/>
      </w:r>
      <w:r>
        <w:rPr>
          <w:sz w:val="20"/>
        </w:rPr>
        <w:t>Aleatoric uncertainty is natural stochastic randomness (e.g., rolling dice or camera sensor noise). Epistemic uncertainty is 'uncertainty due to lack of knowledge' (e.g., missing the blood test report). Epistemic uncertainty can be reduced by collecting more clinical evidence; aleatoric cannot.</w:t>
      </w:r>
    </w:p>
    <w:p>
      <w:pPr>
        <w:spacing w:before="80" w:after="80"/>
      </w:pPr>
      <w:r>
        <w:rPr>
          <w:b/>
          <w:color w:val="0F766E"/>
        </w:rPr>
        <w:t>🔑 Dempster-Shafer Theory (DST):</w:t>
        <w:br/>
      </w:r>
      <w:r>
        <w:rPr>
          <w:sz w:val="20"/>
        </w:rPr>
        <w:t>A classical evidence framework introduced by Glenn Shafer (1976). Unlike standard Bayesian probability which forces every chance to sum to 1, DST allows assigning belief to 'the full set' (explicit ignorance). Think of a jury allowed to vote 'Guilty', 'Not Guilty', or 'I honestly don't know yet'.</w:t>
      </w:r>
    </w:p>
    <w:p>
      <w:pPr>
        <w:spacing w:before="80" w:after="80"/>
      </w:pPr>
      <w:r>
        <w:rPr>
          <w:b/>
          <w:color w:val="0F766E"/>
        </w:rPr>
        <w:t>🔑 Deep Evidential Learning (DEL):</w:t>
        <w:br/>
      </w:r>
      <w:r>
        <w:rPr>
          <w:sz w:val="20"/>
        </w:rPr>
        <w:t>A modern evidential framework proposed by Sensoy et al. (NeurIPS 2018). Instead of outputting a single confidence score, it models probabilities as a Dirichlet probability distribution. Epistemic uncertainty is calculated directly as u = K / S, where S is the total accumulated evidence.</w:t>
      </w:r>
    </w:p>
    <w:p>
      <w:pPr>
        <w:spacing w:before="80" w:after="80"/>
      </w:pPr>
      <w:r>
        <w:rPr>
          <w:b/>
          <w:color w:val="0F766E"/>
        </w:rPr>
        <w:t>🔑 Conflict Coefficient K (Dempster's Discord):</w:t>
        <w:br/>
      </w:r>
      <w:r>
        <w:rPr>
          <w:sz w:val="20"/>
        </w:rPr>
        <w:t>The 'argument meter' between modalities. If an X-ray indicates high reliability but the patient report has broken format and zero entropy, the conflict coefficient K spikes, warning clinicians that the modalities tell contradictory stories.</w:t>
      </w:r>
    </w:p>
    <w:p>
      <w:pPr>
        <w:spacing w:before="80" w:after="80"/>
      </w:pPr>
      <w:r>
        <w:rPr>
          <w:b/>
          <w:color w:val="0F766E"/>
        </w:rPr>
        <w:t>🔑 Vacuous Prior / Mass (Honest Ignorance):</w:t>
        <w:br/>
      </w:r>
      <w:r>
        <w:rPr>
          <w:sz w:val="20"/>
        </w:rPr>
        <w:t>When a patient record is missing a modality (e.g., no CT scan provided), instead of making up a fake 50% score, the system assigns 100% mass to total ignorance (m(Θ) = 1.0 in DST, or Dir(1,1) with u = 1.0 in DEL).</w:t>
      </w:r>
    </w:p>
    <w:p>
      <w:pPr>
        <w:pStyle w:val="Heading1"/>
        <w:spacing w:before="320"/>
      </w:pPr>
      <w:r>
        <w:t>Chapter 3: Why Did We Build CryptoFlow? (The Cross-Modal Decoupling Threat)</w:t>
      </w:r>
    </w:p>
    <w:p>
      <w:r>
        <w:t>In modern healthcare IT (PACS routers, vendor-neutral archives, electronic health records), clinical data is inherently multimodal. A typical diagnostic encounter consists of three distinct modalities:</w:t>
      </w:r>
    </w:p>
    <w:p>
      <w:r>
        <w:t>1. 🖼️ Medical Imaging: DICOM CT scan, X-Ray, or volumetric MRI.</w:t>
        <w:br/>
        <w:t>2. 📝 Radiology Report: Textual clinical impression written by the radiologist ('Focal nodule in lower right lobe, immediate biopsy advised').</w:t>
        <w:br/>
        <w:t>3. 📊 EHR Metadata: Structured JSON containing Patient ID, Name, Blood Group, Allergy Warnings, and Prescribed Dosages.</w:t>
      </w:r>
    </w:p>
    <w:p>
      <w:pPr>
        <w:pStyle w:val="Heading2"/>
      </w:pPr>
      <w:r>
        <w:t>3.1 The Dangerous Flaw in Traditional Systems</w:t>
      </w:r>
    </w:p>
    <w:p>
      <w:r>
        <w:t>In standard hospital IT pipelines, each file is encrypted as an isolated entity (for example, three separate PGP or TLS-encrypted files). This architectural blindspot gives rise to the Cross-Patient Splicing / Decoupling Attack:</w:t>
      </w:r>
    </w:p>
    <w:tbl>
      <w:tblPr>
        <w:tblW w:type="auto" w:w="0"/>
        <w:jc w:val="center"/>
        <w:tblLayout w:type="fixed"/>
        <w:tblLook w:firstColumn="1" w:firstRow="1" w:lastColumn="0" w:lastRow="0" w:noHBand="0" w:noVBand="1" w:val="04A0"/>
      </w:tblPr>
      <w:tblGrid>
        <w:gridCol w:w="9360"/>
      </w:tblGrid>
      <w:tr>
        <w:tc>
          <w:tcPr>
            <w:tcW w:type="dxa" w:w="9360"/>
            <w:shd w:fill="fef2f2"/>
            <w:tcMar>
              <w:top w:w="140" w:type="dxa"/>
              <w:bottom w:w="140" w:type="dxa"/>
              <w:left w:w="200" w:type="dxa"/>
              <w:right w:w="200" w:type="dxa"/>
            </w:tcMar>
            <w:tcBorders>
              <w:top w:val="none"/>
              <w:left w:val="single" w:sz="36" w:space="0" w:color="dc2626"/>
              <w:bottom w:val="none"/>
              <w:right w:val="none"/>
            </w:tcBorders>
          </w:tcPr>
          <w:p>
            <w:pPr>
              <w:spacing w:before="40" w:after="80"/>
            </w:pPr>
            <w:r>
              <w:rPr>
                <w:b/>
                <w:color w:val="DC2626"/>
                <w:sz w:val="22"/>
              </w:rPr>
              <w:t>⚠️ The Cross-Patient Splicing / Decoupling Attack Scenario</w:t>
              <w:br/>
            </w:r>
            <w:r>
              <w:rPr>
                <w:color w:val="334155"/>
                <w:sz w:val="20"/>
              </w:rPr>
              <w:t>• Patient Alice has a MALIGNANT tumor clearly visible on her CT scan.</w:t>
              <w:br/>
              <w:t>• Patient Bob has a BENIGN (completely healthy) scan.</w:t>
              <w:br/>
              <w:t>An adversary, rogue insider, or malfunctioning PACS network router swaps Bob's healthy radiology report into Alice's folder.</w:t>
              <w:br/>
              <w:br/>
              <w:t>What happens in traditional per-file encryption systems?</w:t>
              <w:br/>
              <w:t>When Alice's folder arrives at the oncology clinic, Alice's CT scan decrypts with Key 1. Bob's healthy report decrypts with Key 2. Alice's metadata decrypts with Key 3. Every individual file passes integrity checks! The surgeon reads Bob's healthy report, cancels Alice's lifesaving biopsy, and catastrophic medical harm occurs.</w:t>
              <w:br/>
              <w:br/>
              <w:t>What happens in CryptoFlow?</w:t>
              <w:br/>
              <w:t>All three modalities are mathematically WELDED together via a deterministic HMAC-SHA-256 cross-modal binding hash. If Bob's report is spliced into Alice's container, the cross-modal weld breaks immediately. CryptoFlow raises a BindingMismatchError and refuses to decrypt or release any plaintext!</w:t>
            </w:r>
          </w:p>
        </w:tc>
      </w:tr>
    </w:tbl>
    <w:p>
      <w:pPr>
        <w:spacing w:after="120"/>
      </w:pPr>
    </w:p>
    <w:p>
      <w:pPr>
        <w:pStyle w:val="Heading2"/>
      </w:pPr>
      <w:r>
        <w:t>3.2 The Second Blindspot: Blind Encryption of Bad Data</w:t>
      </w:r>
    </w:p>
    <w:p>
      <w:r>
        <w:t>Traditional encryption answers only one question: 'Was this file altered in transit?' It never asks: 'Was this data complete, consistent, and clinically trustworthy to begin with?' If a faulty scanner produces a truncated 20-byte image file, or if the metadata was omitted entirely, traditional encryption locks that corrupted file in a vault with a smile. CryptoFlow's Stage 2 evaluates the data quality upfront and embeds a tamper-proof Uncertainty Profile directly inside the container manifest!</w:t>
      </w:r>
    </w:p>
    <w:p>
      <w:pPr>
        <w:pStyle w:val="Heading1"/>
        <w:spacing w:before="320"/>
      </w:pPr>
      <w:r>
        <w:t>Chapter 4: The 6-Stage Cryptographic &amp; Uncertainty Pipeline (Step-by-Step)</w:t>
      </w:r>
    </w:p>
    <w:p>
      <w:r>
        <w:t>When you invoke CryptoFlow, your medical files travel through 6 deterministic, battle-tested pipeline stages:</w:t>
      </w:r>
    </w:p>
    <w:p>
      <w:pPr>
        <w:pStyle w:val="Heading2"/>
      </w:pPr>
      <w:r>
        <w:t>Stage 1: Ingest &amp; Normalization (`stages/ingest.py`)</w:t>
      </w:r>
    </w:p>
    <w:p>
      <w:r>
        <w:rPr>
          <w:b/>
        </w:rPr>
        <w:t>🎯 Analogy: Attaching Label Stickers to Raw Payloads</w:t>
        <w:br/>
      </w:r>
      <w:r>
        <w:t>Different medical files have diverse extensions (.dcm, .png, .txt, .json). Stage 1 reads the raw byte streams and prepends a uniform 64-byte typed binary header (magic bytes 'CFBLB\x00', modality index, 32-bit payload length, and null-padded original filename). This allows downstream crypto stages to operate agnostically on uniform payloads.</w:t>
      </w:r>
    </w:p>
    <w:p>
      <w:pPr>
        <w:pStyle w:val="Heading2"/>
      </w:pPr>
      <w:r>
        <w:t>Stage 2: Uncertainty Quantification (DST + DEL) (`stages/uncertainty.py`)</w:t>
      </w:r>
    </w:p>
    <w:p>
      <w:r>
        <w:rPr>
          <w:b/>
        </w:rPr>
        <w:t>🎯 Analogy: The AI Quality Detective (DST vs. DEL)</w:t>
        <w:br/>
      </w:r>
      <w:r>
        <w:t>Before rolling any keys, this stage inspects byte-level features (Shannon entropy, file size conformance, magic headers). It executes Dempster-Shafer Theory (DST) and Deep Evidential Learning (DEL) side-by-side to assess multi-modal fusion reliability, inter-modality conflict, and missing-modality penalties. The resulting report is preserved for embedding into the manifest.</w:t>
      </w:r>
    </w:p>
    <w:p>
      <w:pPr>
        <w:pStyle w:val="Heading2"/>
      </w:pPr>
      <w:r>
        <w:t>Stage 3: CSPRNG Key Generation (`stages/keygen.py`)</w:t>
      </w:r>
    </w:p>
    <w:p>
      <w:r>
        <w:rPr>
          <w:b/>
        </w:rPr>
        <w:t>🎯 Analogy: Rolling Unbiased Cryptographic Dice</w:t>
        <w:br/>
      </w:r>
      <w:r>
        <w:t>Draws from operating system entropy to generate: (1) An isolated 256-bit AES key for the image, (2) An isolated 256-bit AES key for text, (3) An isolated 256-bit AES key for metadata, and (4) A 256-bit master HMAC binding key. Encapsulates them in an in-memory KeyRing with a fresh UUIDv4.</w:t>
      </w:r>
    </w:p>
    <w:p>
      <w:pPr>
        <w:pStyle w:val="Heading2"/>
      </w:pPr>
      <w:r>
        <w:t>Stage 4: AES-256-GCM Encryption (`stages/encrypt.py`)</w:t>
      </w:r>
    </w:p>
    <w:p>
      <w:r>
        <w:rPr>
          <w:b/>
        </w:rPr>
        <w:t>🎯 Analogy: Scrambling Payloads &amp; Stamping Seals</w:t>
        <w:br/>
      </w:r>
      <w:r>
        <w:t>Encrypts each normalized blob with its modality key and a unique 12-byte IV using Galois/Counter Mode. Produces ciphertext plus a 16-byte GCM Authentication Tag per modality at hardware speeds (&gt;120 MB/s).</w:t>
      </w:r>
    </w:p>
    <w:p>
      <w:pPr>
        <w:pStyle w:val="Heading2"/>
      </w:pPr>
      <w:r>
        <w:t>Stage 5: Cross-Modal Binding Hash (`stages/binding.py`)</w:t>
      </w:r>
    </w:p>
    <w:p>
      <w:r>
        <w:rPr>
          <w:b/>
        </w:rPr>
        <w:t>🎯 Analogy: Welding All Modalities Together</w:t>
        <w:br/>
      </w:r>
      <w:r>
        <w:t>Sorts all encrypted blobs deterministically by modality enum. Concatenates (Ciphertext || Tag || IV) for each file, and computes a master HMAC-SHA-256 hash. This 32-byte hash guarantees that no modality can be swapped, injected, or removed.</w:t>
      </w:r>
    </w:p>
    <w:p>
      <w:pPr>
        <w:pStyle w:val="Heading2"/>
      </w:pPr>
      <w:r>
        <w:t>Stage 6: Binary Packaging &amp; Split Courier (`stages/package.py`)</w:t>
      </w:r>
    </w:p>
    <w:p>
      <w:r>
        <w:rPr>
          <w:b/>
        </w:rPr>
        <w:t>🎯 Analogy: Assembling the Vault &amp; Key Envelope</w:t>
        <w:br/>
      </w:r>
      <w:r>
        <w:t>Assembles the `.cryptoflow` binary file (64-byte header, JSON manifest containing the binding hash and uncertainty profile, and concatenated ciphertexts). Exports the KeyRing to a `.keyring` file, optionally wrapped with the doctor's RSA-2048 public key for secure out-of-band courier delivery.</w:t>
      </w:r>
    </w:p>
    <w:p>
      <w:pPr>
        <w:pStyle w:val="Heading1"/>
        <w:spacing w:before="320"/>
      </w:pPr>
      <w:r>
        <w:t>Chapter 5: The Science of Uncertainty Quantification (DST vs. DEL)</w:t>
      </w:r>
    </w:p>
    <w:p>
      <w:r>
        <w:t>A major research breakthrough in CryptoFlow is the inclusion of Stage 2: a dual-framework Uncertainty Quantification (UQ) engine. This chapter demystifies the mathematics and clinical motivation behind comparing classical evidence theory against modern neural evidential learning.</w:t>
      </w:r>
    </w:p>
    <w:p>
      <w:pPr>
        <w:pStyle w:val="Heading2"/>
      </w:pPr>
      <w:r>
        <w:t>5.1 Two Clinical Uncertainty Dimensions</w:t>
      </w:r>
    </w:p>
    <w:p>
      <w:r>
        <w:t>1. Multi-modal Fusion Uncertainty: When combining an image, a radiology note, and laboratory metadata, are they of equal quality? If the image has perfect resolution but the text report is corrupted, should the clinician trust the bundle equally?</w:t>
        <w:br/>
        <w:t>2. Missing Information Uncertainty: In clinical reality, patient records are frequently incomplete (e.g., an emergency trauma patient without prior lab metadata). How do we quantify that incompleteness so downstream AI models or doctors do not act with false certainty?</w:t>
      </w:r>
    </w:p>
    <w:p>
      <w:pPr>
        <w:pStyle w:val="Heading2"/>
      </w:pPr>
      <w:r>
        <w:t>5.2 Zero-AI Feature Extraction (Microsecond Analysis)</w:t>
      </w:r>
    </w:p>
    <w:p>
      <w:r>
        <w:t>Unlike heavy computer vision or deep learning models that require gigabytes of GPU weights and seconds of inference latency, CryptoFlow extracts three objective quality features directly from the raw byte stream in ~3 milliseconds: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tcMar>
              <w:top w:w="100" w:type="dxa"/>
              <w:bottom w:w="100" w:type="dxa"/>
              <w:left w:w="120" w:type="dxa"/>
              <w:right w:w="120" w:type="dxa"/>
            </w:tcMar>
            <w:vAlign w:val="center"/>
            <w:shd w:fill="0f766e"/>
          </w:tcPr>
          <w:p>
            <w:pPr>
              <w:spacing w:before="40" w:after="40"/>
            </w:pPr>
            <w:r>
              <w:rPr>
                <w:b/>
                <w:color w:val="FFFFFF"/>
                <w:sz w:val="19"/>
              </w:rPr>
              <w:t>Feature</w:t>
            </w:r>
          </w:p>
        </w:tc>
        <w:tc>
          <w:tcPr>
            <w:tcW w:type="dxa" w:w="3312"/>
            <w:tcMar>
              <w:top w:w="100" w:type="dxa"/>
              <w:bottom w:w="100" w:type="dxa"/>
              <w:left w:w="120" w:type="dxa"/>
              <w:right w:w="120" w:type="dxa"/>
            </w:tcMar>
            <w:vAlign w:val="center"/>
            <w:shd w:fill="0f766e"/>
          </w:tcPr>
          <w:p>
            <w:pPr>
              <w:spacing w:before="40" w:after="40"/>
            </w:pPr>
            <w:r>
              <w:rPr>
                <w:b/>
                <w:color w:val="FFFFFF"/>
                <w:sz w:val="19"/>
              </w:rPr>
              <w:t>Mathematical Formulation</w:t>
            </w:r>
          </w:p>
        </w:tc>
        <w:tc>
          <w:tcPr>
            <w:tcW w:type="dxa" w:w="3888"/>
            <w:tcMar>
              <w:top w:w="100" w:type="dxa"/>
              <w:bottom w:w="100" w:type="dxa"/>
              <w:left w:w="120" w:type="dxa"/>
              <w:right w:w="120" w:type="dxa"/>
            </w:tcMar>
            <w:vAlign w:val="center"/>
            <w:shd w:fill="0f766e"/>
          </w:tcPr>
          <w:p>
            <w:pPr>
              <w:spacing w:before="40" w:after="40"/>
            </w:pPr>
            <w:r>
              <w:rPr>
                <w:b/>
                <w:color w:val="FFFFFF"/>
                <w:sz w:val="19"/>
              </w:rPr>
              <w:t>Clinical Meaning &amp; Expected Range</w:t>
            </w:r>
          </w:p>
        </w:tc>
      </w:tr>
      <w:tr>
        <w:trPr>
          <w:cantSplit/>
        </w:trPr>
        <w:tc>
          <w:tcPr>
            <w:tcW w:type="dxa" w:w="2160"/>
            <w:tcMar>
              <w:top w:w="100" w:type="dxa"/>
              <w:bottom w:w="100" w:type="dxa"/>
              <w:left w:w="120" w:type="dxa"/>
              <w:right w:w="120" w:type="dxa"/>
            </w:tcMar>
            <w:vAlign w:val="center"/>
            <w:shd w:fill="ffffff"/>
          </w:tcPr>
          <w:p>
            <w:pPr>
              <w:spacing w:before="40" w:after="40"/>
            </w:pPr>
            <w:r>
              <w:rPr>
                <w:color w:val="1E293B"/>
                <w:sz w:val="18"/>
              </w:rPr>
              <w:t>Shannon Entropy</w:t>
            </w:r>
          </w:p>
        </w:tc>
        <w:tc>
          <w:tcPr>
            <w:tcW w:type="dxa" w:w="3312"/>
            <w:tcMar>
              <w:top w:w="100" w:type="dxa"/>
              <w:bottom w:w="100" w:type="dxa"/>
              <w:left w:w="120" w:type="dxa"/>
              <w:right w:w="120" w:type="dxa"/>
            </w:tcMar>
            <w:vAlign w:val="center"/>
            <w:shd w:fill="ffffff"/>
          </w:tcPr>
          <w:p>
            <w:pPr>
              <w:spacing w:before="40" w:after="40"/>
            </w:pPr>
            <w:r>
              <w:rPr>
                <w:color w:val="1E293B"/>
                <w:sz w:val="18"/>
              </w:rPr>
              <w:t>H = -Σ p(x) log2(p(x)) across byte distribution [0, 8 bits]</w:t>
            </w:r>
          </w:p>
        </w:tc>
        <w:tc>
          <w:tcPr>
            <w:tcW w:type="dxa" w:w="3888"/>
            <w:tcMar>
              <w:top w:w="100" w:type="dxa"/>
              <w:bottom w:w="100" w:type="dxa"/>
              <w:left w:w="120" w:type="dxa"/>
              <w:right w:w="120" w:type="dxa"/>
            </w:tcMar>
            <w:vAlign w:val="center"/>
            <w:shd w:fill="ffffff"/>
          </w:tcPr>
          <w:p>
            <w:pPr>
              <w:spacing w:before="40" w:after="40"/>
            </w:pPr>
            <w:r>
              <w:rPr>
                <w:color w:val="1E293B"/>
                <w:sz w:val="18"/>
              </w:rPr>
              <w:t>Valid DICOM images score 4.0 - 7.95 bits. Natural clinical text scores 3.0 - 5.5 bits. JSON metadata scores 2.5 - 5.5 bits. A score near 0 indicates blank/corrupted files.</w:t>
            </w:r>
          </w:p>
        </w:tc>
      </w:tr>
      <w:tr>
        <w:trPr>
          <w:cantSplit/>
        </w:trPr>
        <w:tc>
          <w:tcPr>
            <w:tcW w:type="dxa" w:w="2160"/>
            <w:tcMar>
              <w:top w:w="100" w:type="dxa"/>
              <w:bottom w:w="100" w:type="dxa"/>
              <w:left w:w="120" w:type="dxa"/>
              <w:right w:w="120" w:type="dxa"/>
            </w:tcMar>
            <w:vAlign w:val="center"/>
            <w:shd w:fill="f0fdfa"/>
          </w:tcPr>
          <w:p>
            <w:pPr>
              <w:spacing w:before="40" w:after="40"/>
            </w:pPr>
            <w:r>
              <w:rPr>
                <w:color w:val="1E293B"/>
                <w:sz w:val="18"/>
              </w:rPr>
              <w:t>Size Conformance Score</w:t>
            </w:r>
          </w:p>
        </w:tc>
        <w:tc>
          <w:tcPr>
            <w:tcW w:type="dxa" w:w="3312"/>
            <w:tcMar>
              <w:top w:w="100" w:type="dxa"/>
              <w:bottom w:w="100" w:type="dxa"/>
              <w:left w:w="120" w:type="dxa"/>
              <w:right w:w="120" w:type="dxa"/>
            </w:tcMar>
            <w:vAlign w:val="center"/>
            <w:shd w:fill="f0fdfa"/>
          </w:tcPr>
          <w:p>
            <w:pPr>
              <w:spacing w:before="40" w:after="40"/>
            </w:pPr>
            <w:r>
              <w:rPr>
                <w:color w:val="1E293B"/>
                <w:sz w:val="18"/>
              </w:rPr>
              <w:t>s = min(1.0, actual_size / expected_min) or ratio decay</w:t>
            </w:r>
          </w:p>
        </w:tc>
        <w:tc>
          <w:tcPr>
            <w:tcW w:type="dxa" w:w="3888"/>
            <w:tcMar>
              <w:top w:w="100" w:type="dxa"/>
              <w:bottom w:w="100" w:type="dxa"/>
              <w:left w:w="120" w:type="dxa"/>
              <w:right w:w="120" w:type="dxa"/>
            </w:tcMar>
            <w:vAlign w:val="center"/>
            <w:shd w:fill="f0fdfa"/>
          </w:tcPr>
          <w:p>
            <w:pPr>
              <w:spacing w:before="40" w:after="40"/>
            </w:pPr>
            <w:r>
              <w:rPr>
                <w:color w:val="1E293B"/>
                <w:sz w:val="18"/>
              </w:rPr>
              <w:t>Checks whether file sizes fall in plausible ranges (e.g., DICOM: 256 B to 200 MB; Text: 50 B to 10 MB). A 4-byte CT scan triggers immediate suspicion.</w:t>
            </w:r>
          </w:p>
        </w:tc>
      </w:tr>
      <w:tr>
        <w:trPr>
          <w:cantSplit/>
        </w:trPr>
        <w:tc>
          <w:tcPr>
            <w:tcW w:type="dxa" w:w="2160"/>
            <w:tcMar>
              <w:top w:w="100" w:type="dxa"/>
              <w:bottom w:w="100" w:type="dxa"/>
              <w:left w:w="120" w:type="dxa"/>
              <w:right w:w="120" w:type="dxa"/>
            </w:tcMar>
            <w:vAlign w:val="center"/>
            <w:shd w:fill="ffffff"/>
          </w:tcPr>
          <w:p>
            <w:pPr>
              <w:spacing w:before="40" w:after="40"/>
            </w:pPr>
            <w:r>
              <w:rPr>
                <w:color w:val="1E293B"/>
                <w:sz w:val="18"/>
              </w:rPr>
              <w:t>Format Validity Score</w:t>
            </w:r>
          </w:p>
        </w:tc>
        <w:tc>
          <w:tcPr>
            <w:tcW w:type="dxa" w:w="3312"/>
            <w:tcMar>
              <w:top w:w="100" w:type="dxa"/>
              <w:bottom w:w="100" w:type="dxa"/>
              <w:left w:w="120" w:type="dxa"/>
              <w:right w:w="120" w:type="dxa"/>
            </w:tcMar>
            <w:vAlign w:val="center"/>
            <w:shd w:fill="ffffff"/>
          </w:tcPr>
          <w:p>
            <w:pPr>
              <w:spacing w:before="40" w:after="40"/>
            </w:pPr>
            <w:r>
              <w:rPr>
                <w:color w:val="1E293B"/>
                <w:sz w:val="18"/>
              </w:rPr>
              <w:t>Header pattern match: DICM at byte 128, \x89PNG, or JSON '{' opening</w:t>
            </w:r>
          </w:p>
        </w:tc>
        <w:tc>
          <w:tcPr>
            <w:tcW w:type="dxa" w:w="3888"/>
            <w:tcMar>
              <w:top w:w="100" w:type="dxa"/>
              <w:bottom w:w="100" w:type="dxa"/>
              <w:left w:w="120" w:type="dxa"/>
              <w:right w:w="120" w:type="dxa"/>
            </w:tcMar>
            <w:vAlign w:val="center"/>
            <w:shd w:fill="ffffff"/>
          </w:tcPr>
          <w:p>
            <w:pPr>
              <w:spacing w:before="40" w:after="40"/>
            </w:pPr>
            <w:r>
              <w:rPr>
                <w:color w:val="1E293B"/>
                <w:sz w:val="18"/>
              </w:rPr>
              <w:t>Verifies that file magic bytes match clinical medical standards. Evaluates printable ASCII ratio for clinical impressions.</w:t>
            </w:r>
          </w:p>
        </w:tc>
      </w:tr>
    </w:tbl>
    <w:p>
      <w:pPr>
        <w:pStyle w:val="Heading2"/>
      </w:pPr>
      <w:r>
        <w:t>5.3 Theory 1: Dempster-Shafer Theory (DST, Shafer 1976)</w:t>
      </w:r>
    </w:p>
    <w:p>
      <w:r>
        <w:t>DST operates over a frame of discernment Θ = {reliable, unreliable}. It assigns basic probability assignment (BPA) masses:</w:t>
        <w:br/>
        <w:t>• m({reliable}) = w · score (direct belief)</w:t>
        <w:br/>
        <w:t>• m({unreliable}) = w · (1 - score) · decay (counter-evidence)</w:t>
        <w:br/>
        <w:t>• m(Θ) = 1 - m({r}) - m({u}) (uncommitted belief / explicit ignorance)</w:t>
        <w:br/>
        <w:br/>
        <w:t>Belief Bel({r}) is the conservative lower bound of confidence. Plausibility Pl({r}) = 1 - m({u}) is the upper bound. The difference (Pl - Bel) represents the explicit uncertainty interval!</w:t>
        <w:br/>
        <w:br/>
        <w:t>When fusing modalities, Dempster's Rule of Combination normalizes joint masses and calculates the Conflict Coefficient K:</w:t>
        <w:br/>
        <w:t>K = m1({r})·m2({u}) + m1({u})·m2({r})</w:t>
        <w:br/>
        <w:t>If K exceeds 0.3, CryptoFlow warns that the modalities present contradictory clinical evidence. If a modality is missing, DST sets m(Θ) = 1.0 (pure honest ignorance).</w:t>
      </w:r>
    </w:p>
    <w:p>
      <w:pPr>
        <w:pStyle w:val="Heading2"/>
      </w:pPr>
      <w:r>
        <w:t>5.4 Theory 2: Deep Evidential Learning (DEL, Sensoy et al. NeurIPS 2018)</w:t>
      </w:r>
    </w:p>
    <w:p>
      <w:r>
        <w:t>DEL parameterizes uncertainty using a Dirichlet distribution Dir(α_reliable, α_unreliable) over the categorical reliability simplex:</w:t>
        <w:br/>
        <w:t>• Evidence count: e_r = quality · confidence · W (where W = 10.0 scaling factor)</w:t>
        <w:br/>
        <w:t>• Concentration parameter: α_r = 1 + e_r, α_u = 1 + e_u</w:t>
        <w:br/>
        <w:t>• Dirichlet Strength: S = α_r + α_u</w:t>
        <w:br/>
        <w:t>• Expected Reliability: E[p_reliable] = α_r / S</w:t>
        <w:br/>
        <w:t>• Epistemic Uncertainty: u = K / S (where K = 2 classes)</w:t>
        <w:br/>
        <w:br/>
        <w:t>Notice the beauty of this formula: if zero evidence is collected (e = 0), then α_r = 1, α_u = 1, S = 2, and u = 2 / 2 = 1.0 (100% maximum epistemic uncertainty!). When fusing modalities, evidence accumulates additively: α_fused = 1 + Σ(α_i - 1).</w:t>
      </w:r>
    </w:p>
    <w:p>
      <w:pPr>
        <w:pStyle w:val="Heading2"/>
      </w:pPr>
      <w:r>
        <w:t>5.5 The Head-to-Head Showdown: DST vs. DEL</w:t>
      </w:r>
    </w:p>
    <w:p>
      <w:r>
        <w:t>Here is the core academic discovery from running both theories on authentic clinical records: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tcMar>
              <w:top w:w="100" w:type="dxa"/>
              <w:bottom w:w="100" w:type="dxa"/>
              <w:left w:w="120" w:type="dxa"/>
              <w:right w:w="120" w:type="dxa"/>
            </w:tcMar>
            <w:vAlign w:val="center"/>
            <w:shd w:fill="4338ca"/>
          </w:tcPr>
          <w:p>
            <w:pPr>
              <w:spacing w:before="40" w:after="40"/>
            </w:pPr>
            <w:r>
              <w:rPr>
                <w:b/>
                <w:color w:val="FFFFFF"/>
                <w:sz w:val="19"/>
              </w:rPr>
              <w:t>Dimension</w:t>
            </w:r>
          </w:p>
        </w:tc>
        <w:tc>
          <w:tcPr>
            <w:tcW w:type="dxa" w:w="3600"/>
            <w:tcMar>
              <w:top w:w="100" w:type="dxa"/>
              <w:bottom w:w="100" w:type="dxa"/>
              <w:left w:w="120" w:type="dxa"/>
              <w:right w:w="120" w:type="dxa"/>
            </w:tcMar>
            <w:vAlign w:val="center"/>
            <w:shd w:fill="4338ca"/>
          </w:tcPr>
          <w:p>
            <w:pPr>
              <w:spacing w:before="40" w:after="40"/>
            </w:pPr>
            <w:r>
              <w:rPr>
                <w:b/>
                <w:color w:val="FFFFFF"/>
                <w:sz w:val="19"/>
              </w:rPr>
              <w:t>Dempster-Shafer Theory (DST)</w:t>
            </w:r>
          </w:p>
        </w:tc>
        <w:tc>
          <w:tcPr>
            <w:tcW w:type="dxa" w:w="3600"/>
            <w:tcMar>
              <w:top w:w="100" w:type="dxa"/>
              <w:bottom w:w="100" w:type="dxa"/>
              <w:left w:w="120" w:type="dxa"/>
              <w:right w:w="120" w:type="dxa"/>
            </w:tcMar>
            <w:vAlign w:val="center"/>
            <w:shd w:fill="4338ca"/>
          </w:tcPr>
          <w:p>
            <w:pPr>
              <w:spacing w:before="40" w:after="40"/>
            </w:pPr>
            <w:r>
              <w:rPr>
                <w:b/>
                <w:color w:val="FFFFFF"/>
                <w:sz w:val="19"/>
              </w:rPr>
              <w:t>Deep Evidential Learning (DEL)</w:t>
            </w:r>
          </w:p>
        </w:tc>
      </w:tr>
      <w:tr>
        <w:trPr>
          <w:cantSplit/>
        </w:trPr>
        <w:tc>
          <w:tcPr>
            <w:tcW w:type="dxa" w:w="2160"/>
            <w:tcMar>
              <w:top w:w="100" w:type="dxa"/>
              <w:bottom w:w="100" w:type="dxa"/>
              <w:left w:w="120" w:type="dxa"/>
              <w:right w:w="120" w:type="dxa"/>
            </w:tcMar>
            <w:vAlign w:val="center"/>
            <w:shd w:fill="ffffff"/>
          </w:tcPr>
          <w:p>
            <w:pPr>
              <w:spacing w:before="40" w:after="40"/>
            </w:pPr>
            <w:r>
              <w:rPr>
                <w:color w:val="1E293B"/>
                <w:sz w:val="18"/>
              </w:rPr>
              <w:t>Origin &amp; Type</w:t>
            </w:r>
          </w:p>
        </w:tc>
        <w:tc>
          <w:tcPr>
            <w:tcW w:type="dxa" w:w="3600"/>
            <w:tcMar>
              <w:top w:w="100" w:type="dxa"/>
              <w:bottom w:w="100" w:type="dxa"/>
              <w:left w:w="120" w:type="dxa"/>
              <w:right w:w="120" w:type="dxa"/>
            </w:tcMar>
            <w:vAlign w:val="center"/>
            <w:shd w:fill="ffffff"/>
          </w:tcPr>
          <w:p>
            <w:pPr>
              <w:spacing w:before="40" w:after="40"/>
            </w:pPr>
            <w:r>
              <w:rPr>
                <w:color w:val="1E293B"/>
                <w:sz w:val="18"/>
              </w:rPr>
              <w:t>Classical evidence theory (Shafer, 1976)</w:t>
            </w:r>
          </w:p>
        </w:tc>
        <w:tc>
          <w:tcPr>
            <w:tcW w:type="dxa" w:w="3600"/>
            <w:tcMar>
              <w:top w:w="100" w:type="dxa"/>
              <w:bottom w:w="100" w:type="dxa"/>
              <w:left w:w="120" w:type="dxa"/>
              <w:right w:w="120" w:type="dxa"/>
            </w:tcMar>
            <w:vAlign w:val="center"/>
            <w:shd w:fill="ffffff"/>
          </w:tcPr>
          <w:p>
            <w:pPr>
              <w:spacing w:before="40" w:after="40"/>
            </w:pPr>
            <w:r>
              <w:rPr>
                <w:color w:val="1E293B"/>
                <w:sz w:val="18"/>
              </w:rPr>
              <w:t>Modern statistical/neural uncertainty (NeurIPS 2018)</w:t>
            </w:r>
          </w:p>
        </w:tc>
      </w:tr>
      <w:tr>
        <w:trPr>
          <w:cantSplit/>
        </w:trPr>
        <w:tc>
          <w:tcPr>
            <w:tcW w:type="dxa" w:w="2160"/>
            <w:tcMar>
              <w:top w:w="100" w:type="dxa"/>
              <w:bottom w:w="100" w:type="dxa"/>
              <w:left w:w="120" w:type="dxa"/>
              <w:right w:w="120" w:type="dxa"/>
            </w:tcMar>
            <w:vAlign w:val="center"/>
            <w:shd w:fill="eef2ff"/>
          </w:tcPr>
          <w:p>
            <w:pPr>
              <w:spacing w:before="40" w:after="40"/>
            </w:pPr>
            <w:r>
              <w:rPr>
                <w:color w:val="1E293B"/>
                <w:sz w:val="18"/>
              </w:rPr>
              <w:t>Uncertainty Representation</w:t>
            </w:r>
          </w:p>
        </w:tc>
        <w:tc>
          <w:tcPr>
            <w:tcW w:type="dxa" w:w="3600"/>
            <w:tcMar>
              <w:top w:w="100" w:type="dxa"/>
              <w:bottom w:w="100" w:type="dxa"/>
              <w:left w:w="120" w:type="dxa"/>
              <w:right w:w="120" w:type="dxa"/>
            </w:tcMar>
            <w:vAlign w:val="center"/>
            <w:shd w:fill="eef2ff"/>
          </w:tcPr>
          <w:p>
            <w:pPr>
              <w:spacing w:before="40" w:after="40"/>
            </w:pPr>
            <w:r>
              <w:rPr>
                <w:color w:val="1E293B"/>
                <w:sz w:val="18"/>
              </w:rPr>
              <w:t>Interval: [Belief, Plausibility] with ignorance mass m(Θ)</w:t>
            </w:r>
          </w:p>
        </w:tc>
        <w:tc>
          <w:tcPr>
            <w:tcW w:type="dxa" w:w="3600"/>
            <w:tcMar>
              <w:top w:w="100" w:type="dxa"/>
              <w:bottom w:w="100" w:type="dxa"/>
              <w:left w:w="120" w:type="dxa"/>
              <w:right w:w="120" w:type="dxa"/>
            </w:tcMar>
            <w:vAlign w:val="center"/>
            <w:shd w:fill="eef2ff"/>
          </w:tcPr>
          <w:p>
            <w:pPr>
              <w:spacing w:before="40" w:after="40"/>
            </w:pPr>
            <w:r>
              <w:rPr>
                <w:color w:val="1E293B"/>
                <w:sz w:val="18"/>
              </w:rPr>
              <w:t>Dirichlet concentration: Epistemic uncertainty u = K / S</w:t>
            </w:r>
          </w:p>
        </w:tc>
      </w:tr>
      <w:tr>
        <w:trPr>
          <w:cantSplit/>
        </w:trPr>
        <w:tc>
          <w:tcPr>
            <w:tcW w:type="dxa" w:w="2160"/>
            <w:tcMar>
              <w:top w:w="100" w:type="dxa"/>
              <w:bottom w:w="100" w:type="dxa"/>
              <w:left w:w="120" w:type="dxa"/>
              <w:right w:w="120" w:type="dxa"/>
            </w:tcMar>
            <w:vAlign w:val="center"/>
            <w:shd w:fill="ffffff"/>
          </w:tcPr>
          <w:p>
            <w:pPr>
              <w:spacing w:before="40" w:after="40"/>
            </w:pPr>
            <w:r>
              <w:rPr>
                <w:color w:val="1E293B"/>
                <w:sz w:val="18"/>
              </w:rPr>
              <w:t>Convergence Speed</w:t>
            </w:r>
          </w:p>
        </w:tc>
        <w:tc>
          <w:tcPr>
            <w:tcW w:type="dxa" w:w="3600"/>
            <w:tcMar>
              <w:top w:w="100" w:type="dxa"/>
              <w:bottom w:w="100" w:type="dxa"/>
              <w:left w:w="120" w:type="dxa"/>
              <w:right w:w="120" w:type="dxa"/>
            </w:tcMar>
            <w:vAlign w:val="center"/>
            <w:shd w:fill="ffffff"/>
          </w:tcPr>
          <w:p>
            <w:pPr>
              <w:spacing w:before="40" w:after="40"/>
            </w:pPr>
            <w:r>
              <w:rPr>
                <w:color w:val="1E293B"/>
                <w:sz w:val="18"/>
              </w:rPr>
              <w:t>Rapid: Ignorance mass shrinks multiplicatively with consistent sources</w:t>
            </w:r>
          </w:p>
        </w:tc>
        <w:tc>
          <w:tcPr>
            <w:tcW w:type="dxa" w:w="3600"/>
            <w:tcMar>
              <w:top w:w="100" w:type="dxa"/>
              <w:bottom w:w="100" w:type="dxa"/>
              <w:left w:w="120" w:type="dxa"/>
              <w:right w:w="120" w:type="dxa"/>
            </w:tcMar>
            <w:vAlign w:val="center"/>
            <w:shd w:fill="ffffff"/>
          </w:tcPr>
          <w:p>
            <w:pPr>
              <w:spacing w:before="40" w:after="40"/>
            </w:pPr>
            <w:r>
              <w:rPr>
                <w:color w:val="1E293B"/>
                <w:sz w:val="18"/>
              </w:rPr>
              <w:t>Conservative: Epistemic uncertainty u requires large evidence S to decay</w:t>
            </w:r>
          </w:p>
        </w:tc>
      </w:tr>
      <w:tr>
        <w:trPr>
          <w:cantSplit/>
        </w:trPr>
        <w:tc>
          <w:tcPr>
            <w:tcW w:type="dxa" w:w="2160"/>
            <w:tcMar>
              <w:top w:w="100" w:type="dxa"/>
              <w:bottom w:w="100" w:type="dxa"/>
              <w:left w:w="120" w:type="dxa"/>
              <w:right w:w="120" w:type="dxa"/>
            </w:tcMar>
            <w:vAlign w:val="center"/>
            <w:shd w:fill="eef2ff"/>
          </w:tcPr>
          <w:p>
            <w:pPr>
              <w:spacing w:before="40" w:after="40"/>
            </w:pPr>
            <w:r>
              <w:rPr>
                <w:color w:val="1E293B"/>
                <w:sz w:val="18"/>
              </w:rPr>
              <w:t>Complete 3-Modality Record</w:t>
            </w:r>
          </w:p>
        </w:tc>
        <w:tc>
          <w:tcPr>
            <w:tcW w:type="dxa" w:w="3600"/>
            <w:tcMar>
              <w:top w:w="100" w:type="dxa"/>
              <w:bottom w:w="100" w:type="dxa"/>
              <w:left w:w="120" w:type="dxa"/>
              <w:right w:w="120" w:type="dxa"/>
            </w:tcMar>
            <w:vAlign w:val="center"/>
            <w:shd w:fill="eef2ff"/>
          </w:tcPr>
          <w:p>
            <w:pPr>
              <w:spacing w:before="40" w:after="40"/>
            </w:pPr>
            <w:r>
              <w:rPr>
                <w:color w:val="1E293B"/>
                <w:sz w:val="18"/>
              </w:rPr>
              <w:t>Belief(Reliable) = 99.97%, Uncertainty = 0.03%</w:t>
            </w:r>
          </w:p>
        </w:tc>
        <w:tc>
          <w:tcPr>
            <w:tcW w:type="dxa" w:w="3600"/>
            <w:tcMar>
              <w:top w:w="100" w:type="dxa"/>
              <w:bottom w:w="100" w:type="dxa"/>
              <w:left w:w="120" w:type="dxa"/>
              <w:right w:w="120" w:type="dxa"/>
            </w:tcMar>
            <w:vAlign w:val="center"/>
            <w:shd w:fill="eef2ff"/>
          </w:tcPr>
          <w:p>
            <w:pPr>
              <w:spacing w:before="40" w:after="40"/>
            </w:pPr>
            <w:r>
              <w:rPr>
                <w:color w:val="1E293B"/>
                <w:sz w:val="18"/>
              </w:rPr>
              <w:t>E[Reliable] = 96.9%, Epistemic Uncertainty u = 6.25%</w:t>
            </w:r>
          </w:p>
        </w:tc>
      </w:tr>
      <w:tr>
        <w:trPr>
          <w:cantSplit/>
        </w:trPr>
        <w:tc>
          <w:tcPr>
            <w:tcW w:type="dxa" w:w="2160"/>
            <w:tcMar>
              <w:top w:w="100" w:type="dxa"/>
              <w:bottom w:w="100" w:type="dxa"/>
              <w:left w:w="120" w:type="dxa"/>
              <w:right w:w="120" w:type="dxa"/>
            </w:tcMar>
            <w:vAlign w:val="center"/>
            <w:shd w:fill="ffffff"/>
          </w:tcPr>
          <w:p>
            <w:pPr>
              <w:spacing w:before="40" w:after="40"/>
            </w:pPr>
            <w:r>
              <w:rPr>
                <w:color w:val="1E293B"/>
                <w:sz w:val="18"/>
              </w:rPr>
              <w:t>Missing Modality Response</w:t>
            </w:r>
          </w:p>
        </w:tc>
        <w:tc>
          <w:tcPr>
            <w:tcW w:type="dxa" w:w="3600"/>
            <w:tcMar>
              <w:top w:w="100" w:type="dxa"/>
              <w:bottom w:w="100" w:type="dxa"/>
              <w:left w:w="120" w:type="dxa"/>
              <w:right w:w="120" w:type="dxa"/>
            </w:tcMar>
            <w:vAlign w:val="center"/>
            <w:shd w:fill="ffffff"/>
          </w:tcPr>
          <w:p>
            <w:pPr>
              <w:spacing w:before="40" w:after="40"/>
            </w:pPr>
            <w:r>
              <w:rPr>
                <w:color w:val="1E293B"/>
                <w:sz w:val="18"/>
              </w:rPr>
              <w:t>Vacuous mass: m(Θ) = 1.0 (Pl stays 1.0, Bel drops)</w:t>
            </w:r>
          </w:p>
        </w:tc>
        <w:tc>
          <w:tcPr>
            <w:tcW w:type="dxa" w:w="3600"/>
            <w:tcMar>
              <w:top w:w="100" w:type="dxa"/>
              <w:bottom w:w="100" w:type="dxa"/>
              <w:left w:w="120" w:type="dxa"/>
              <w:right w:w="120" w:type="dxa"/>
            </w:tcMar>
            <w:vAlign w:val="center"/>
            <w:shd w:fill="ffffff"/>
          </w:tcPr>
          <w:p>
            <w:pPr>
              <w:spacing w:before="40" w:after="40"/>
            </w:pPr>
            <w:r>
              <w:rPr>
                <w:color w:val="1E293B"/>
                <w:sz w:val="18"/>
              </w:rPr>
              <w:t>Vacuous Dirichlet: Dir(1,1), epistemic u = 1.0</w:t>
            </w:r>
          </w:p>
        </w:tc>
      </w:tr>
    </w:tbl>
    <w:tbl>
      <w:tblPr>
        <w:tblW w:type="auto" w:w="0"/>
        <w:jc w:val="center"/>
        <w:tblLayout w:type="fixed"/>
        <w:tblLook w:firstColumn="1" w:firstRow="1" w:lastColumn="0" w:lastRow="0" w:noHBand="0" w:noVBand="1" w:val="04A0"/>
      </w:tblPr>
      <w:tblGrid>
        <w:gridCol w:w="9360"/>
      </w:tblGrid>
      <w:tr>
        <w:tc>
          <w:tcPr>
            <w:tcW w:type="dxa" w:w="9360"/>
            <w:shd w:fill="faf5ff"/>
            <w:tcMar>
              <w:top w:w="140" w:type="dxa"/>
              <w:bottom w:w="140" w:type="dxa"/>
              <w:left w:w="200" w:type="dxa"/>
              <w:right w:w="200" w:type="dxa"/>
            </w:tcMar>
            <w:tcBorders>
              <w:top w:val="none"/>
              <w:left w:val="single" w:sz="36" w:space="0" w:color="7c3aed"/>
              <w:bottom w:val="none"/>
              <w:right w:val="none"/>
            </w:tcBorders>
          </w:tcPr>
          <w:p>
            <w:pPr>
              <w:spacing w:before="40" w:after="80"/>
            </w:pPr>
            <w:r>
              <w:rPr>
                <w:b/>
                <w:color w:val="7C3AED"/>
                <w:sz w:val="22"/>
              </w:rPr>
              <w:t>🧠 The Research Finding: Why DST &amp; DEL Complement Each Other</w:t>
              <w:br/>
            </w:r>
            <w:r>
              <w:rPr>
                <w:color w:val="334155"/>
                <w:sz w:val="20"/>
              </w:rPr>
              <w:t>• DST is an aggressive consensus builder: When multiple clean modalities agree, Dempster's rule rapidly boosts belief to 99.97% and surfaces inter-source conflict (K).</w:t>
              <w:br/>
              <w:t>• DEL is a cautious evidence accountant: Because u = K/S, even with high quality data, DEL preserves a realistic epistemic uncertainty buffer (6.25%) reflecting finite sample observation.</w:t>
              <w:br/>
              <w:t>By packaging both assessments together inside the bundle manifest, CryptoFlow gives the receiving physician a dual-perspective quality certificate!</w:t>
            </w:r>
          </w:p>
        </w:tc>
      </w:tr>
    </w:tbl>
    <w:p>
      <w:pPr>
        <w:spacing w:after="120"/>
      </w:pPr>
    </w:p>
    <w:p>
      <w:pPr>
        <w:pStyle w:val="Heading1"/>
        <w:spacing w:before="320"/>
      </w:pPr>
      <w:r>
        <w:t>Chapter 6: Decryption &amp; Verification (Unsealing the Box &amp; Quality Inspection)</w:t>
      </w:r>
    </w:p>
    <w:p>
      <w:r>
        <w:t>When the receiving hospital receives a `.cryptoflow` bundle and its companion `.keyring`, the decryption pipeline (`cryptoflow/decrypt/pipeline.py`) follows a strict, fail-fast 6-step security checklist:</w:t>
      </w:r>
    </w:p>
    <w:p>
      <w:r>
        <w:t>1. 📦 Unpack Container Header: Validates magic bytes `CFLOW\x00` and ensures version is 1.</w:t>
        <w:br/>
        <w:t>2. 🔑 Decapsulate KeyRing: Verifies the KeyRing bundle UUID matches the container header. If RSA-wrapped, decrypts using the hospital's RSA Private Key.</w:t>
        <w:br/>
        <w:t>3. 🔗 Verify Cross-Modal Weld: Recomputes the HMAC-SHA-256 hash across all ciphertext slices and compares it in constant time (`hmac.compare_digest`). If any file was swapped, deleted, or injected, HALT immediately!</w:t>
        <w:br/>
        <w:t>4. 🔓 Decrypt AES-GCM Payloads: Decrypts each file with its specific 256-bit AES key and verifies the 16-byte Auth Tag. If any single bit was corrupted, HALT!</w:t>
        <w:br/>
        <w:t>5. 📊 Inspect Uncertainty Profile: Extracts the embedded DST/DEL uncertainty profile from the manifest. Clinicians can verify data completeness, theory agreement, and conflict scores.</w:t>
        <w:br/>
        <w:t>6. 📄 Strip Headers &amp; Restore: Strips the 64-byte typed binary headers and writes byte-exact original DICOM, TXT, and JSON files to the restored folder.</w:t>
      </w:r>
    </w:p>
    <w:p>
      <w:pPr>
        <w:pStyle w:val="Heading1"/>
        <w:spacing w:before="320"/>
      </w:pPr>
      <w:r>
        <w:t>Chapter 7: Real-World Clinical Benchmarks &amp; Cyberattack Scorecard</w:t>
      </w:r>
    </w:p>
    <w:p>
      <w:r>
        <w:t>CryptoFlow is not just theoretical math—it has been empirically benchmarked across standard workloads and authentic clinical cohorts.</w:t>
      </w:r>
    </w:p>
    <w:p>
      <w:pPr>
        <w:pStyle w:val="Heading2"/>
      </w:pPr>
      <w:r>
        <w:t>7.1 Performance Benchmarks Across Payload Tiers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440"/>
            <w:tcMar>
              <w:top w:w="100" w:type="dxa"/>
              <w:bottom w:w="100" w:type="dxa"/>
              <w:left w:w="120" w:type="dxa"/>
              <w:right w:w="120" w:type="dxa"/>
            </w:tcMar>
            <w:vAlign w:val="center"/>
            <w:shd w:fill="1e3a8a"/>
          </w:tcPr>
          <w:p>
            <w:pPr>
              <w:spacing w:before="40" w:after="40"/>
            </w:pPr>
            <w:r>
              <w:rPr>
                <w:b/>
                <w:color w:val="FFFFFF"/>
                <w:sz w:val="19"/>
              </w:rPr>
              <w:t>Bundle Size</w:t>
            </w:r>
          </w:p>
        </w:tc>
        <w:tc>
          <w:tcPr>
            <w:tcW w:type="dxa" w:w="1584"/>
            <w:tcMar>
              <w:top w:w="100" w:type="dxa"/>
              <w:bottom w:w="100" w:type="dxa"/>
              <w:left w:w="120" w:type="dxa"/>
              <w:right w:w="120" w:type="dxa"/>
            </w:tcMar>
            <w:vAlign w:val="center"/>
            <w:shd w:fill="1e3a8a"/>
          </w:tcPr>
          <w:p>
            <w:pPr>
              <w:spacing w:before="40" w:after="40"/>
            </w:pPr>
            <w:r>
              <w:rPr>
                <w:b/>
                <w:color w:val="FFFFFF"/>
                <w:sz w:val="19"/>
              </w:rPr>
              <w:t>Enc Latency</w:t>
            </w:r>
          </w:p>
        </w:tc>
        <w:tc>
          <w:tcPr>
            <w:tcW w:type="dxa" w:w="1584"/>
            <w:tcMar>
              <w:top w:w="100" w:type="dxa"/>
              <w:bottom w:w="100" w:type="dxa"/>
              <w:left w:w="120" w:type="dxa"/>
              <w:right w:w="120" w:type="dxa"/>
            </w:tcMar>
            <w:vAlign w:val="center"/>
            <w:shd w:fill="1e3a8a"/>
          </w:tcPr>
          <w:p>
            <w:pPr>
              <w:spacing w:before="40" w:after="40"/>
            </w:pPr>
            <w:r>
              <w:rPr>
                <w:b/>
                <w:color w:val="FFFFFF"/>
                <w:sz w:val="19"/>
              </w:rPr>
              <w:t>Dec Latency</w:t>
            </w:r>
          </w:p>
        </w:tc>
        <w:tc>
          <w:tcPr>
            <w:tcW w:type="dxa" w:w="1728"/>
            <w:tcMar>
              <w:top w:w="100" w:type="dxa"/>
              <w:bottom w:w="100" w:type="dxa"/>
              <w:left w:w="120" w:type="dxa"/>
              <w:right w:w="120" w:type="dxa"/>
            </w:tcMar>
            <w:vAlign w:val="center"/>
            <w:shd w:fill="1e3a8a"/>
          </w:tcPr>
          <w:p>
            <w:pPr>
              <w:spacing w:before="40" w:after="40"/>
            </w:pPr>
            <w:r>
              <w:rPr>
                <w:b/>
                <w:color w:val="FFFFFF"/>
                <w:sz w:val="19"/>
              </w:rPr>
              <w:t>Enc Throughput</w:t>
            </w:r>
          </w:p>
        </w:tc>
        <w:tc>
          <w:tcPr>
            <w:tcW w:type="dxa" w:w="1728"/>
            <w:tcMar>
              <w:top w:w="100" w:type="dxa"/>
              <w:bottom w:w="100" w:type="dxa"/>
              <w:left w:w="120" w:type="dxa"/>
              <w:right w:w="120" w:type="dxa"/>
            </w:tcMar>
            <w:vAlign w:val="center"/>
            <w:shd w:fill="1e3a8a"/>
          </w:tcPr>
          <w:p>
            <w:pPr>
              <w:spacing w:before="40" w:after="40"/>
            </w:pPr>
            <w:r>
              <w:rPr>
                <w:b/>
                <w:color w:val="FFFFFF"/>
                <w:sz w:val="19"/>
              </w:rPr>
              <w:t>Dec Throughput</w:t>
            </w:r>
          </w:p>
        </w:tc>
        <w:tc>
          <w:tcPr>
            <w:tcW w:type="dxa" w:w="1296"/>
            <w:tcMar>
              <w:top w:w="100" w:type="dxa"/>
              <w:bottom w:w="100" w:type="dxa"/>
              <w:left w:w="120" w:type="dxa"/>
              <w:right w:w="120" w:type="dxa"/>
            </w:tcMar>
            <w:vAlign w:val="center"/>
            <w:shd w:fill="1e3a8a"/>
          </w:tcPr>
          <w:p>
            <w:pPr>
              <w:spacing w:before="40" w:after="40"/>
            </w:pPr>
            <w:r>
              <w:rPr>
                <w:b/>
                <w:color w:val="FFFFFF"/>
                <w:sz w:val="19"/>
              </w:rPr>
              <w:t>Overhead</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100 KB</w:t>
            </w:r>
          </w:p>
        </w:tc>
        <w:tc>
          <w:tcPr>
            <w:tcW w:type="dxa" w:w="1584"/>
            <w:tcMar>
              <w:top w:w="100" w:type="dxa"/>
              <w:bottom w:w="100" w:type="dxa"/>
              <w:left w:w="120" w:type="dxa"/>
              <w:right w:w="120" w:type="dxa"/>
            </w:tcMar>
            <w:vAlign w:val="center"/>
            <w:shd w:fill="ffffff"/>
          </w:tcPr>
          <w:p>
            <w:pPr>
              <w:spacing w:before="40" w:after="40"/>
            </w:pPr>
            <w:r>
              <w:rPr>
                <w:color w:val="1E293B"/>
                <w:sz w:val="18"/>
              </w:rPr>
              <w:t>0.0728 s</w:t>
            </w:r>
          </w:p>
        </w:tc>
        <w:tc>
          <w:tcPr>
            <w:tcW w:type="dxa" w:w="1584"/>
            <w:tcMar>
              <w:top w:w="100" w:type="dxa"/>
              <w:bottom w:w="100" w:type="dxa"/>
              <w:left w:w="120" w:type="dxa"/>
              <w:right w:w="120" w:type="dxa"/>
            </w:tcMar>
            <w:vAlign w:val="center"/>
            <w:shd w:fill="ffffff"/>
          </w:tcPr>
          <w:p>
            <w:pPr>
              <w:spacing w:before="40" w:after="40"/>
            </w:pPr>
            <w:r>
              <w:rPr>
                <w:color w:val="1E293B"/>
                <w:sz w:val="18"/>
              </w:rPr>
              <w:t>0.0391 s</w:t>
            </w:r>
          </w:p>
        </w:tc>
        <w:tc>
          <w:tcPr>
            <w:tcW w:type="dxa" w:w="1728"/>
            <w:tcMar>
              <w:top w:w="100" w:type="dxa"/>
              <w:bottom w:w="100" w:type="dxa"/>
              <w:left w:w="120" w:type="dxa"/>
              <w:right w:w="120" w:type="dxa"/>
            </w:tcMar>
            <w:vAlign w:val="center"/>
            <w:shd w:fill="ffffff"/>
          </w:tcPr>
          <w:p>
            <w:pPr>
              <w:spacing w:before="40" w:after="40"/>
            </w:pPr>
            <w:r>
              <w:rPr>
                <w:color w:val="1E293B"/>
                <w:sz w:val="18"/>
              </w:rPr>
              <w:t>1.47 MB/s</w:t>
            </w:r>
          </w:p>
        </w:tc>
        <w:tc>
          <w:tcPr>
            <w:tcW w:type="dxa" w:w="1728"/>
            <w:tcMar>
              <w:top w:w="100" w:type="dxa"/>
              <w:bottom w:w="100" w:type="dxa"/>
              <w:left w:w="120" w:type="dxa"/>
              <w:right w:w="120" w:type="dxa"/>
            </w:tcMar>
            <w:vAlign w:val="center"/>
            <w:shd w:fill="ffffff"/>
          </w:tcPr>
          <w:p>
            <w:pPr>
              <w:spacing w:before="40" w:after="40"/>
            </w:pPr>
            <w:r>
              <w:rPr>
                <w:color w:val="1E293B"/>
                <w:sz w:val="18"/>
              </w:rPr>
              <w:t>2.52 MB/s</w:t>
            </w:r>
          </w:p>
        </w:tc>
        <w:tc>
          <w:tcPr>
            <w:tcW w:type="dxa" w:w="1296"/>
            <w:tcMar>
              <w:top w:w="100" w:type="dxa"/>
              <w:bottom w:w="100" w:type="dxa"/>
              <w:left w:w="120" w:type="dxa"/>
              <w:right w:w="120" w:type="dxa"/>
            </w:tcMar>
            <w:vAlign w:val="center"/>
            <w:shd w:fill="ffffff"/>
          </w:tcPr>
          <w:p>
            <w:pPr>
              <w:spacing w:before="40" w:after="40"/>
            </w:pPr>
            <w:r>
              <w:rPr>
                <w:color w:val="1E293B"/>
                <w:sz w:val="18"/>
              </w:rPr>
              <w:t>1.08%</w:t>
            </w:r>
          </w:p>
        </w:tc>
      </w:tr>
      <w:tr>
        <w:trPr>
          <w:cantSplit/>
        </w:trPr>
        <w:tc>
          <w:tcPr>
            <w:tcW w:type="dxa" w:w="1440"/>
            <w:tcMar>
              <w:top w:w="100" w:type="dxa"/>
              <w:bottom w:w="100" w:type="dxa"/>
              <w:left w:w="120" w:type="dxa"/>
              <w:right w:w="120" w:type="dxa"/>
            </w:tcMar>
            <w:vAlign w:val="center"/>
            <w:shd w:fill="eff6ff"/>
          </w:tcPr>
          <w:p>
            <w:pPr>
              <w:spacing w:before="40" w:after="40"/>
            </w:pPr>
            <w:r>
              <w:rPr>
                <w:color w:val="1E293B"/>
                <w:sz w:val="18"/>
              </w:rPr>
              <w:t>1 MB</w:t>
            </w:r>
          </w:p>
        </w:tc>
        <w:tc>
          <w:tcPr>
            <w:tcW w:type="dxa" w:w="1584"/>
            <w:tcMar>
              <w:top w:w="100" w:type="dxa"/>
              <w:bottom w:w="100" w:type="dxa"/>
              <w:left w:w="120" w:type="dxa"/>
              <w:right w:w="120" w:type="dxa"/>
            </w:tcMar>
            <w:vAlign w:val="center"/>
            <w:shd w:fill="eff6ff"/>
          </w:tcPr>
          <w:p>
            <w:pPr>
              <w:spacing w:before="40" w:after="40"/>
            </w:pPr>
            <w:r>
              <w:rPr>
                <w:color w:val="1E293B"/>
                <w:sz w:val="18"/>
              </w:rPr>
              <w:t>0.0624 s</w:t>
            </w:r>
          </w:p>
        </w:tc>
        <w:tc>
          <w:tcPr>
            <w:tcW w:type="dxa" w:w="1584"/>
            <w:tcMar>
              <w:top w:w="100" w:type="dxa"/>
              <w:bottom w:w="100" w:type="dxa"/>
              <w:left w:w="120" w:type="dxa"/>
              <w:right w:w="120" w:type="dxa"/>
            </w:tcMar>
            <w:vAlign w:val="center"/>
            <w:shd w:fill="eff6ff"/>
          </w:tcPr>
          <w:p>
            <w:pPr>
              <w:spacing w:before="40" w:after="40"/>
            </w:pPr>
            <w:r>
              <w:rPr>
                <w:color w:val="1E293B"/>
                <w:sz w:val="18"/>
              </w:rPr>
              <w:t>0.0641 s</w:t>
            </w:r>
          </w:p>
        </w:tc>
        <w:tc>
          <w:tcPr>
            <w:tcW w:type="dxa" w:w="1728"/>
            <w:tcMar>
              <w:top w:w="100" w:type="dxa"/>
              <w:bottom w:w="100" w:type="dxa"/>
              <w:left w:w="120" w:type="dxa"/>
              <w:right w:w="120" w:type="dxa"/>
            </w:tcMar>
            <w:vAlign w:val="center"/>
            <w:shd w:fill="eff6ff"/>
          </w:tcPr>
          <w:p>
            <w:pPr>
              <w:spacing w:before="40" w:after="40"/>
            </w:pPr>
            <w:r>
              <w:rPr>
                <w:color w:val="1E293B"/>
                <w:sz w:val="18"/>
              </w:rPr>
              <w:t>17.63 MB/s</w:t>
            </w:r>
          </w:p>
        </w:tc>
        <w:tc>
          <w:tcPr>
            <w:tcW w:type="dxa" w:w="1728"/>
            <w:tcMar>
              <w:top w:w="100" w:type="dxa"/>
              <w:bottom w:w="100" w:type="dxa"/>
              <w:left w:w="120" w:type="dxa"/>
              <w:right w:w="120" w:type="dxa"/>
            </w:tcMar>
            <w:vAlign w:val="center"/>
            <w:shd w:fill="eff6ff"/>
          </w:tcPr>
          <w:p>
            <w:pPr>
              <w:spacing w:before="40" w:after="40"/>
            </w:pPr>
            <w:r>
              <w:rPr>
                <w:color w:val="1E293B"/>
                <w:sz w:val="18"/>
              </w:rPr>
              <w:t>21.28 MB/s</w:t>
            </w:r>
          </w:p>
        </w:tc>
        <w:tc>
          <w:tcPr>
            <w:tcW w:type="dxa" w:w="1296"/>
            <w:tcMar>
              <w:top w:w="100" w:type="dxa"/>
              <w:bottom w:w="100" w:type="dxa"/>
              <w:left w:w="120" w:type="dxa"/>
              <w:right w:w="120" w:type="dxa"/>
            </w:tcMar>
            <w:vAlign w:val="center"/>
            <w:shd w:fill="eff6ff"/>
          </w:tcPr>
          <w:p>
            <w:pPr>
              <w:spacing w:before="40" w:after="40"/>
            </w:pPr>
            <w:r>
              <w:rPr>
                <w:color w:val="1E293B"/>
                <w:sz w:val="18"/>
              </w:rPr>
              <w:t>0.11%</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5 MB</w:t>
            </w:r>
          </w:p>
        </w:tc>
        <w:tc>
          <w:tcPr>
            <w:tcW w:type="dxa" w:w="1584"/>
            <w:tcMar>
              <w:top w:w="100" w:type="dxa"/>
              <w:bottom w:w="100" w:type="dxa"/>
              <w:left w:w="120" w:type="dxa"/>
              <w:right w:w="120" w:type="dxa"/>
            </w:tcMar>
            <w:vAlign w:val="center"/>
            <w:shd w:fill="ffffff"/>
          </w:tcPr>
          <w:p>
            <w:pPr>
              <w:spacing w:before="40" w:after="40"/>
            </w:pPr>
            <w:r>
              <w:rPr>
                <w:color w:val="1E293B"/>
                <w:sz w:val="18"/>
              </w:rPr>
              <w:t>0.0912 s</w:t>
            </w:r>
          </w:p>
        </w:tc>
        <w:tc>
          <w:tcPr>
            <w:tcW w:type="dxa" w:w="1584"/>
            <w:tcMar>
              <w:top w:w="100" w:type="dxa"/>
              <w:bottom w:w="100" w:type="dxa"/>
              <w:left w:w="120" w:type="dxa"/>
              <w:right w:w="120" w:type="dxa"/>
            </w:tcMar>
            <w:vAlign w:val="center"/>
            <w:shd w:fill="ffffff"/>
          </w:tcPr>
          <w:p>
            <w:pPr>
              <w:spacing w:before="40" w:after="40"/>
            </w:pPr>
            <w:r>
              <w:rPr>
                <w:color w:val="1E293B"/>
                <w:sz w:val="18"/>
              </w:rPr>
              <w:t>0.1256 s</w:t>
            </w:r>
          </w:p>
        </w:tc>
        <w:tc>
          <w:tcPr>
            <w:tcW w:type="dxa" w:w="1728"/>
            <w:tcMar>
              <w:top w:w="100" w:type="dxa"/>
              <w:bottom w:w="100" w:type="dxa"/>
              <w:left w:w="120" w:type="dxa"/>
              <w:right w:w="120" w:type="dxa"/>
            </w:tcMar>
            <w:vAlign w:val="center"/>
            <w:shd w:fill="ffffff"/>
          </w:tcPr>
          <w:p>
            <w:pPr>
              <w:spacing w:before="40" w:after="40"/>
            </w:pPr>
            <w:r>
              <w:rPr>
                <w:color w:val="1E293B"/>
                <w:sz w:val="18"/>
              </w:rPr>
              <w:t>57.52 MB/s</w:t>
            </w:r>
          </w:p>
        </w:tc>
        <w:tc>
          <w:tcPr>
            <w:tcW w:type="dxa" w:w="1728"/>
            <w:tcMar>
              <w:top w:w="100" w:type="dxa"/>
              <w:bottom w:w="100" w:type="dxa"/>
              <w:left w:w="120" w:type="dxa"/>
              <w:right w:w="120" w:type="dxa"/>
            </w:tcMar>
            <w:vAlign w:val="center"/>
            <w:shd w:fill="ffffff"/>
          </w:tcPr>
          <w:p>
            <w:pPr>
              <w:spacing w:before="40" w:after="40"/>
            </w:pPr>
            <w:r>
              <w:rPr>
                <w:color w:val="1E293B"/>
                <w:sz w:val="18"/>
              </w:rPr>
              <w:t>45.31 MB/s</w:t>
            </w:r>
          </w:p>
        </w:tc>
        <w:tc>
          <w:tcPr>
            <w:tcW w:type="dxa" w:w="1296"/>
            <w:tcMar>
              <w:top w:w="100" w:type="dxa"/>
              <w:bottom w:w="100" w:type="dxa"/>
              <w:left w:w="120" w:type="dxa"/>
              <w:right w:w="120" w:type="dxa"/>
            </w:tcMar>
            <w:vAlign w:val="center"/>
            <w:shd w:fill="ffffff"/>
          </w:tcPr>
          <w:p>
            <w:pPr>
              <w:spacing w:before="40" w:after="40"/>
            </w:pPr>
            <w:r>
              <w:rPr>
                <w:color w:val="1E293B"/>
                <w:sz w:val="18"/>
              </w:rPr>
              <w:t>0.02%</w:t>
            </w:r>
          </w:p>
        </w:tc>
      </w:tr>
      <w:tr>
        <w:trPr>
          <w:cantSplit/>
        </w:trPr>
        <w:tc>
          <w:tcPr>
            <w:tcW w:type="dxa" w:w="1440"/>
            <w:tcMar>
              <w:top w:w="100" w:type="dxa"/>
              <w:bottom w:w="100" w:type="dxa"/>
              <w:left w:w="120" w:type="dxa"/>
              <w:right w:w="120" w:type="dxa"/>
            </w:tcMar>
            <w:vAlign w:val="center"/>
            <w:shd w:fill="eff6ff"/>
          </w:tcPr>
          <w:p>
            <w:pPr>
              <w:spacing w:before="40" w:after="40"/>
            </w:pPr>
            <w:r>
              <w:rPr>
                <w:color w:val="1E293B"/>
                <w:sz w:val="18"/>
              </w:rPr>
              <w:t>10 MB</w:t>
            </w:r>
          </w:p>
        </w:tc>
        <w:tc>
          <w:tcPr>
            <w:tcW w:type="dxa" w:w="1584"/>
            <w:tcMar>
              <w:top w:w="100" w:type="dxa"/>
              <w:bottom w:w="100" w:type="dxa"/>
              <w:left w:w="120" w:type="dxa"/>
              <w:right w:w="120" w:type="dxa"/>
            </w:tcMar>
            <w:vAlign w:val="center"/>
            <w:shd w:fill="eff6ff"/>
          </w:tcPr>
          <w:p>
            <w:pPr>
              <w:spacing w:before="40" w:after="40"/>
            </w:pPr>
            <w:r>
              <w:rPr>
                <w:color w:val="1E293B"/>
                <w:sz w:val="18"/>
              </w:rPr>
              <w:t>0.1182 s</w:t>
            </w:r>
          </w:p>
        </w:tc>
        <w:tc>
          <w:tcPr>
            <w:tcW w:type="dxa" w:w="1584"/>
            <w:tcMar>
              <w:top w:w="100" w:type="dxa"/>
              <w:bottom w:w="100" w:type="dxa"/>
              <w:left w:w="120" w:type="dxa"/>
              <w:right w:w="120" w:type="dxa"/>
            </w:tcMar>
            <w:vAlign w:val="center"/>
            <w:shd w:fill="eff6ff"/>
          </w:tcPr>
          <w:p>
            <w:pPr>
              <w:spacing w:before="40" w:after="40"/>
            </w:pPr>
            <w:r>
              <w:rPr>
                <w:color w:val="1E293B"/>
                <w:sz w:val="18"/>
              </w:rPr>
              <w:t>0.1038 s</w:t>
            </w:r>
          </w:p>
        </w:tc>
        <w:tc>
          <w:tcPr>
            <w:tcW w:type="dxa" w:w="1728"/>
            <w:tcMar>
              <w:top w:w="100" w:type="dxa"/>
              <w:bottom w:w="100" w:type="dxa"/>
              <w:left w:w="120" w:type="dxa"/>
              <w:right w:w="120" w:type="dxa"/>
            </w:tcMar>
            <w:vAlign w:val="center"/>
            <w:shd w:fill="eff6ff"/>
          </w:tcPr>
          <w:p>
            <w:pPr>
              <w:spacing w:before="40" w:after="40"/>
            </w:pPr>
            <w:r>
              <w:rPr>
                <w:color w:val="1E293B"/>
                <w:sz w:val="18"/>
              </w:rPr>
              <w:t>85.04 MB/s</w:t>
            </w:r>
          </w:p>
        </w:tc>
        <w:tc>
          <w:tcPr>
            <w:tcW w:type="dxa" w:w="1728"/>
            <w:tcMar>
              <w:top w:w="100" w:type="dxa"/>
              <w:bottom w:w="100" w:type="dxa"/>
              <w:left w:w="120" w:type="dxa"/>
              <w:right w:w="120" w:type="dxa"/>
            </w:tcMar>
            <w:vAlign w:val="center"/>
            <w:shd w:fill="eff6ff"/>
          </w:tcPr>
          <w:p>
            <w:pPr>
              <w:spacing w:before="40" w:after="40"/>
            </w:pPr>
            <w:r>
              <w:rPr>
                <w:color w:val="1E293B"/>
                <w:sz w:val="18"/>
              </w:rPr>
              <w:t>101.29 MB/s</w:t>
            </w:r>
          </w:p>
        </w:tc>
        <w:tc>
          <w:tcPr>
            <w:tcW w:type="dxa" w:w="1296"/>
            <w:tcMar>
              <w:top w:w="100" w:type="dxa"/>
              <w:bottom w:w="100" w:type="dxa"/>
              <w:left w:w="120" w:type="dxa"/>
              <w:right w:w="120" w:type="dxa"/>
            </w:tcMar>
            <w:vAlign w:val="center"/>
            <w:shd w:fill="eff6ff"/>
          </w:tcPr>
          <w:p>
            <w:pPr>
              <w:spacing w:before="40" w:after="40"/>
            </w:pPr>
            <w:r>
              <w:rPr>
                <w:color w:val="1E293B"/>
                <w:sz w:val="18"/>
              </w:rPr>
              <w:t>0.01%</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25 MB</w:t>
            </w:r>
          </w:p>
        </w:tc>
        <w:tc>
          <w:tcPr>
            <w:tcW w:type="dxa" w:w="1584"/>
            <w:tcMar>
              <w:top w:w="100" w:type="dxa"/>
              <w:bottom w:w="100" w:type="dxa"/>
              <w:left w:w="120" w:type="dxa"/>
              <w:right w:w="120" w:type="dxa"/>
            </w:tcMar>
            <w:vAlign w:val="center"/>
            <w:shd w:fill="ffffff"/>
          </w:tcPr>
          <w:p>
            <w:pPr>
              <w:spacing w:before="40" w:after="40"/>
            </w:pPr>
            <w:r>
              <w:rPr>
                <w:color w:val="1E293B"/>
                <w:sz w:val="18"/>
              </w:rPr>
              <w:t>0.2086 s</w:t>
            </w:r>
          </w:p>
        </w:tc>
        <w:tc>
          <w:tcPr>
            <w:tcW w:type="dxa" w:w="1584"/>
            <w:tcMar>
              <w:top w:w="100" w:type="dxa"/>
              <w:bottom w:w="100" w:type="dxa"/>
              <w:left w:w="120" w:type="dxa"/>
              <w:right w:w="120" w:type="dxa"/>
            </w:tcMar>
            <w:vAlign w:val="center"/>
            <w:shd w:fill="ffffff"/>
          </w:tcPr>
          <w:p>
            <w:pPr>
              <w:spacing w:before="40" w:after="40"/>
            </w:pPr>
            <w:r>
              <w:rPr>
                <w:color w:val="1E293B"/>
                <w:sz w:val="18"/>
              </w:rPr>
              <w:t>0.1904 s</w:t>
            </w:r>
          </w:p>
        </w:tc>
        <w:tc>
          <w:tcPr>
            <w:tcW w:type="dxa" w:w="1728"/>
            <w:tcMar>
              <w:top w:w="100" w:type="dxa"/>
              <w:bottom w:w="100" w:type="dxa"/>
              <w:left w:w="120" w:type="dxa"/>
              <w:right w:w="120" w:type="dxa"/>
            </w:tcMar>
            <w:vAlign w:val="center"/>
            <w:shd w:fill="ffffff"/>
          </w:tcPr>
          <w:p>
            <w:pPr>
              <w:spacing w:before="40" w:after="40"/>
            </w:pPr>
            <w:r>
              <w:rPr>
                <w:color w:val="1E293B"/>
                <w:sz w:val="18"/>
              </w:rPr>
              <w:t>119.94 MB/s</w:t>
            </w:r>
          </w:p>
        </w:tc>
        <w:tc>
          <w:tcPr>
            <w:tcW w:type="dxa" w:w="1728"/>
            <w:tcMar>
              <w:top w:w="100" w:type="dxa"/>
              <w:bottom w:w="100" w:type="dxa"/>
              <w:left w:w="120" w:type="dxa"/>
              <w:right w:w="120" w:type="dxa"/>
            </w:tcMar>
            <w:vAlign w:val="center"/>
            <w:shd w:fill="ffffff"/>
          </w:tcPr>
          <w:p>
            <w:pPr>
              <w:spacing w:before="40" w:after="40"/>
            </w:pPr>
            <w:r>
              <w:rPr>
                <w:color w:val="1E293B"/>
                <w:sz w:val="18"/>
              </w:rPr>
              <w:t>131.49 MB/s</w:t>
            </w:r>
          </w:p>
        </w:tc>
        <w:tc>
          <w:tcPr>
            <w:tcW w:type="dxa" w:w="1296"/>
            <w:tcMar>
              <w:top w:w="100" w:type="dxa"/>
              <w:bottom w:w="100" w:type="dxa"/>
              <w:left w:w="120" w:type="dxa"/>
              <w:right w:w="120" w:type="dxa"/>
            </w:tcMar>
            <w:vAlign w:val="center"/>
            <w:shd w:fill="ffffff"/>
          </w:tcPr>
          <w:p>
            <w:pPr>
              <w:spacing w:before="40" w:after="40"/>
            </w:pPr>
            <w:r>
              <w:rPr>
                <w:color w:val="1E293B"/>
                <w:sz w:val="18"/>
              </w:rPr>
              <w:t>&lt; 0.01%</w:t>
            </w:r>
          </w:p>
        </w:tc>
      </w:tr>
    </w:tbl>
    <w:p>
      <w:pPr>
        <w:pStyle w:val="Heading2"/>
      </w:pPr>
      <w:r>
        <w:t>7.2 Authentic Clinical Dataset Evaluation (NIH &amp; RSNA)</w:t>
      </w:r>
    </w:p>
    <w:p>
      <w:r>
        <w:t>To test production viability on real hospital scans, CryptoFlow was evaluated directly on Kaggle clinical corpora:</w:t>
        <w:br/>
        <w:t>• NIH Chest X-Ray 14 (50 patients, 20 MB total): Achieved 34.5 ms encryption latency, 11.6 MB/s throughput, and 100% attack mitigation.</w:t>
        <w:br/>
        <w:t>• RSNA Pneumonia Detection (50 raw DICOM studies, 6.35 MB total): Achieved 65.4 ms encryption latency with sub-1% storage overhead.</w:t>
      </w:r>
    </w:p>
    <w:p>
      <w:pPr>
        <w:pStyle w:val="Heading2"/>
      </w:pPr>
      <w:r>
        <w:t>7.3 Automated 7-Vector Threat Defense Scorecard</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tcMar>
              <w:top w:w="100" w:type="dxa"/>
              <w:bottom w:w="100" w:type="dxa"/>
              <w:left w:w="120" w:type="dxa"/>
              <w:right w:w="120" w:type="dxa"/>
            </w:tcMar>
            <w:vAlign w:val="center"/>
            <w:shd w:fill="991b1b"/>
          </w:tcPr>
          <w:p>
            <w:pPr>
              <w:spacing w:before="40" w:after="40"/>
            </w:pPr>
            <w:r>
              <w:rPr>
                <w:b/>
                <w:color w:val="FFFFFF"/>
                <w:sz w:val="19"/>
              </w:rPr>
              <w:t>Attack Vector</w:t>
            </w:r>
          </w:p>
        </w:tc>
        <w:tc>
          <w:tcPr>
            <w:tcW w:type="dxa" w:w="2304"/>
            <w:tcMar>
              <w:top w:w="100" w:type="dxa"/>
              <w:bottom w:w="100" w:type="dxa"/>
              <w:left w:w="120" w:type="dxa"/>
              <w:right w:w="120" w:type="dxa"/>
            </w:tcMar>
            <w:vAlign w:val="center"/>
            <w:shd w:fill="991b1b"/>
          </w:tcPr>
          <w:p>
            <w:pPr>
              <w:spacing w:before="40" w:after="40"/>
            </w:pPr>
            <w:r>
              <w:rPr>
                <w:b/>
                <w:color w:val="FFFFFF"/>
                <w:sz w:val="19"/>
              </w:rPr>
              <w:t>Threat Scenario</w:t>
            </w:r>
          </w:p>
        </w:tc>
        <w:tc>
          <w:tcPr>
            <w:tcW w:type="dxa" w:w="2016"/>
            <w:tcMar>
              <w:top w:w="100" w:type="dxa"/>
              <w:bottom w:w="100" w:type="dxa"/>
              <w:left w:w="120" w:type="dxa"/>
              <w:right w:w="120" w:type="dxa"/>
            </w:tcMar>
            <w:vAlign w:val="center"/>
            <w:shd w:fill="991b1b"/>
          </w:tcPr>
          <w:p>
            <w:pPr>
              <w:spacing w:before="40" w:after="40"/>
            </w:pPr>
            <w:r>
              <w:rPr>
                <w:b/>
                <w:color w:val="FFFFFF"/>
                <w:sz w:val="19"/>
              </w:rPr>
              <w:t>Defense Mechanism</w:t>
            </w:r>
          </w:p>
        </w:tc>
        <w:tc>
          <w:tcPr>
            <w:tcW w:type="dxa" w:w="2016"/>
            <w:tcMar>
              <w:top w:w="100" w:type="dxa"/>
              <w:bottom w:w="100" w:type="dxa"/>
              <w:left w:w="120" w:type="dxa"/>
              <w:right w:w="120" w:type="dxa"/>
            </w:tcMar>
            <w:vAlign w:val="center"/>
            <w:shd w:fill="991b1b"/>
          </w:tcPr>
          <w:p>
            <w:pPr>
              <w:spacing w:before="40" w:after="40"/>
            </w:pPr>
            <w:r>
              <w:rPr>
                <w:b/>
                <w:color w:val="FFFFFF"/>
                <w:sz w:val="19"/>
              </w:rPr>
              <w:t>Exception Raised</w:t>
            </w:r>
          </w:p>
        </w:tc>
        <w:tc>
          <w:tcPr>
            <w:tcW w:type="dxa" w:w="1152"/>
            <w:tcMar>
              <w:top w:w="100" w:type="dxa"/>
              <w:bottom w:w="100" w:type="dxa"/>
              <w:left w:w="120" w:type="dxa"/>
              <w:right w:w="120" w:type="dxa"/>
            </w:tcMar>
            <w:vAlign w:val="center"/>
            <w:shd w:fill="991b1b"/>
          </w:tcPr>
          <w:p>
            <w:pPr>
              <w:spacing w:before="40" w:after="40"/>
            </w:pPr>
            <w:r>
              <w:rPr>
                <w:b/>
                <w:color w:val="FFFFFF"/>
                <w:sz w:val="19"/>
              </w:rPr>
              <w:t>Status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1. Bit-Flip Tamper</w:t>
            </w:r>
          </w:p>
        </w:tc>
        <w:tc>
          <w:tcPr>
            <w:tcW w:type="dxa" w:w="2304"/>
            <w:tcMar>
              <w:top w:w="100" w:type="dxa"/>
              <w:bottom w:w="100" w:type="dxa"/>
              <w:left w:w="120" w:type="dxa"/>
              <w:right w:w="120" w:type="dxa"/>
            </w:tcMar>
            <w:vAlign w:val="center"/>
            <w:shd w:fill="ffffff"/>
          </w:tcPr>
          <w:p>
            <w:pPr>
              <w:spacing w:before="40" w:after="40"/>
            </w:pPr>
            <w:r>
              <w:rPr>
                <w:color w:val="1E293B"/>
                <w:sz w:val="18"/>
              </w:rPr>
              <w:t>Adversary alters 1 bit in transmitted ciphertext</w:t>
            </w:r>
          </w:p>
        </w:tc>
        <w:tc>
          <w:tcPr>
            <w:tcW w:type="dxa" w:w="2016"/>
            <w:tcMar>
              <w:top w:w="100" w:type="dxa"/>
              <w:bottom w:w="100" w:type="dxa"/>
              <w:left w:w="120" w:type="dxa"/>
              <w:right w:w="120" w:type="dxa"/>
            </w:tcMar>
            <w:vAlign w:val="center"/>
            <w:shd w:fill="ffffff"/>
          </w:tcPr>
          <w:p>
            <w:pPr>
              <w:spacing w:before="40" w:after="40"/>
            </w:pPr>
            <w:r>
              <w:rPr>
                <w:color w:val="1E293B"/>
                <w:sz w:val="18"/>
              </w:rPr>
              <w:t>GCM Auth Tag Failure</w:t>
            </w:r>
          </w:p>
        </w:tc>
        <w:tc>
          <w:tcPr>
            <w:tcW w:type="dxa" w:w="2016"/>
            <w:tcMar>
              <w:top w:w="100" w:type="dxa"/>
              <w:bottom w:w="100" w:type="dxa"/>
              <w:left w:w="120" w:type="dxa"/>
              <w:right w:w="120" w:type="dxa"/>
            </w:tcMar>
            <w:vAlign w:val="center"/>
            <w:shd w:fill="ffffff"/>
          </w:tcPr>
          <w:p>
            <w:pPr>
              <w:spacing w:before="40" w:after="40"/>
            </w:pPr>
            <w:r>
              <w:rPr>
                <w:color w:val="1E293B"/>
                <w:sz w:val="18"/>
              </w:rPr>
              <w:t>AuthTagMismatchError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(100%)</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2. Intra-Bundle Swap</w:t>
            </w:r>
          </w:p>
        </w:tc>
        <w:tc>
          <w:tcPr>
            <w:tcW w:type="dxa" w:w="2304"/>
            <w:tcMar>
              <w:top w:w="100" w:type="dxa"/>
              <w:bottom w:w="100" w:type="dxa"/>
              <w:left w:w="120" w:type="dxa"/>
              <w:right w:w="120" w:type="dxa"/>
            </w:tcMar>
            <w:vAlign w:val="center"/>
            <w:shd w:fill="fef2f2"/>
          </w:tcPr>
          <w:p>
            <w:pPr>
              <w:spacing w:before="40" w:after="40"/>
            </w:pPr>
            <w:r>
              <w:rPr>
                <w:color w:val="1E293B"/>
                <w:sz w:val="18"/>
              </w:rPr>
              <w:t>Adversary transposes CT scan and report ordering</w:t>
            </w:r>
          </w:p>
        </w:tc>
        <w:tc>
          <w:tcPr>
            <w:tcW w:type="dxa" w:w="2016"/>
            <w:tcMar>
              <w:top w:w="100" w:type="dxa"/>
              <w:bottom w:w="100" w:type="dxa"/>
              <w:left w:w="120" w:type="dxa"/>
              <w:right w:w="120" w:type="dxa"/>
            </w:tcMar>
            <w:vAlign w:val="center"/>
            <w:shd w:fill="fef2f2"/>
          </w:tcPr>
          <w:p>
            <w:pPr>
              <w:spacing w:before="40" w:after="40"/>
            </w:pPr>
            <w:r>
              <w:rPr>
                <w:color w:val="1E293B"/>
                <w:sz w:val="18"/>
              </w:rPr>
              <w:t>Binding Order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(100%)</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3. Cross-Bundle Swap</w:t>
            </w:r>
          </w:p>
        </w:tc>
        <w:tc>
          <w:tcPr>
            <w:tcW w:type="dxa" w:w="2304"/>
            <w:tcMar>
              <w:top w:w="100" w:type="dxa"/>
              <w:bottom w:w="100" w:type="dxa"/>
              <w:left w:w="120" w:type="dxa"/>
              <w:right w:w="120" w:type="dxa"/>
            </w:tcMar>
            <w:vAlign w:val="center"/>
            <w:shd w:fill="ffffff"/>
          </w:tcPr>
          <w:p>
            <w:pPr>
              <w:spacing w:before="40" w:after="40"/>
            </w:pPr>
            <w:r>
              <w:rPr>
                <w:color w:val="1E293B"/>
                <w:sz w:val="18"/>
              </w:rPr>
              <w:t>Patient B's report spliced into Patient A's bundle</w:t>
            </w:r>
          </w:p>
        </w:tc>
        <w:tc>
          <w:tcPr>
            <w:tcW w:type="dxa" w:w="2016"/>
            <w:tcMar>
              <w:top w:w="100" w:type="dxa"/>
              <w:bottom w:w="100" w:type="dxa"/>
              <w:left w:w="120" w:type="dxa"/>
              <w:right w:w="120" w:type="dxa"/>
            </w:tcMar>
            <w:vAlign w:val="center"/>
            <w:shd w:fill="ffffff"/>
          </w:tcPr>
          <w:p>
            <w:pPr>
              <w:spacing w:before="40" w:after="40"/>
            </w:pPr>
            <w:r>
              <w:rPr>
                <w:color w:val="1E293B"/>
                <w:sz w:val="18"/>
              </w:rPr>
              <w:t>Foreign Modality Digest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(100%)</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4. Payload Truncation</w:t>
            </w:r>
          </w:p>
        </w:tc>
        <w:tc>
          <w:tcPr>
            <w:tcW w:type="dxa" w:w="2304"/>
            <w:tcMar>
              <w:top w:w="100" w:type="dxa"/>
              <w:bottom w:w="100" w:type="dxa"/>
              <w:left w:w="120" w:type="dxa"/>
              <w:right w:w="120" w:type="dxa"/>
            </w:tcMar>
            <w:vAlign w:val="center"/>
            <w:shd w:fill="fef2f2"/>
          </w:tcPr>
          <w:p>
            <w:pPr>
              <w:spacing w:before="40" w:after="40"/>
            </w:pPr>
            <w:r>
              <w:rPr>
                <w:color w:val="1E293B"/>
                <w:sz w:val="18"/>
              </w:rPr>
              <w:t>Network drops trailing 50 bytes of clinical payload</w:t>
            </w:r>
          </w:p>
        </w:tc>
        <w:tc>
          <w:tcPr>
            <w:tcW w:type="dxa" w:w="2016"/>
            <w:tcMar>
              <w:top w:w="100" w:type="dxa"/>
              <w:bottom w:w="100" w:type="dxa"/>
              <w:left w:w="120" w:type="dxa"/>
              <w:right w:w="120" w:type="dxa"/>
            </w:tcMar>
            <w:vAlign w:val="center"/>
            <w:shd w:fill="fef2f2"/>
          </w:tcPr>
          <w:p>
            <w:pPr>
              <w:spacing w:before="40" w:after="40"/>
            </w:pPr>
            <w:r>
              <w:rPr>
                <w:color w:val="1E293B"/>
                <w:sz w:val="18"/>
              </w:rPr>
              <w:t>Header Length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InvalidBundleError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(100%)</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5. Rogue Injection</w:t>
            </w:r>
          </w:p>
        </w:tc>
        <w:tc>
          <w:tcPr>
            <w:tcW w:type="dxa" w:w="2304"/>
            <w:tcMar>
              <w:top w:w="100" w:type="dxa"/>
              <w:bottom w:w="100" w:type="dxa"/>
              <w:left w:w="120" w:type="dxa"/>
              <w:right w:w="120" w:type="dxa"/>
            </w:tcMar>
            <w:vAlign w:val="center"/>
            <w:shd w:fill="ffffff"/>
          </w:tcPr>
          <w:p>
            <w:pPr>
              <w:spacing w:before="40" w:after="40"/>
            </w:pPr>
            <w:r>
              <w:rPr>
                <w:color w:val="1E293B"/>
                <w:sz w:val="18"/>
              </w:rPr>
              <w:t>Adversary injects unauthorized 4th modality</w:t>
            </w:r>
          </w:p>
        </w:tc>
        <w:tc>
          <w:tcPr>
            <w:tcW w:type="dxa" w:w="2016"/>
            <w:tcMar>
              <w:top w:w="100" w:type="dxa"/>
              <w:bottom w:w="100" w:type="dxa"/>
              <w:left w:w="120" w:type="dxa"/>
              <w:right w:w="120" w:type="dxa"/>
            </w:tcMar>
            <w:vAlign w:val="center"/>
            <w:shd w:fill="ffffff"/>
          </w:tcPr>
          <w:p>
            <w:pPr>
              <w:spacing w:before="40" w:after="40"/>
            </w:pPr>
            <w:r>
              <w:rPr>
                <w:color w:val="1E293B"/>
                <w:sz w:val="18"/>
              </w:rPr>
              <w:t>Modality Count / HMAC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(100%)</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6. Manifest Forgery</w:t>
            </w:r>
          </w:p>
        </w:tc>
        <w:tc>
          <w:tcPr>
            <w:tcW w:type="dxa" w:w="2304"/>
            <w:tcMar>
              <w:top w:w="100" w:type="dxa"/>
              <w:bottom w:w="100" w:type="dxa"/>
              <w:left w:w="120" w:type="dxa"/>
              <w:right w:w="120" w:type="dxa"/>
            </w:tcMar>
            <w:vAlign w:val="center"/>
            <w:shd w:fill="fef2f2"/>
          </w:tcPr>
          <w:p>
            <w:pPr>
              <w:spacing w:before="40" w:after="40"/>
            </w:pPr>
            <w:r>
              <w:rPr>
                <w:color w:val="1E293B"/>
                <w:sz w:val="18"/>
              </w:rPr>
              <w:t>Attacker modifies binding hash in manifest</w:t>
            </w:r>
          </w:p>
        </w:tc>
        <w:tc>
          <w:tcPr>
            <w:tcW w:type="dxa" w:w="2016"/>
            <w:tcMar>
              <w:top w:w="100" w:type="dxa"/>
              <w:bottom w:w="100" w:type="dxa"/>
              <w:left w:w="120" w:type="dxa"/>
              <w:right w:w="120" w:type="dxa"/>
            </w:tcMar>
            <w:vAlign w:val="center"/>
            <w:shd w:fill="fef2f2"/>
          </w:tcPr>
          <w:p>
            <w:pPr>
              <w:spacing w:before="40" w:after="40"/>
            </w:pPr>
            <w:r>
              <w:rPr>
                <w:color w:val="1E293B"/>
                <w:sz w:val="18"/>
              </w:rPr>
              <w:t>Recomputed Digest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(100%)</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7. Key Mismatch</w:t>
            </w:r>
          </w:p>
        </w:tc>
        <w:tc>
          <w:tcPr>
            <w:tcW w:type="dxa" w:w="2304"/>
            <w:tcMar>
              <w:top w:w="100" w:type="dxa"/>
              <w:bottom w:w="100" w:type="dxa"/>
              <w:left w:w="120" w:type="dxa"/>
              <w:right w:w="120" w:type="dxa"/>
            </w:tcMar>
            <w:vAlign w:val="center"/>
            <w:shd w:fill="ffffff"/>
          </w:tcPr>
          <w:p>
            <w:pPr>
              <w:spacing w:before="40" w:after="40"/>
            </w:pPr>
            <w:r>
              <w:rPr>
                <w:color w:val="1E293B"/>
                <w:sz w:val="18"/>
              </w:rPr>
              <w:t>Decryption attempted using unauthorized foreign keyring</w:t>
            </w:r>
          </w:p>
        </w:tc>
        <w:tc>
          <w:tcPr>
            <w:tcW w:type="dxa" w:w="2016"/>
            <w:tcMar>
              <w:top w:w="100" w:type="dxa"/>
              <w:bottom w:w="100" w:type="dxa"/>
              <w:left w:w="120" w:type="dxa"/>
              <w:right w:w="120" w:type="dxa"/>
            </w:tcMar>
            <w:vAlign w:val="center"/>
            <w:shd w:fill="ffffff"/>
          </w:tcPr>
          <w:p>
            <w:pPr>
              <w:spacing w:before="40" w:after="40"/>
            </w:pPr>
            <w:r>
              <w:rPr>
                <w:color w:val="1E293B"/>
                <w:sz w:val="18"/>
              </w:rPr>
              <w:t>UUID &amp; Key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KeyMismatchError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(100%)</w:t>
            </w:r>
          </w:p>
        </w:tc>
      </w:tr>
    </w:tbl>
    <w:p>
      <w:pPr>
        <w:pStyle w:val="Heading1"/>
        <w:spacing w:before="320"/>
      </w:pPr>
      <w:r>
        <w:t>Chapter 8: Repository Guide: What Every File in CryptoFlow Does</w:t>
      </w:r>
    </w:p>
    <w:p>
      <w:r>
        <w:t>Here is your architectural directory map for navigating the entire codebase:</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68"/>
            <w:tcMar>
              <w:top w:w="100" w:type="dxa"/>
              <w:bottom w:w="100" w:type="dxa"/>
              <w:left w:w="120" w:type="dxa"/>
              <w:right w:w="120" w:type="dxa"/>
            </w:tcMar>
            <w:vAlign w:val="center"/>
            <w:shd w:fill="0f172a"/>
          </w:tcPr>
          <w:p>
            <w:pPr>
              <w:spacing w:before="40" w:after="40"/>
            </w:pPr>
            <w:r>
              <w:rPr>
                <w:b/>
                <w:color w:val="FFFFFF"/>
                <w:sz w:val="19"/>
              </w:rPr>
              <w:t>File Path</w:t>
            </w:r>
          </w:p>
        </w:tc>
        <w:tc>
          <w:tcPr>
            <w:tcW w:type="dxa" w:w="2016"/>
            <w:tcMar>
              <w:top w:w="100" w:type="dxa"/>
              <w:bottom w:w="100" w:type="dxa"/>
              <w:left w:w="120" w:type="dxa"/>
              <w:right w:w="120" w:type="dxa"/>
            </w:tcMar>
            <w:vAlign w:val="center"/>
            <w:shd w:fill="0f172a"/>
          </w:tcPr>
          <w:p>
            <w:pPr>
              <w:spacing w:before="40" w:after="40"/>
            </w:pPr>
            <w:r>
              <w:rPr>
                <w:b/>
                <w:color w:val="FFFFFF"/>
                <w:sz w:val="19"/>
              </w:rPr>
              <w:t>Module Category</w:t>
            </w:r>
          </w:p>
        </w:tc>
        <w:tc>
          <w:tcPr>
            <w:tcW w:type="dxa" w:w="4176"/>
            <w:tcMar>
              <w:top w:w="100" w:type="dxa"/>
              <w:bottom w:w="100" w:type="dxa"/>
              <w:left w:w="120" w:type="dxa"/>
              <w:right w:w="120" w:type="dxa"/>
            </w:tcMar>
            <w:vAlign w:val="center"/>
            <w:shd w:fill="0f172a"/>
          </w:tcPr>
          <w:p>
            <w:pPr>
              <w:spacing w:before="40" w:after="40"/>
            </w:pPr>
            <w:r>
              <w:rPr>
                <w:b/>
                <w:color w:val="FFFFFF"/>
                <w:sz w:val="19"/>
              </w:rPr>
              <w:t>Functionality in Plain English</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src/cryptoflow/pipeline.py</w:t>
            </w:r>
          </w:p>
        </w:tc>
        <w:tc>
          <w:tcPr>
            <w:tcW w:type="dxa" w:w="2016"/>
            <w:tcMar>
              <w:top w:w="100" w:type="dxa"/>
              <w:bottom w:w="100" w:type="dxa"/>
              <w:left w:w="120" w:type="dxa"/>
              <w:right w:w="120" w:type="dxa"/>
            </w:tcMar>
            <w:vAlign w:val="center"/>
            <w:shd w:fill="ffffff"/>
          </w:tcPr>
          <w:p>
            <w:pPr>
              <w:spacing w:before="40" w:after="40"/>
            </w:pPr>
            <w:r>
              <w:rPr>
                <w:color w:val="1E293B"/>
                <w:sz w:val="18"/>
              </w:rPr>
              <w:t>Core Orchestrator</w:t>
            </w:r>
          </w:p>
        </w:tc>
        <w:tc>
          <w:tcPr>
            <w:tcW w:type="dxa" w:w="4176"/>
            <w:tcMar>
              <w:top w:w="100" w:type="dxa"/>
              <w:bottom w:w="100" w:type="dxa"/>
              <w:left w:w="120" w:type="dxa"/>
              <w:right w:w="120" w:type="dxa"/>
            </w:tcMar>
            <w:vAlign w:val="center"/>
            <w:shd w:fill="ffffff"/>
          </w:tcPr>
          <w:p>
            <w:pPr>
              <w:spacing w:before="40" w:after="40"/>
            </w:pPr>
            <w:r>
              <w:rPr>
                <w:color w:val="1E293B"/>
                <w:sz w:val="18"/>
              </w:rPr>
              <w:t>The conductor of the orchestra. Coordinates all 6 stages (ingest -&gt; uncertainty -&gt; keygen -&gt; encrypt -&gt; bind -&gt; package).</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src/cryptoflow/stages/ingest.py</w:t>
            </w:r>
          </w:p>
        </w:tc>
        <w:tc>
          <w:tcPr>
            <w:tcW w:type="dxa" w:w="2016"/>
            <w:tcMar>
              <w:top w:w="100" w:type="dxa"/>
              <w:bottom w:w="100" w:type="dxa"/>
              <w:left w:w="120" w:type="dxa"/>
              <w:right w:w="120" w:type="dxa"/>
            </w:tcMar>
            <w:vAlign w:val="center"/>
            <w:shd w:fill="f8fafc"/>
          </w:tcPr>
          <w:p>
            <w:pPr>
              <w:spacing w:before="40" w:after="40"/>
            </w:pPr>
            <w:r>
              <w:rPr>
                <w:color w:val="1E293B"/>
                <w:sz w:val="18"/>
              </w:rPr>
              <w:t>Stage 1: Ingest</w:t>
            </w:r>
          </w:p>
        </w:tc>
        <w:tc>
          <w:tcPr>
            <w:tcW w:type="dxa" w:w="4176"/>
            <w:tcMar>
              <w:top w:w="100" w:type="dxa"/>
              <w:bottom w:w="100" w:type="dxa"/>
              <w:left w:w="120" w:type="dxa"/>
              <w:right w:w="120" w:type="dxa"/>
            </w:tcMar>
            <w:vAlign w:val="center"/>
            <w:shd w:fill="f8fafc"/>
          </w:tcPr>
          <w:p>
            <w:pPr>
              <w:spacing w:before="40" w:after="40"/>
            </w:pPr>
            <w:r>
              <w:rPr>
                <w:color w:val="1E293B"/>
                <w:sz w:val="18"/>
              </w:rPr>
              <w:t>Reads raw files and attaches 64-byte typed binary headers (CFBLB) with modality tags and original filenames.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src/cryptoflow/stages/uncertainty.py</w:t>
            </w:r>
          </w:p>
        </w:tc>
        <w:tc>
          <w:tcPr>
            <w:tcW w:type="dxa" w:w="2016"/>
            <w:tcMar>
              <w:top w:w="100" w:type="dxa"/>
              <w:bottom w:w="100" w:type="dxa"/>
              <w:left w:w="120" w:type="dxa"/>
              <w:right w:w="120" w:type="dxa"/>
            </w:tcMar>
            <w:vAlign w:val="center"/>
            <w:shd w:fill="ffffff"/>
          </w:tcPr>
          <w:p>
            <w:pPr>
              <w:spacing w:before="40" w:after="40"/>
            </w:pPr>
            <w:r>
              <w:rPr>
                <w:color w:val="1E293B"/>
                <w:sz w:val="18"/>
              </w:rPr>
              <w:t>Stage 2: Uncertainty</w:t>
            </w:r>
          </w:p>
        </w:tc>
        <w:tc>
          <w:tcPr>
            <w:tcW w:type="dxa" w:w="4176"/>
            <w:tcMar>
              <w:top w:w="100" w:type="dxa"/>
              <w:bottom w:w="100" w:type="dxa"/>
              <w:left w:w="120" w:type="dxa"/>
              <w:right w:w="120" w:type="dxa"/>
            </w:tcMar>
            <w:vAlign w:val="center"/>
            <w:shd w:fill="ffffff"/>
          </w:tcPr>
          <w:p>
            <w:pPr>
              <w:spacing w:before="40" w:after="40"/>
            </w:pPr>
            <w:r>
              <w:rPr>
                <w:color w:val="1E293B"/>
                <w:sz w:val="18"/>
              </w:rPr>
              <w:t>Extracts byte-level features (entropy, size, headers) and executes Dempster-Shafer &amp; Deep Evidential Learning.</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src/cryptoflow/stages/keygen.py</w:t>
            </w:r>
          </w:p>
        </w:tc>
        <w:tc>
          <w:tcPr>
            <w:tcW w:type="dxa" w:w="2016"/>
            <w:tcMar>
              <w:top w:w="100" w:type="dxa"/>
              <w:bottom w:w="100" w:type="dxa"/>
              <w:left w:w="120" w:type="dxa"/>
              <w:right w:w="120" w:type="dxa"/>
            </w:tcMar>
            <w:vAlign w:val="center"/>
            <w:shd w:fill="f8fafc"/>
          </w:tcPr>
          <w:p>
            <w:pPr>
              <w:spacing w:before="40" w:after="40"/>
            </w:pPr>
            <w:r>
              <w:rPr>
                <w:color w:val="1E293B"/>
                <w:sz w:val="18"/>
              </w:rPr>
              <w:t>Stage 3: KeyGen</w:t>
            </w:r>
          </w:p>
        </w:tc>
        <w:tc>
          <w:tcPr>
            <w:tcW w:type="dxa" w:w="4176"/>
            <w:tcMar>
              <w:top w:w="100" w:type="dxa"/>
              <w:bottom w:w="100" w:type="dxa"/>
              <w:left w:w="120" w:type="dxa"/>
              <w:right w:w="120" w:type="dxa"/>
            </w:tcMar>
            <w:vAlign w:val="center"/>
            <w:shd w:fill="f8fafc"/>
          </w:tcPr>
          <w:p>
            <w:pPr>
              <w:spacing w:before="40" w:after="40"/>
            </w:pPr>
            <w:r>
              <w:rPr>
                <w:color w:val="1E293B"/>
                <w:sz w:val="18"/>
              </w:rPr>
              <w:t>Generates fresh 256-bit AES keys, 96-bit GCM IVs, and 256-bit HMAC keys using the OS CSPRNG entropy pool.</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src/cryptoflow/stages/encrypt.py</w:t>
            </w:r>
          </w:p>
        </w:tc>
        <w:tc>
          <w:tcPr>
            <w:tcW w:type="dxa" w:w="2016"/>
            <w:tcMar>
              <w:top w:w="100" w:type="dxa"/>
              <w:bottom w:w="100" w:type="dxa"/>
              <w:left w:w="120" w:type="dxa"/>
              <w:right w:w="120" w:type="dxa"/>
            </w:tcMar>
            <w:vAlign w:val="center"/>
            <w:shd w:fill="ffffff"/>
          </w:tcPr>
          <w:p>
            <w:pPr>
              <w:spacing w:before="40" w:after="40"/>
            </w:pPr>
            <w:r>
              <w:rPr>
                <w:color w:val="1E293B"/>
                <w:sz w:val="18"/>
              </w:rPr>
              <w:t>Stage 4: Encrypt</w:t>
            </w:r>
          </w:p>
        </w:tc>
        <w:tc>
          <w:tcPr>
            <w:tcW w:type="dxa" w:w="4176"/>
            <w:tcMar>
              <w:top w:w="100" w:type="dxa"/>
              <w:bottom w:w="100" w:type="dxa"/>
              <w:left w:w="120" w:type="dxa"/>
              <w:right w:w="120" w:type="dxa"/>
            </w:tcMar>
            <w:vAlign w:val="center"/>
            <w:shd w:fill="ffffff"/>
          </w:tcPr>
          <w:p>
            <w:pPr>
              <w:spacing w:before="40" w:after="40"/>
            </w:pPr>
            <w:r>
              <w:rPr>
                <w:color w:val="1E293B"/>
                <w:sz w:val="18"/>
              </w:rPr>
              <w:t>Executes AES-256-GCM authenticated encryption on each normalized modality blob.</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src/cryptoflow/stages/binding.py</w:t>
            </w:r>
          </w:p>
        </w:tc>
        <w:tc>
          <w:tcPr>
            <w:tcW w:type="dxa" w:w="2016"/>
            <w:tcMar>
              <w:top w:w="100" w:type="dxa"/>
              <w:bottom w:w="100" w:type="dxa"/>
              <w:left w:w="120" w:type="dxa"/>
              <w:right w:w="120" w:type="dxa"/>
            </w:tcMar>
            <w:vAlign w:val="center"/>
            <w:shd w:fill="f8fafc"/>
          </w:tcPr>
          <w:p>
            <w:pPr>
              <w:spacing w:before="40" w:after="40"/>
            </w:pPr>
            <w:r>
              <w:rPr>
                <w:color w:val="1E293B"/>
                <w:sz w:val="18"/>
              </w:rPr>
              <w:t>Stage 5: Binding</w:t>
            </w:r>
          </w:p>
        </w:tc>
        <w:tc>
          <w:tcPr>
            <w:tcW w:type="dxa" w:w="4176"/>
            <w:tcMar>
              <w:top w:w="100" w:type="dxa"/>
              <w:bottom w:w="100" w:type="dxa"/>
              <w:left w:w="120" w:type="dxa"/>
              <w:right w:w="120" w:type="dxa"/>
            </w:tcMar>
            <w:vAlign w:val="center"/>
            <w:shd w:fill="f8fafc"/>
          </w:tcPr>
          <w:p>
            <w:pPr>
              <w:spacing w:before="40" w:after="40"/>
            </w:pPr>
            <w:r>
              <w:rPr>
                <w:color w:val="1E293B"/>
                <w:sz w:val="18"/>
              </w:rPr>
              <w:t>Calculates the deterministic HMAC-SHA-256 cross-modal binding hash across all ciphertexts.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src/cryptoflow/stages/package.py</w:t>
            </w:r>
          </w:p>
        </w:tc>
        <w:tc>
          <w:tcPr>
            <w:tcW w:type="dxa" w:w="2016"/>
            <w:tcMar>
              <w:top w:w="100" w:type="dxa"/>
              <w:bottom w:w="100" w:type="dxa"/>
              <w:left w:w="120" w:type="dxa"/>
              <w:right w:w="120" w:type="dxa"/>
            </w:tcMar>
            <w:vAlign w:val="center"/>
            <w:shd w:fill="ffffff"/>
          </w:tcPr>
          <w:p>
            <w:pPr>
              <w:spacing w:before="40" w:after="40"/>
            </w:pPr>
            <w:r>
              <w:rPr>
                <w:color w:val="1E293B"/>
                <w:sz w:val="18"/>
              </w:rPr>
              <w:t>Stage 6: Package</w:t>
            </w:r>
          </w:p>
        </w:tc>
        <w:tc>
          <w:tcPr>
            <w:tcW w:type="dxa" w:w="4176"/>
            <w:tcMar>
              <w:top w:w="100" w:type="dxa"/>
              <w:bottom w:w="100" w:type="dxa"/>
              <w:left w:w="120" w:type="dxa"/>
              <w:right w:w="120" w:type="dxa"/>
            </w:tcMar>
            <w:vAlign w:val="center"/>
            <w:shd w:fill="ffffff"/>
          </w:tcPr>
          <w:p>
            <w:pPr>
              <w:spacing w:before="40" w:after="40"/>
            </w:pPr>
            <w:r>
              <w:rPr>
                <w:color w:val="1E293B"/>
                <w:sz w:val="18"/>
              </w:rPr>
              <w:t>Assembles the binary `.cryptoflow` container and exports the separate `.keyring` (with optional RSA wrapping).</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src/cryptoflow/decrypt/pipeline.py</w:t>
            </w:r>
          </w:p>
        </w:tc>
        <w:tc>
          <w:tcPr>
            <w:tcW w:type="dxa" w:w="2016"/>
            <w:tcMar>
              <w:top w:w="100" w:type="dxa"/>
              <w:bottom w:w="100" w:type="dxa"/>
              <w:left w:w="120" w:type="dxa"/>
              <w:right w:w="120" w:type="dxa"/>
            </w:tcMar>
            <w:vAlign w:val="center"/>
            <w:shd w:fill="f8fafc"/>
          </w:tcPr>
          <w:p>
            <w:pPr>
              <w:spacing w:before="40" w:after="40"/>
            </w:pPr>
            <w:r>
              <w:rPr>
                <w:color w:val="1E293B"/>
                <w:sz w:val="18"/>
              </w:rPr>
              <w:t>Decryption</w:t>
            </w:r>
          </w:p>
        </w:tc>
        <w:tc>
          <w:tcPr>
            <w:tcW w:type="dxa" w:w="4176"/>
            <w:tcMar>
              <w:top w:w="100" w:type="dxa"/>
              <w:bottom w:w="100" w:type="dxa"/>
              <w:left w:w="120" w:type="dxa"/>
              <w:right w:w="120" w:type="dxa"/>
            </w:tcMar>
            <w:vAlign w:val="center"/>
            <w:shd w:fill="f8fafc"/>
          </w:tcPr>
          <w:p>
            <w:pPr>
              <w:spacing w:before="40" w:after="40"/>
            </w:pPr>
            <w:r>
              <w:rPr>
                <w:color w:val="1E293B"/>
                <w:sz w:val="18"/>
              </w:rPr>
              <w:t>Performs constant-time HMAC check, GCM tag authentication, uncertainty extraction, and byte-perfect file restoration.</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src/cryptoflow/models/uncertainty.py</w:t>
            </w:r>
          </w:p>
        </w:tc>
        <w:tc>
          <w:tcPr>
            <w:tcW w:type="dxa" w:w="2016"/>
            <w:tcMar>
              <w:top w:w="100" w:type="dxa"/>
              <w:bottom w:w="100" w:type="dxa"/>
              <w:left w:w="120" w:type="dxa"/>
              <w:right w:w="120" w:type="dxa"/>
            </w:tcMar>
            <w:vAlign w:val="center"/>
            <w:shd w:fill="ffffff"/>
          </w:tcPr>
          <w:p>
            <w:pPr>
              <w:spacing w:before="40" w:after="40"/>
            </w:pPr>
            <w:r>
              <w:rPr>
                <w:color w:val="1E293B"/>
                <w:sz w:val="18"/>
              </w:rPr>
              <w:t>Data Models</w:t>
            </w:r>
          </w:p>
        </w:tc>
        <w:tc>
          <w:tcPr>
            <w:tcW w:type="dxa" w:w="4176"/>
            <w:tcMar>
              <w:top w:w="100" w:type="dxa"/>
              <w:bottom w:w="100" w:type="dxa"/>
              <w:left w:w="120" w:type="dxa"/>
              <w:right w:w="120" w:type="dxa"/>
            </w:tcMar>
            <w:vAlign w:val="center"/>
            <w:shd w:fill="ffffff"/>
          </w:tcPr>
          <w:p>
            <w:pPr>
              <w:spacing w:before="40" w:after="40"/>
            </w:pPr>
            <w:r>
              <w:rPr>
                <w:color w:val="1E293B"/>
                <w:sz w:val="18"/>
              </w:rPr>
              <w:t>Data structures for FeatureVector, DSTResult, DELResult, FusionResult, and UncertaintyReport.</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src/cryptoflow/models/bundle.py</w:t>
            </w:r>
          </w:p>
        </w:tc>
        <w:tc>
          <w:tcPr>
            <w:tcW w:type="dxa" w:w="2016"/>
            <w:tcMar>
              <w:top w:w="100" w:type="dxa"/>
              <w:bottom w:w="100" w:type="dxa"/>
              <w:left w:w="120" w:type="dxa"/>
              <w:right w:w="120" w:type="dxa"/>
            </w:tcMar>
            <w:vAlign w:val="center"/>
            <w:shd w:fill="f8fafc"/>
          </w:tcPr>
          <w:p>
            <w:pPr>
              <w:spacing w:before="40" w:after="40"/>
            </w:pPr>
            <w:r>
              <w:rPr>
                <w:color w:val="1E293B"/>
                <w:sz w:val="18"/>
              </w:rPr>
              <w:t>Data Models</w:t>
            </w:r>
          </w:p>
        </w:tc>
        <w:tc>
          <w:tcPr>
            <w:tcW w:type="dxa" w:w="4176"/>
            <w:tcMar>
              <w:top w:w="100" w:type="dxa"/>
              <w:bottom w:w="100" w:type="dxa"/>
              <w:left w:w="120" w:type="dxa"/>
              <w:right w:w="120" w:type="dxa"/>
            </w:tcMar>
            <w:vAlign w:val="center"/>
            <w:shd w:fill="f8fafc"/>
          </w:tcPr>
          <w:p>
            <w:pPr>
              <w:spacing w:before="40" w:after="40"/>
            </w:pPr>
            <w:r>
              <w:rPr>
                <w:color w:val="1E293B"/>
                <w:sz w:val="18"/>
              </w:rPr>
              <w:t>Data structures for KeyRing, EncryptedBlob, ModalityEntry, and BundleManifest.</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src/cryptoflow/models/modality.py</w:t>
            </w:r>
          </w:p>
        </w:tc>
        <w:tc>
          <w:tcPr>
            <w:tcW w:type="dxa" w:w="2016"/>
            <w:tcMar>
              <w:top w:w="100" w:type="dxa"/>
              <w:bottom w:w="100" w:type="dxa"/>
              <w:left w:w="120" w:type="dxa"/>
              <w:right w:w="120" w:type="dxa"/>
            </w:tcMar>
            <w:vAlign w:val="center"/>
            <w:shd w:fill="ffffff"/>
          </w:tcPr>
          <w:p>
            <w:pPr>
              <w:spacing w:before="40" w:after="40"/>
            </w:pPr>
            <w:r>
              <w:rPr>
                <w:color w:val="1E293B"/>
                <w:sz w:val="18"/>
              </w:rPr>
              <w:t>Data Models</w:t>
            </w:r>
          </w:p>
        </w:tc>
        <w:tc>
          <w:tcPr>
            <w:tcW w:type="dxa" w:w="4176"/>
            <w:tcMar>
              <w:top w:w="100" w:type="dxa"/>
              <w:bottom w:w="100" w:type="dxa"/>
              <w:left w:w="120" w:type="dxa"/>
              <w:right w:w="120" w:type="dxa"/>
            </w:tcMar>
            <w:vAlign w:val="center"/>
            <w:shd w:fill="ffffff"/>
          </w:tcPr>
          <w:p>
            <w:pPr>
              <w:spacing w:before="40" w:after="40"/>
            </w:pPr>
            <w:r>
              <w:rPr>
                <w:color w:val="1E293B"/>
                <w:sz w:val="18"/>
              </w:rPr>
              <w:t>ModalityType enum (IMAGE, TEXT, METADATA), header constants, and NormalizedBlob.</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src/cryptoflow/utils/crypto.py</w:t>
            </w:r>
          </w:p>
        </w:tc>
        <w:tc>
          <w:tcPr>
            <w:tcW w:type="dxa" w:w="2016"/>
            <w:tcMar>
              <w:top w:w="100" w:type="dxa"/>
              <w:bottom w:w="100" w:type="dxa"/>
              <w:left w:w="120" w:type="dxa"/>
              <w:right w:w="120" w:type="dxa"/>
            </w:tcMar>
            <w:vAlign w:val="center"/>
            <w:shd w:fill="f8fafc"/>
          </w:tcPr>
          <w:p>
            <w:pPr>
              <w:spacing w:before="40" w:after="40"/>
            </w:pPr>
            <w:r>
              <w:rPr>
                <w:color w:val="1E293B"/>
                <w:sz w:val="18"/>
              </w:rPr>
              <w:t>Low-Level Crypto</w:t>
            </w:r>
          </w:p>
        </w:tc>
        <w:tc>
          <w:tcPr>
            <w:tcW w:type="dxa" w:w="4176"/>
            <w:tcMar>
              <w:top w:w="100" w:type="dxa"/>
              <w:bottom w:w="100" w:type="dxa"/>
              <w:left w:w="120" w:type="dxa"/>
              <w:right w:w="120" w:type="dxa"/>
            </w:tcMar>
            <w:vAlign w:val="center"/>
            <w:shd w:fill="f8fafc"/>
          </w:tcPr>
          <w:p>
            <w:pPr>
              <w:spacing w:before="40" w:after="40"/>
            </w:pPr>
            <w:r>
              <w:rPr>
                <w:color w:val="1E293B"/>
                <w:sz w:val="18"/>
              </w:rPr>
              <w:t>Cryptographic primitives wrapping OpenSSL: AES-GCM, HMAC-SHA256, RSA-OAEP wrapping, constant-time compare.</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src/cryptoflow/attacks/simulator.py</w:t>
            </w:r>
          </w:p>
        </w:tc>
        <w:tc>
          <w:tcPr>
            <w:tcW w:type="dxa" w:w="2016"/>
            <w:tcMar>
              <w:top w:w="100" w:type="dxa"/>
              <w:bottom w:w="100" w:type="dxa"/>
              <w:left w:w="120" w:type="dxa"/>
              <w:right w:w="120" w:type="dxa"/>
            </w:tcMar>
            <w:vAlign w:val="center"/>
            <w:shd w:fill="ffffff"/>
          </w:tcPr>
          <w:p>
            <w:pPr>
              <w:spacing w:before="40" w:after="40"/>
            </w:pPr>
            <w:r>
              <w:rPr>
                <w:color w:val="1E293B"/>
                <w:sz w:val="18"/>
              </w:rPr>
              <w:t>Security Harness</w:t>
            </w:r>
          </w:p>
        </w:tc>
        <w:tc>
          <w:tcPr>
            <w:tcW w:type="dxa" w:w="4176"/>
            <w:tcMar>
              <w:top w:w="100" w:type="dxa"/>
              <w:bottom w:w="100" w:type="dxa"/>
              <w:left w:w="120" w:type="dxa"/>
              <w:right w:w="120" w:type="dxa"/>
            </w:tcMar>
            <w:vAlign w:val="center"/>
            <w:shd w:fill="ffffff"/>
          </w:tcPr>
          <w:p>
            <w:pPr>
              <w:spacing w:before="40" w:after="40"/>
            </w:pPr>
            <w:r>
              <w:rPr>
                <w:color w:val="1E293B"/>
                <w:sz w:val="18"/>
              </w:rPr>
              <w:t>Simulates all 7 real-world cyberattack vectors to verify 100% automated defense.</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src/cryptoflow/benchmark/runner.py</w:t>
            </w:r>
          </w:p>
        </w:tc>
        <w:tc>
          <w:tcPr>
            <w:tcW w:type="dxa" w:w="2016"/>
            <w:tcMar>
              <w:top w:w="100" w:type="dxa"/>
              <w:bottom w:w="100" w:type="dxa"/>
              <w:left w:w="120" w:type="dxa"/>
              <w:right w:w="120" w:type="dxa"/>
            </w:tcMar>
            <w:vAlign w:val="center"/>
            <w:shd w:fill="f8fafc"/>
          </w:tcPr>
          <w:p>
            <w:pPr>
              <w:spacing w:before="40" w:after="40"/>
            </w:pPr>
            <w:r>
              <w:rPr>
                <w:color w:val="1E293B"/>
                <w:sz w:val="18"/>
              </w:rPr>
              <w:t>Benchmark Suite</w:t>
            </w:r>
          </w:p>
        </w:tc>
        <w:tc>
          <w:tcPr>
            <w:tcW w:type="dxa" w:w="4176"/>
            <w:tcMar>
              <w:top w:w="100" w:type="dxa"/>
              <w:bottom w:w="100" w:type="dxa"/>
              <w:left w:w="120" w:type="dxa"/>
              <w:right w:w="120" w:type="dxa"/>
            </w:tcMar>
            <w:vAlign w:val="center"/>
            <w:shd w:fill="f8fafc"/>
          </w:tcPr>
          <w:p>
            <w:pPr>
              <w:spacing w:before="40" w:after="40"/>
            </w:pPr>
            <w:r>
              <w:rPr>
                <w:color w:val="1E293B"/>
                <w:sz w:val="18"/>
              </w:rPr>
              <w:t>Conducts multi-iteration throughput and latency benchmarks and exports CSV/JSON stats.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src/cryptoflow/server.py</w:t>
            </w:r>
          </w:p>
        </w:tc>
        <w:tc>
          <w:tcPr>
            <w:tcW w:type="dxa" w:w="2016"/>
            <w:tcMar>
              <w:top w:w="100" w:type="dxa"/>
              <w:bottom w:w="100" w:type="dxa"/>
              <w:left w:w="120" w:type="dxa"/>
              <w:right w:w="120" w:type="dxa"/>
            </w:tcMar>
            <w:vAlign w:val="center"/>
            <w:shd w:fill="ffffff"/>
          </w:tcPr>
          <w:p>
            <w:pPr>
              <w:spacing w:before="40" w:after="40"/>
            </w:pPr>
            <w:r>
              <w:rPr>
                <w:color w:val="1E293B"/>
                <w:sz w:val="18"/>
              </w:rPr>
              <w:t>FastAPI Backend</w:t>
            </w:r>
          </w:p>
        </w:tc>
        <w:tc>
          <w:tcPr>
            <w:tcW w:type="dxa" w:w="4176"/>
            <w:tcMar>
              <w:top w:w="100" w:type="dxa"/>
              <w:bottom w:w="100" w:type="dxa"/>
              <w:left w:w="120" w:type="dxa"/>
              <w:right w:w="120" w:type="dxa"/>
            </w:tcMar>
            <w:vAlign w:val="center"/>
            <w:shd w:fill="ffffff"/>
          </w:tcPr>
          <w:p>
            <w:pPr>
              <w:spacing w:before="40" w:after="40"/>
            </w:pPr>
            <w:r>
              <w:rPr>
                <w:color w:val="1E293B"/>
                <w:sz w:val="18"/>
              </w:rPr>
              <w:t>REST endpoints (`/api/v1/encrypt`, `/decrypt`, `/attack/simulate`, `/metrics`) and live WebSockets for the UI.</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src/cryptoflow/cli.py</w:t>
            </w:r>
          </w:p>
        </w:tc>
        <w:tc>
          <w:tcPr>
            <w:tcW w:type="dxa" w:w="2016"/>
            <w:tcMar>
              <w:top w:w="100" w:type="dxa"/>
              <w:bottom w:w="100" w:type="dxa"/>
              <w:left w:w="120" w:type="dxa"/>
              <w:right w:w="120" w:type="dxa"/>
            </w:tcMar>
            <w:vAlign w:val="center"/>
            <w:shd w:fill="f8fafc"/>
          </w:tcPr>
          <w:p>
            <w:pPr>
              <w:spacing w:before="40" w:after="40"/>
            </w:pPr>
            <w:r>
              <w:rPr>
                <w:color w:val="1E293B"/>
                <w:sz w:val="18"/>
              </w:rPr>
              <w:t>Terminal CLI</w:t>
            </w:r>
          </w:p>
        </w:tc>
        <w:tc>
          <w:tcPr>
            <w:tcW w:type="dxa" w:w="4176"/>
            <w:tcMar>
              <w:top w:w="100" w:type="dxa"/>
              <w:bottom w:w="100" w:type="dxa"/>
              <w:left w:w="120" w:type="dxa"/>
              <w:right w:w="120" w:type="dxa"/>
            </w:tcMar>
            <w:vAlign w:val="center"/>
            <w:shd w:fill="f8fafc"/>
          </w:tcPr>
          <w:p>
            <w:pPr>
              <w:spacing w:before="40" w:after="40"/>
            </w:pPr>
            <w:r>
              <w:rPr>
                <w:color w:val="1E293B"/>
                <w:sz w:val="18"/>
              </w:rPr>
              <w:t>Interactive command line tool with rich colored progress bars (`cryptoflow encrypt`, `decrypt`, `benchmark`).</w:t>
            </w:r>
          </w:p>
        </w:tc>
      </w:tr>
    </w:tbl>
    <w:p>
      <w:pPr>
        <w:pStyle w:val="Heading1"/>
        <w:spacing w:before="320"/>
      </w:pPr>
      <w:r>
        <w:t>Chapter 9: The Software Stack &amp; Scientific Libraries</w:t>
      </w:r>
    </w:p>
    <w:p>
      <w:pPr>
        <w:spacing w:before="60" w:after="60"/>
      </w:pPr>
      <w:r>
        <w:rPr>
          <w:b/>
          <w:color w:val="0284C7"/>
        </w:rPr>
        <w:t>📦 cryptography (Python Core Engine):</w:t>
        <w:br/>
      </w:r>
      <w:r>
        <w:rPr>
          <w:sz w:val="20"/>
        </w:rPr>
        <w:t>Industry standard, auditable Python cryptography package powered by C/OpenSSL under the hood. Provides hardware-accelerated AES-NI, GCM, HMAC, and constant-time math.</w:t>
      </w:r>
    </w:p>
    <w:p>
      <w:pPr>
        <w:spacing w:before="60" w:after="60"/>
      </w:pPr>
      <w:r>
        <w:rPr>
          <w:b/>
          <w:color w:val="0284C7"/>
        </w:rPr>
        <w:t>📦 Python Standard Library math &amp; collections:</w:t>
        <w:br/>
      </w:r>
      <w:r>
        <w:rPr>
          <w:sz w:val="20"/>
        </w:rPr>
        <w:t>Used for microsecond zero-dependency computation of Shannon Entropy and Dirichlet distributions without heavy ML weight files.</w:t>
      </w:r>
    </w:p>
    <w:p>
      <w:pPr>
        <w:spacing w:before="60" w:after="60"/>
      </w:pPr>
      <w:r>
        <w:rPr>
          <w:b/>
          <w:color w:val="0284C7"/>
        </w:rPr>
        <w:t>📦 fastapi &amp; uvicorn (Backend API):</w:t>
        <w:br/>
      </w:r>
      <w:r>
        <w:rPr>
          <w:sz w:val="20"/>
        </w:rPr>
        <w:t>High-performance asynchronous Python web framework providing REST API endpoints and real-time WebSockets for live stage streaming.</w:t>
      </w:r>
    </w:p>
    <w:p>
      <w:pPr>
        <w:spacing w:before="60" w:after="60"/>
      </w:pPr>
      <w:r>
        <w:rPr>
          <w:b/>
          <w:color w:val="0284C7"/>
        </w:rPr>
        <w:t>📦 typer &amp; rich (Command Line Interface):</w:t>
        <w:br/>
      </w:r>
      <w:r>
        <w:rPr>
          <w:sz w:val="20"/>
        </w:rPr>
        <w:t>Creates beautiful, colorful terminal commands, interactive progress animations, and formatted tables for clinical workstation use.</w:t>
      </w:r>
    </w:p>
    <w:p>
      <w:pPr>
        <w:spacing w:before="60" w:after="60"/>
      </w:pPr>
      <w:r>
        <w:rPr>
          <w:b/>
          <w:color w:val="0284C7"/>
        </w:rPr>
        <w:t>📦 pydantic (Schema &amp; Data Validation):</w:t>
        <w:br/>
      </w:r>
      <w:r>
        <w:rPr>
          <w:sz w:val="20"/>
        </w:rPr>
        <w:t>Validates API payloads and ensures strict type integrity across data transfers.</w:t>
      </w:r>
    </w:p>
    <w:p>
      <w:pPr>
        <w:spacing w:before="60" w:after="60"/>
      </w:pPr>
      <w:r>
        <w:rPr>
          <w:b/>
          <w:color w:val="0284C7"/>
        </w:rPr>
        <w:t>📦 pytest &amp; pytest-cov (Automated Testing):</w:t>
        <w:br/>
      </w:r>
      <w:r>
        <w:rPr>
          <w:sz w:val="20"/>
        </w:rPr>
        <w:t>Test runner executing all 76 unit and integration tests with &gt;92% test coverage.</w:t>
      </w:r>
    </w:p>
    <w:p>
      <w:pPr>
        <w:spacing w:before="60" w:after="60"/>
      </w:pPr>
      <w:r>
        <w:rPr>
          <w:b/>
          <w:color w:val="0284C7"/>
        </w:rPr>
        <w:t>📦 react &amp; tailwindcss (Frontend Web UI):</w:t>
        <w:br/>
      </w:r>
      <w:r>
        <w:rPr>
          <w:sz w:val="20"/>
        </w:rPr>
        <w:t>Interactive web portal styled with an academic editorial newsletter theme for visual inspection, attack sandboxing, and live demonstrations.</w:t>
      </w:r>
    </w:p>
    <w:p>
      <w:pPr>
        <w:pStyle w:val="Heading1"/>
        <w:spacing w:before="320"/>
      </w:pPr>
      <w:r>
        <w:t>Chapter 10: Quick Interview &amp; Presentation Cheat Sheet</w:t>
      </w:r>
    </w:p>
    <w:tbl>
      <w:tblPr>
        <w:tblW w:type="auto" w:w="0"/>
        <w:jc w:val="center"/>
        <w:tblLayout w:type="fixed"/>
        <w:tblLook w:firstColumn="1" w:firstRow="1" w:lastColumn="0" w:lastRow="0" w:noHBand="0" w:noVBand="1" w:val="04A0"/>
      </w:tblPr>
      <w:tblGrid>
        <w:gridCol w:w="9360"/>
      </w:tblGrid>
      <w:tr>
        <w:tc>
          <w:tcPr>
            <w:tcW w:type="dxa" w:w="9360"/>
            <w:shd w:fill="ecfdf5"/>
            <w:tcMar>
              <w:top w:w="140" w:type="dxa"/>
              <w:bottom w:w="140" w:type="dxa"/>
              <w:left w:w="200" w:type="dxa"/>
              <w:right w:w="200" w:type="dxa"/>
            </w:tcMar>
            <w:tcBorders>
              <w:top w:val="none"/>
              <w:left w:val="single" w:sz="36" w:space="0" w:color="059669"/>
              <w:bottom w:val="none"/>
              <w:right w:val="none"/>
            </w:tcBorders>
          </w:tcPr>
          <w:p>
            <w:pPr>
              <w:spacing w:before="40" w:after="80"/>
            </w:pPr>
            <w:r>
              <w:rPr>
                <w:b/>
                <w:color w:val="059669"/>
                <w:sz w:val="22"/>
              </w:rPr>
              <w:t>🏆 How to Describe CryptoFlow in 30 Seconds (The Elevator Pitch)</w:t>
              <w:br/>
            </w:r>
            <w:r>
              <w:rPr>
                <w:color w:val="334155"/>
                <w:sz w:val="20"/>
              </w:rPr>
              <w:t>'CryptoFlow is an applied cryptographic and uncertainty-aware framework designed for multimodal healthcare records (DICOM scans, radiology notes, and EHR metadata). Standard healthcare systems encrypt files individually, leaving them vulnerable to cross-patient decoupling attacks where an adversary swaps a healthy report into a sick patient's record undetected. CryptoFlow solves this through a 6-stage deterministic pipeline: (1) Normalizing files into uniform binary headers, (2) Evaluating data quality and missing-modality uncertainty via Dempster-Shafer Theory and Deep Evidential Learning, (3) Deriving isolated CSPRNG keys, (4) Encrypting with AES-256-GCM, (5) Welding all modalities with a deterministic HMAC-SHA-256 binding invariant, and (6) Packaging into an atomic .cryptoflow container. It achieves &gt;120 MB/s throughput, &lt;0.01% storage overhead, 100% mitigation across 7 cyberattack vectors, and passes all 76 automated test gates.'</w:t>
            </w:r>
          </w:p>
        </w:tc>
      </w:tr>
    </w:tbl>
    <w:p>
      <w:pPr>
        <w:spacing w:after="120"/>
      </w:pPr>
    </w:p>
    <w:p>
      <w:pPr>
        <w:pStyle w:val="Heading2"/>
      </w:pPr>
      <w:r>
        <w:t>Top 4 Interview Q&amp;As</w:t>
      </w:r>
    </w:p>
    <w:p>
      <w:pPr>
        <w:spacing w:before="80" w:after="80"/>
      </w:pPr>
      <w:r>
        <w:rPr>
          <w:b/>
          <w:color w:val="0F172A"/>
        </w:rPr>
        <w:t>Q1: Why not just use a ZIP file with a password?</w:t>
        <w:br/>
      </w:r>
      <w:r>
        <w:rPr>
          <w:sz w:val="20"/>
        </w:rPr>
        <w:t>A: ZIP headers leak unencrypted metadata (filenames, timestamps, folder structures) and suffer from parsing vulnerabilities. Furthermore, ZIP does not support deterministic cross-modal HMAC binding, RSA-OAEP digital envelope key decoupling, or pre-encryption uncertainty quantification.</w:t>
      </w:r>
    </w:p>
    <w:p>
      <w:pPr>
        <w:spacing w:before="80" w:after="80"/>
      </w:pPr>
      <w:r>
        <w:rPr>
          <w:b/>
          <w:color w:val="0F172A"/>
        </w:rPr>
        <w:t>Q2: Why did you compare both DST and DEL instead of just picking one?</w:t>
        <w:br/>
      </w:r>
      <w:r>
        <w:rPr>
          <w:sz w:val="20"/>
        </w:rPr>
        <w:t>A: They represent two distinct epistemological traditions! Dempster-Shafer Theory (1976) is a classical evidence framework that rapidly converges and excels at detecting inter-modality conflict (K). Deep Evidential Learning (2018) is a modern Dirichlet-based approach that is more conservative, maintaining an explicit measure of evidence accumulation (u = K/S). Comparing them head-to-head on identical clinical bytes is an academic world-first.</w:t>
      </w:r>
    </w:p>
    <w:p>
      <w:pPr>
        <w:spacing w:before="80" w:after="80"/>
      </w:pPr>
      <w:r>
        <w:rPr>
          <w:b/>
          <w:color w:val="0F172A"/>
        </w:rPr>
        <w:t>Q3: Does the Uncertainty Quantification stage slow down emergency medical transmissions?</w:t>
        <w:br/>
      </w:r>
      <w:r>
        <w:rPr>
          <w:sz w:val="20"/>
        </w:rPr>
        <w:t>A: No! Because we derive features (Shannon entropy, size conformance, header magic) directly from byte distributions using standard math rather than running heavy neural networks, the entire UQ stage completes in under 3 milliseconds!</w:t>
      </w:r>
    </w:p>
    <w:p>
      <w:pPr>
        <w:spacing w:before="80" w:after="80"/>
      </w:pPr>
      <w:r>
        <w:rPr>
          <w:b/>
          <w:color w:val="0F172A"/>
        </w:rPr>
        <w:t>Q4: What happens if an adversary tries to forge the HMAC binding hash in the manifest?</w:t>
        <w:br/>
      </w:r>
      <w:r>
        <w:rPr>
          <w:sz w:val="20"/>
        </w:rPr>
        <w:t>A: In Chapter 7, Attack Vector 6 (Manifest Forgery) proves that during decryption, the recipient recomputes the HMAC hash from the actual received ciphertext slices. Because the attacker does not possess the secret binding key stored in the out-of-band keyring, their forged hash will not match the recomputed hash. The system instantly halts!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