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891B2"/>
          <w:sz w:val="22"/>
        </w:rPr>
        <w:t>PROJECT ENGINEERING &amp; RESEARCH JOURNAL</w:t>
        <w:br/>
      </w:r>
      <w:r>
        <w:rPr>
          <w:b/>
          <w:color w:val="0F172A"/>
          <w:sz w:val="44"/>
        </w:rPr>
        <w:t>CryptoFlow: Multimodal Medical Data Encryption &amp; Cross-Modal Integrity Binding</w:t>
      </w:r>
    </w:p>
    <w:p>
      <w:pPr>
        <w:spacing w:before="80" w:after="360"/>
      </w:pPr>
      <w:r>
        <w:rPr>
          <w:i/>
          <w:color w:val="475569"/>
          <w:sz w:val="24"/>
        </w:rPr>
        <w:t>A Comprehensive Chronological Account of Architectural Design Decisions, Cryptographic Formulations, Trade-Off Analyses, Threat Simulations, and Experimental Benchmarks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b/>
                <w:color w:val="64748B"/>
                <w:sz w:val="16"/>
              </w:rPr>
              <w:t>Author / Lead</w:t>
              <w:br/>
            </w:r>
            <w:r>
              <w:rPr>
                <w:b/>
                <w:color w:val="0F172A"/>
                <w:sz w:val="19"/>
              </w:rPr>
              <w:t>Devansh</w:t>
            </w:r>
          </w:p>
        </w:tc>
        <w:tc>
          <w:tcPr>
            <w:tcW w:type="dxa" w:w="2304"/>
            <w:shd w:fill="f1f5f9"/>
            <w:tcMar>
              <w:top w:w="60" w:type="dxa"/>
              <w:bottom w:w="60" w:type="dxa"/>
              <w:left w:w="80" w:type="dxa"/>
              <w:right w:w="80" w:type="dxa"/>
            </w:tcMar>
          </w:tcPr>
          <w:p>
            <w:r>
              <w:rPr>
                <w:b/>
                <w:color w:val="64748B"/>
                <w:sz w:val="16"/>
              </w:rPr>
              <w:t>Date</w:t>
              <w:br/>
            </w:r>
            <w:r>
              <w:rPr>
                <w:b/>
                <w:color w:val="0F172A"/>
                <w:sz w:val="19"/>
              </w:rPr>
              <w:t>August 2026</w:t>
            </w:r>
          </w:p>
        </w:tc>
        <w:tc>
          <w:tcPr>
            <w:tcW w:type="dxa" w:w="2304"/>
            <w:shd w:fill="f1f5f9"/>
            <w:tcMar>
              <w:top w:w="60" w:type="dxa"/>
              <w:bottom w:w="60" w:type="dxa"/>
              <w:left w:w="80" w:type="dxa"/>
              <w:right w:w="80" w:type="dxa"/>
            </w:tcMar>
          </w:tcPr>
          <w:p>
            <w:r>
              <w:rPr>
                <w:b/>
                <w:color w:val="64748B"/>
                <w:sz w:val="16"/>
              </w:rPr>
              <w:t>Status</w:t>
              <w:br/>
            </w:r>
            <w:r>
              <w:rPr>
                <w:b/>
                <w:color w:val="0F172A"/>
                <w:sz w:val="19"/>
              </w:rPr>
              <w:t>Production &amp; Research Ready</w:t>
            </w:r>
          </w:p>
        </w:tc>
        <w:tc>
          <w:tcPr>
            <w:tcW w:type="dxa" w:w="2448"/>
            <w:shd w:fill="f1f5f9"/>
            <w:tcMar>
              <w:top w:w="60" w:type="dxa"/>
              <w:bottom w:w="60" w:type="dxa"/>
              <w:left w:w="80" w:type="dxa"/>
              <w:right w:w="80" w:type="dxa"/>
            </w:tcMar>
          </w:tcPr>
          <w:p>
            <w:r>
              <w:rPr>
                <w:b/>
                <w:color w:val="64748B"/>
                <w:sz w:val="16"/>
              </w:rPr>
              <w:t>Code Repository</w:t>
              <w:br/>
            </w:r>
            <w:r>
              <w:rPr>
                <w:b/>
                <w:color w:val="0F172A"/>
                <w:sz w:val="19"/>
              </w:rPr>
              <w:t>devantaris/cryptoflow</w:t>
            </w:r>
          </w:p>
        </w:tc>
      </w:tr>
    </w:tbl>
    <w:p>
      <w:pPr>
        <w:spacing w:after="320"/>
      </w:pPr>
    </w:p>
    <w:p>
      <w:pPr>
        <w:pStyle w:val="Heading1"/>
        <w:spacing w:before="280" w:after="120"/>
      </w:pPr>
      <w:r>
        <w:t>1. Executive Summary &amp; Problem Context</w:t>
      </w:r>
    </w:p>
    <w:p>
      <w:r>
        <w:t>In modern healthcare infrastructure, patient diagnostic encounters are inherently multimodal. A routine clinical workflow typically bundles three distinct artifacts: (1) High-resolution radiological imaging (e.g., DICOM volumetric CT scans or MRI slices), (2) Textual clinical interpretations (radiologist reports, impression summaries, diagnostic findings), and (3) Structured electronic health record metadata (demographic identifiers, vital signs, allergy profiles, and prescribed drug dosages).</w:t>
      </w:r>
    </w:p>
    <w:p>
      <w:r>
        <w:t>While conventional security solutions encrypt files independently at rest or during transport (e.g., TLS tunnels or standalone PGP wrappers), they suffer from a catastrophic vulnerability termed Cross-Modal Decoupling Attacks. Because modalities are treated as isolated binary streams, an adversary, insider, or software routing glitch can swap Patient A's CT scan with Patient B's report, tamper with dosage numbers in metadata, or inject fraudulent records. Every individual file passes per-file decryption checks, yet the resulting medical payload presents a fatal mismatch—potentially directing a surgeon to operate on the wrong patient or administering a tenfold overdose.</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891b2"/>
              <w:bottom w:val="none"/>
              <w:right w:val="none"/>
            </w:tcBorders>
          </w:tcPr>
          <w:p>
            <w:pPr>
              <w:spacing w:before="40" w:after="80"/>
            </w:pPr>
            <w:r>
              <w:rPr>
                <w:b/>
                <w:color w:val="0891B2"/>
                <w:sz w:val="22"/>
              </w:rPr>
              <w:t>🔐 Layman Explanation: The Envelope &amp; Royal Seal Analogy</w:t>
              <w:br/>
            </w:r>
            <w:r>
              <w:rPr>
                <w:color w:val="334155"/>
                <w:sz w:val="20"/>
              </w:rPr>
              <w:t>Imagine sending three sealed envelopes: one with a photo, one with a letter, and one with an ID card. If a thief replaces the letter in Envelope 2 with someone else's letter, you would open Envelope 2 and read it without knowing it belongs to a stranger—because the envelope's own lock was intact. CryptoFlow acts like dipping a single royal wax ribbon across all three boxes simultaneously. If anyone swaps, opens, or tampers with even one box, the master ribbon snaps, instantly alerting doctors before any harm is done.</w:t>
            </w:r>
          </w:p>
        </w:tc>
      </w:tr>
    </w:tbl>
    <w:p>
      <w:pPr>
        <w:spacing w:after="120"/>
      </w:pPr>
    </w:p>
    <w:p>
      <w:pPr>
        <w:pStyle w:val="Heading1"/>
        <w:spacing w:before="280" w:after="120"/>
      </w:pPr>
      <w:r>
        <w:t>2. Chronological Engineering Evolution</w:t>
      </w:r>
    </w:p>
    <w:p>
      <w:r>
        <w:t>The project evolved through a rigorous, checkpoint-driven development lifecycle structured across 7 distinct phases. Each stage built sequentially upon empirical findings and verified mathematical proofs.</w:t>
      </w:r>
    </w:p>
    <w:tbl>
      <w:tblPr>
        <w:tblW w:type="auto" w:w="0"/>
        <w:jc w:val="center"/>
        <w:tblLook w:firstColumn="1" w:firstRow="1" w:lastColumn="0" w:lastRow="0" w:noHBand="0" w:noVBand="1" w:val="04A0"/>
      </w:tblPr>
      <w:tblGrid>
        <w:gridCol w:w="4680"/>
        <w:gridCol w:w="4680"/>
      </w:tblGrid>
      <w:tr>
        <w:trPr>
          <w:cantSplit/>
          <w:tblHeader/>
        </w:trPr>
        <w:tc>
          <w:tcPr>
            <w:tcW w:type="dxa" w:w="3168"/>
            <w:tcMar>
              <w:top w:w="100" w:type="dxa"/>
              <w:bottom w:w="100" w:type="dxa"/>
              <w:left w:w="120" w:type="dxa"/>
              <w:right w:w="120" w:type="dxa"/>
            </w:tcMar>
            <w:vAlign w:val="center"/>
            <w:shd w:fill="1e293b"/>
          </w:tcPr>
          <w:p>
            <w:pPr>
              <w:spacing w:before="40" w:after="40"/>
            </w:pPr>
            <w:r>
              <w:rPr>
                <w:b/>
                <w:color w:val="FFFFFF"/>
                <w:sz w:val="19"/>
              </w:rPr>
              <w:t>Project Phase</w:t>
            </w:r>
          </w:p>
        </w:tc>
        <w:tc>
          <w:tcPr>
            <w:tcW w:type="dxa" w:w="6192"/>
            <w:tcMar>
              <w:top w:w="100" w:type="dxa"/>
              <w:bottom w:w="100" w:type="dxa"/>
              <w:left w:w="120" w:type="dxa"/>
              <w:right w:w="120" w:type="dxa"/>
            </w:tcMar>
            <w:vAlign w:val="center"/>
            <w:shd w:fill="1e293b"/>
          </w:tcPr>
          <w:p>
            <w:pPr>
              <w:spacing w:before="40" w:after="40"/>
            </w:pPr>
            <w:r>
              <w:rPr>
                <w:b/>
                <w:color w:val="FFFFFF"/>
                <w:sz w:val="19"/>
              </w:rPr>
              <w:t>Core Deliverables &amp; Architectural Innovations</w:t>
            </w:r>
          </w:p>
        </w:tc>
      </w:tr>
      <w:tr>
        <w:trPr>
          <w:cantSplit/>
        </w:trPr>
        <w:tc>
          <w:tcPr>
            <w:tcW w:type="dxa" w:w="3168"/>
            <w:tcMar>
              <w:top w:w="100" w:type="dxa"/>
              <w:bottom w:w="100" w:type="dxa"/>
              <w:left w:w="120" w:type="dxa"/>
              <w:right w:w="120" w:type="dxa"/>
            </w:tcMar>
            <w:vAlign w:val="center"/>
            <w:shd w:fill="ffffff"/>
          </w:tcPr>
          <w:p>
            <w:pPr>
              <w:spacing w:before="40" w:after="40"/>
            </w:pPr>
            <w:r>
              <w:rPr>
                <w:color w:val="1E293B"/>
                <w:sz w:val="18"/>
              </w:rPr>
              <w:t>Phase 0: Discovery &amp; Scoping</w:t>
            </w:r>
          </w:p>
        </w:tc>
        <w:tc>
          <w:tcPr>
            <w:tcW w:type="dxa" w:w="6192"/>
            <w:tcMar>
              <w:top w:w="100" w:type="dxa"/>
              <w:bottom w:w="100" w:type="dxa"/>
              <w:left w:w="120" w:type="dxa"/>
              <w:right w:w="120" w:type="dxa"/>
            </w:tcMar>
            <w:vAlign w:val="center"/>
            <w:shd w:fill="ffffff"/>
          </w:tcPr>
          <w:p>
            <w:pPr>
              <w:spacing w:before="40" w:after="40"/>
            </w:pPr>
            <w:r>
              <w:rPr>
                <w:color w:val="1E293B"/>
                <w:sz w:val="18"/>
              </w:rPr>
              <w:t>Analyzed HTML educational prototype. Defined problem statement, user stories, security constraints, and research paper deliverables.</w:t>
            </w:r>
          </w:p>
        </w:tc>
      </w:tr>
      <w:tr>
        <w:trPr>
          <w:cantSplit/>
        </w:trPr>
        <w:tc>
          <w:tcPr>
            <w:tcW w:type="dxa" w:w="3168"/>
            <w:tcMar>
              <w:top w:w="100" w:type="dxa"/>
              <w:bottom w:w="100" w:type="dxa"/>
              <w:left w:w="120" w:type="dxa"/>
              <w:right w:w="120" w:type="dxa"/>
            </w:tcMar>
            <w:vAlign w:val="center"/>
            <w:shd w:fill="f8fafc"/>
          </w:tcPr>
          <w:p>
            <w:pPr>
              <w:spacing w:before="40" w:after="40"/>
            </w:pPr>
            <w:r>
              <w:rPr>
                <w:color w:val="1E293B"/>
                <w:sz w:val="18"/>
              </w:rPr>
              <w:t>Phase 1: Scaffolding &amp; Data Modeling</w:t>
            </w:r>
          </w:p>
        </w:tc>
        <w:tc>
          <w:tcPr>
            <w:tcW w:type="dxa" w:w="6192"/>
            <w:tcMar>
              <w:top w:w="100" w:type="dxa"/>
              <w:bottom w:w="100" w:type="dxa"/>
              <w:left w:w="120" w:type="dxa"/>
              <w:right w:w="120" w:type="dxa"/>
            </w:tcMar>
            <w:vAlign w:val="center"/>
            <w:shd w:fill="f8fafc"/>
          </w:tcPr>
          <w:p>
            <w:pPr>
              <w:spacing w:before="40" w:after="40"/>
            </w:pPr>
            <w:r>
              <w:rPr>
                <w:color w:val="1E293B"/>
                <w:sz w:val="18"/>
              </w:rPr>
              <w:t>Created clean project architecture, strict typed models (ModalityType, NormalizedBlob, KeyRing, BundleManifest), and custom exception hierarchy.</w:t>
            </w:r>
          </w:p>
        </w:tc>
      </w:tr>
      <w:tr>
        <w:trPr>
          <w:cantSplit/>
        </w:trPr>
        <w:tc>
          <w:tcPr>
            <w:tcW w:type="dxa" w:w="3168"/>
            <w:tcMar>
              <w:top w:w="100" w:type="dxa"/>
              <w:bottom w:w="100" w:type="dxa"/>
              <w:left w:w="120" w:type="dxa"/>
              <w:right w:w="120" w:type="dxa"/>
            </w:tcMar>
            <w:vAlign w:val="center"/>
            <w:shd w:fill="ffffff"/>
          </w:tcPr>
          <w:p>
            <w:pPr>
              <w:spacing w:before="40" w:after="40"/>
            </w:pPr>
            <w:r>
              <w:rPr>
                <w:color w:val="1E293B"/>
                <w:sz w:val="18"/>
              </w:rPr>
              <w:t>Phase 2: 5-Stage Encryption Engine</w:t>
            </w:r>
          </w:p>
        </w:tc>
        <w:tc>
          <w:tcPr>
            <w:tcW w:type="dxa" w:w="6192"/>
            <w:tcMar>
              <w:top w:w="100" w:type="dxa"/>
              <w:bottom w:w="100" w:type="dxa"/>
              <w:left w:w="120" w:type="dxa"/>
              <w:right w:w="120" w:type="dxa"/>
            </w:tcMar>
            <w:vAlign w:val="center"/>
            <w:shd w:fill="ffffff"/>
          </w:tcPr>
          <w:p>
            <w:pPr>
              <w:spacing w:before="40" w:after="40"/>
            </w:pPr>
            <w:r>
              <w:rPr>
                <w:color w:val="1E293B"/>
                <w:sz w:val="18"/>
              </w:rPr>
              <w:t>Built Stage 1 Ingest (64-byte headers), Stage 2 CSPRNG KeyGen, Stage 3 AES-256-GCM AEAD, Stage 4 HMAC-SHA-256 Cross-Modal Binding, Stage 5 Binary Packaging.</w:t>
            </w:r>
          </w:p>
        </w:tc>
      </w:tr>
      <w:tr>
        <w:trPr>
          <w:cantSplit/>
        </w:trPr>
        <w:tc>
          <w:tcPr>
            <w:tcW w:type="dxa" w:w="3168"/>
            <w:tcMar>
              <w:top w:w="100" w:type="dxa"/>
              <w:bottom w:w="100" w:type="dxa"/>
              <w:left w:w="120" w:type="dxa"/>
              <w:right w:w="120" w:type="dxa"/>
            </w:tcMar>
            <w:vAlign w:val="center"/>
            <w:shd w:fill="f8fafc"/>
          </w:tcPr>
          <w:p>
            <w:pPr>
              <w:spacing w:before="40" w:after="40"/>
            </w:pPr>
            <w:r>
              <w:rPr>
                <w:color w:val="1E293B"/>
                <w:sz w:val="18"/>
              </w:rPr>
              <w:t>Phase 3: Decryption &amp; Verification</w:t>
            </w:r>
          </w:p>
        </w:tc>
        <w:tc>
          <w:tcPr>
            <w:tcW w:type="dxa" w:w="6192"/>
            <w:tcMar>
              <w:top w:w="100" w:type="dxa"/>
              <w:bottom w:w="100" w:type="dxa"/>
              <w:left w:w="120" w:type="dxa"/>
              <w:right w:w="120" w:type="dxa"/>
            </w:tcMar>
            <w:vAlign w:val="center"/>
            <w:shd w:fill="f8fafc"/>
          </w:tcPr>
          <w:p>
            <w:pPr>
              <w:spacing w:before="40" w:after="40"/>
            </w:pPr>
            <w:r>
              <w:rPr>
                <w:color w:val="1E293B"/>
                <w:sz w:val="18"/>
              </w:rPr>
              <w:t>Implemented reverse pipeline: header extraction, constant-time binding hash verification, per-blob GCM authentication, header stripping, byte-perfect recovery.</w:t>
            </w:r>
          </w:p>
        </w:tc>
      </w:tr>
      <w:tr>
        <w:trPr>
          <w:cantSplit/>
        </w:trPr>
        <w:tc>
          <w:tcPr>
            <w:tcW w:type="dxa" w:w="3168"/>
            <w:tcMar>
              <w:top w:w="100" w:type="dxa"/>
              <w:bottom w:w="100" w:type="dxa"/>
              <w:left w:w="120" w:type="dxa"/>
              <w:right w:w="120" w:type="dxa"/>
            </w:tcMar>
            <w:vAlign w:val="center"/>
            <w:shd w:fill="ffffff"/>
          </w:tcPr>
          <w:p>
            <w:pPr>
              <w:spacing w:before="40" w:after="40"/>
            </w:pPr>
            <w:r>
              <w:rPr>
                <w:color w:val="1E293B"/>
                <w:sz w:val="18"/>
              </w:rPr>
              <w:t>Phase 4: Synthetic Generator &amp; CLI</w:t>
            </w:r>
          </w:p>
        </w:tc>
        <w:tc>
          <w:tcPr>
            <w:tcW w:type="dxa" w:w="6192"/>
            <w:tcMar>
              <w:top w:w="100" w:type="dxa"/>
              <w:bottom w:w="100" w:type="dxa"/>
              <w:left w:w="120" w:type="dxa"/>
              <w:right w:w="120" w:type="dxa"/>
            </w:tcMar>
            <w:vAlign w:val="center"/>
            <w:shd w:fill="ffffff"/>
          </w:tcPr>
          <w:p>
            <w:pPr>
              <w:spacing w:before="40" w:after="40"/>
            </w:pPr>
            <w:r>
              <w:rPr>
                <w:color w:val="1E293B"/>
                <w:sz w:val="18"/>
              </w:rPr>
              <w:t>Constructed realistic DICOM/report/JSON data generator and rich Typer/Rich CLI interface for full pipeline orchestration.</w:t>
            </w:r>
          </w:p>
        </w:tc>
      </w:tr>
      <w:tr>
        <w:trPr>
          <w:cantSplit/>
        </w:trPr>
        <w:tc>
          <w:tcPr>
            <w:tcW w:type="dxa" w:w="3168"/>
            <w:tcMar>
              <w:top w:w="100" w:type="dxa"/>
              <w:bottom w:w="100" w:type="dxa"/>
              <w:left w:w="120" w:type="dxa"/>
              <w:right w:w="120" w:type="dxa"/>
            </w:tcMar>
            <w:vAlign w:val="center"/>
            <w:shd w:fill="f8fafc"/>
          </w:tcPr>
          <w:p>
            <w:pPr>
              <w:spacing w:before="40" w:after="40"/>
            </w:pPr>
            <w:r>
              <w:rPr>
                <w:color w:val="1E293B"/>
                <w:sz w:val="18"/>
              </w:rPr>
              <w:t>Phase 5: Attack Simulation &amp; Benchmarking</w:t>
            </w:r>
          </w:p>
        </w:tc>
        <w:tc>
          <w:tcPr>
            <w:tcW w:type="dxa" w:w="6192"/>
            <w:tcMar>
              <w:top w:w="100" w:type="dxa"/>
              <w:bottom w:w="100" w:type="dxa"/>
              <w:left w:w="120" w:type="dxa"/>
              <w:right w:w="120" w:type="dxa"/>
            </w:tcMar>
            <w:vAlign w:val="center"/>
            <w:shd w:fill="f8fafc"/>
          </w:tcPr>
          <w:p>
            <w:pPr>
              <w:spacing w:before="40" w:after="40"/>
            </w:pPr>
            <w:r>
              <w:rPr>
                <w:color w:val="1E293B"/>
                <w:sz w:val="18"/>
              </w:rPr>
              <w:t>Constructed 7 cyberattack simulation vectors (100% detection rate) and empirical benchmark harness with publication-ready matplotlib figures.</w:t>
            </w:r>
          </w:p>
        </w:tc>
      </w:tr>
      <w:tr>
        <w:trPr>
          <w:cantSplit/>
        </w:trPr>
        <w:tc>
          <w:tcPr>
            <w:tcW w:type="dxa" w:w="3168"/>
            <w:tcMar>
              <w:top w:w="100" w:type="dxa"/>
              <w:bottom w:w="100" w:type="dxa"/>
              <w:left w:w="120" w:type="dxa"/>
              <w:right w:w="120" w:type="dxa"/>
            </w:tcMar>
            <w:vAlign w:val="center"/>
            <w:shd w:fill="ffffff"/>
          </w:tcPr>
          <w:p>
            <w:pPr>
              <w:spacing w:before="40" w:after="40"/>
            </w:pPr>
            <w:r>
              <w:rPr>
                <w:color w:val="1E293B"/>
                <w:sz w:val="18"/>
              </w:rPr>
              <w:t>Phase 6: Quality Gates &amp; Testing</w:t>
            </w:r>
          </w:p>
        </w:tc>
        <w:tc>
          <w:tcPr>
            <w:tcW w:type="dxa" w:w="6192"/>
            <w:tcMar>
              <w:top w:w="100" w:type="dxa"/>
              <w:bottom w:w="100" w:type="dxa"/>
              <w:left w:w="120" w:type="dxa"/>
              <w:right w:w="120" w:type="dxa"/>
            </w:tcMar>
            <w:vAlign w:val="center"/>
            <w:shd w:fill="ffffff"/>
          </w:tcPr>
          <w:p>
            <w:pPr>
              <w:spacing w:before="40" w:after="40"/>
            </w:pPr>
            <w:r>
              <w:rPr>
                <w:color w:val="1E293B"/>
                <w:sz w:val="18"/>
              </w:rPr>
              <w:t>Authored comprehensive Pytest suite (20/20 tests passing, 92% code coverage, zero lint/typing errors), research README, and Git repository publishing.</w:t>
            </w:r>
          </w:p>
        </w:tc>
      </w:tr>
    </w:tbl>
    <w:p>
      <w:pPr>
        <w:spacing w:after="160"/>
      </w:pPr>
    </w:p>
    <w:p>
      <w:pPr>
        <w:pStyle w:val="Heading1"/>
        <w:spacing w:before="280" w:after="120"/>
      </w:pPr>
      <w:r>
        <w:t>3. In-Depth Architectural Trade-Off Analyses</w:t>
      </w:r>
    </w:p>
    <w:p>
      <w:r>
        <w:t>A primary contribution of this research is the deliberate evaluation of cryptographic and architectural alternatives. Below is a deep comparative matrix explaining why specific algorithms and data representations were selected over viable alternatives.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tcMar>
              <w:top w:w="100" w:type="dxa"/>
              <w:bottom w:w="100" w:type="dxa"/>
              <w:left w:w="120" w:type="dxa"/>
              <w:right w:w="120" w:type="dxa"/>
            </w:tcMar>
            <w:vAlign w:val="center"/>
            <w:shd w:fill="0f766e"/>
          </w:tcPr>
          <w:p>
            <w:pPr>
              <w:spacing w:before="40" w:after="40"/>
            </w:pPr>
            <w:r>
              <w:rPr>
                <w:b/>
                <w:color w:val="FFFFFF"/>
                <w:sz w:val="19"/>
              </w:rPr>
              <w:t>Design Dimension</w:t>
            </w:r>
          </w:p>
        </w:tc>
        <w:tc>
          <w:tcPr>
            <w:tcW w:type="dxa" w:w="2016"/>
            <w:tcMar>
              <w:top w:w="100" w:type="dxa"/>
              <w:bottom w:w="100" w:type="dxa"/>
              <w:left w:w="120" w:type="dxa"/>
              <w:right w:w="120" w:type="dxa"/>
            </w:tcMar>
            <w:vAlign w:val="center"/>
            <w:shd w:fill="0f766e"/>
          </w:tcPr>
          <w:p>
            <w:pPr>
              <w:spacing w:before="40" w:after="40"/>
            </w:pPr>
            <w:r>
              <w:rPr>
                <w:b/>
                <w:color w:val="FFFFFF"/>
                <w:sz w:val="19"/>
              </w:rPr>
              <w:t>Chosen Strategy</w:t>
            </w:r>
          </w:p>
        </w:tc>
        <w:tc>
          <w:tcPr>
            <w:tcW w:type="dxa" w:w="2016"/>
            <w:tcMar>
              <w:top w:w="100" w:type="dxa"/>
              <w:bottom w:w="100" w:type="dxa"/>
              <w:left w:w="120" w:type="dxa"/>
              <w:right w:w="120" w:type="dxa"/>
            </w:tcMar>
            <w:vAlign w:val="center"/>
            <w:shd w:fill="0f766e"/>
          </w:tcPr>
          <w:p>
            <w:pPr>
              <w:spacing w:before="40" w:after="40"/>
            </w:pPr>
            <w:r>
              <w:rPr>
                <w:b/>
                <w:color w:val="FFFFFF"/>
                <w:sz w:val="19"/>
              </w:rPr>
              <w:t>Alternative Considered</w:t>
            </w:r>
          </w:p>
        </w:tc>
        <w:tc>
          <w:tcPr>
            <w:tcW w:type="dxa" w:w="3456"/>
            <w:tcMar>
              <w:top w:w="100" w:type="dxa"/>
              <w:bottom w:w="100" w:type="dxa"/>
              <w:left w:w="120" w:type="dxa"/>
              <w:right w:w="120" w:type="dxa"/>
            </w:tcMar>
            <w:vAlign w:val="center"/>
            <w:shd w:fill="0f766e"/>
          </w:tcPr>
          <w:p>
            <w:pPr>
              <w:spacing w:before="40" w:after="40"/>
            </w:pPr>
            <w:r>
              <w:rPr>
                <w:b/>
                <w:color w:val="FFFFFF"/>
                <w:sz w:val="19"/>
              </w:rPr>
              <w:t>Why Chosen Strategy is Superior</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1. Encryption Mode</w:t>
            </w:r>
          </w:p>
        </w:tc>
        <w:tc>
          <w:tcPr>
            <w:tcW w:type="dxa" w:w="2016"/>
            <w:tcMar>
              <w:top w:w="100" w:type="dxa"/>
              <w:bottom w:w="100" w:type="dxa"/>
              <w:left w:w="120" w:type="dxa"/>
              <w:right w:w="120" w:type="dxa"/>
            </w:tcMar>
            <w:vAlign w:val="center"/>
            <w:shd w:fill="ffffff"/>
          </w:tcPr>
          <w:p>
            <w:pPr>
              <w:spacing w:before="40" w:after="40"/>
            </w:pPr>
            <w:r>
              <w:rPr>
                <w:color w:val="1E293B"/>
                <w:sz w:val="18"/>
              </w:rPr>
              <w:t>AES-256-GCM (Authenticated AEAD)</w:t>
            </w:r>
          </w:p>
        </w:tc>
        <w:tc>
          <w:tcPr>
            <w:tcW w:type="dxa" w:w="2016"/>
            <w:tcMar>
              <w:top w:w="100" w:type="dxa"/>
              <w:bottom w:w="100" w:type="dxa"/>
              <w:left w:w="120" w:type="dxa"/>
              <w:right w:w="120" w:type="dxa"/>
            </w:tcMar>
            <w:vAlign w:val="center"/>
            <w:shd w:fill="ffffff"/>
          </w:tcPr>
          <w:p>
            <w:pPr>
              <w:spacing w:before="40" w:after="40"/>
            </w:pPr>
            <w:r>
              <w:rPr>
                <w:color w:val="1E293B"/>
                <w:sz w:val="18"/>
              </w:rPr>
              <w:t>AES-256-CBC + HMAC-SHA256 OR ChaCha20-Poly1305</w:t>
            </w:r>
          </w:p>
        </w:tc>
        <w:tc>
          <w:tcPr>
            <w:tcW w:type="dxa" w:w="3456"/>
            <w:tcMar>
              <w:top w:w="100" w:type="dxa"/>
              <w:bottom w:w="100" w:type="dxa"/>
              <w:left w:w="120" w:type="dxa"/>
              <w:right w:w="120" w:type="dxa"/>
            </w:tcMar>
            <w:vAlign w:val="center"/>
            <w:shd w:fill="ffffff"/>
          </w:tcPr>
          <w:p>
            <w:pPr>
              <w:spacing w:before="40" w:after="40"/>
            </w:pPr>
            <w:r>
              <w:rPr>
                <w:color w:val="1E293B"/>
                <w:sz w:val="18"/>
              </w:rPr>
              <w:t>AES-GCM provides both confidentiality and authentication in a single hardware-accelerated pass (via Intel/AMD AES-NI and CLMUL instructions), delivering &gt;120 MB/s throughput without separate MAC passes or padding oracle vulnerabilities.</w:t>
            </w:r>
          </w:p>
        </w:tc>
      </w:tr>
      <w:tr>
        <w:trPr>
          <w:cantSplit/>
        </w:trPr>
        <w:tc>
          <w:tcPr>
            <w:tcW w:type="dxa" w:w="1872"/>
            <w:tcMar>
              <w:top w:w="100" w:type="dxa"/>
              <w:bottom w:w="100" w:type="dxa"/>
              <w:left w:w="120" w:type="dxa"/>
              <w:right w:w="120" w:type="dxa"/>
            </w:tcMar>
            <w:vAlign w:val="center"/>
            <w:shd w:fill="f0fdfa"/>
          </w:tcPr>
          <w:p>
            <w:pPr>
              <w:spacing w:before="40" w:after="40"/>
            </w:pPr>
            <w:r>
              <w:rPr>
                <w:color w:val="1E293B"/>
                <w:sz w:val="18"/>
              </w:rPr>
              <w:t>2. Cross-Modal Binding</w:t>
            </w:r>
          </w:p>
        </w:tc>
        <w:tc>
          <w:tcPr>
            <w:tcW w:type="dxa" w:w="2016"/>
            <w:tcMar>
              <w:top w:w="100" w:type="dxa"/>
              <w:bottom w:w="100" w:type="dxa"/>
              <w:left w:w="120" w:type="dxa"/>
              <w:right w:w="120" w:type="dxa"/>
            </w:tcMar>
            <w:vAlign w:val="center"/>
            <w:shd w:fill="f0fdfa"/>
          </w:tcPr>
          <w:p>
            <w:pPr>
              <w:spacing w:before="40" w:after="40"/>
            </w:pPr>
            <w:r>
              <w:rPr>
                <w:color w:val="1E293B"/>
                <w:sz w:val="18"/>
              </w:rPr>
              <w:t>HMAC-SHA-256 (Keyed Hash)</w:t>
            </w:r>
          </w:p>
        </w:tc>
        <w:tc>
          <w:tcPr>
            <w:tcW w:type="dxa" w:w="2016"/>
            <w:tcMar>
              <w:top w:w="100" w:type="dxa"/>
              <w:bottom w:w="100" w:type="dxa"/>
              <w:left w:w="120" w:type="dxa"/>
              <w:right w:w="120" w:type="dxa"/>
            </w:tcMar>
            <w:vAlign w:val="center"/>
            <w:shd w:fill="f0fdfa"/>
          </w:tcPr>
          <w:p>
            <w:pPr>
              <w:spacing w:before="40" w:after="40"/>
            </w:pPr>
            <w:r>
              <w:rPr>
                <w:color w:val="1E293B"/>
                <w:sz w:val="18"/>
              </w:rPr>
              <w:t>Plain Unkeyed SHA-256 OR RSA Digital Signatures</w:t>
            </w:r>
          </w:p>
        </w:tc>
        <w:tc>
          <w:tcPr>
            <w:tcW w:type="dxa" w:w="3456"/>
            <w:tcMar>
              <w:top w:w="100" w:type="dxa"/>
              <w:bottom w:w="100" w:type="dxa"/>
              <w:left w:w="120" w:type="dxa"/>
              <w:right w:w="120" w:type="dxa"/>
            </w:tcMar>
            <w:vAlign w:val="center"/>
            <w:shd w:fill="f0fdfa"/>
          </w:tcPr>
          <w:p>
            <w:pPr>
              <w:spacing w:before="40" w:after="40"/>
            </w:pPr>
            <w:r>
              <w:rPr>
                <w:color w:val="1E293B"/>
                <w:sz w:val="18"/>
              </w:rPr>
              <w:t>Plain SHA-256 is vulnerable to length-extension and manipulation if the adversary alters the manifest. Digital signatures (RSA-4096 / ECDSA) introduce massive computational overhead (5-10x latency). HMAC-SHA-256 achieves symmetric cryptographic binding with zero collision risk and sub-millisecond execution.</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3. Container Format</w:t>
            </w:r>
          </w:p>
        </w:tc>
        <w:tc>
          <w:tcPr>
            <w:tcW w:type="dxa" w:w="2016"/>
            <w:tcMar>
              <w:top w:w="100" w:type="dxa"/>
              <w:bottom w:w="100" w:type="dxa"/>
              <w:left w:w="120" w:type="dxa"/>
              <w:right w:w="120" w:type="dxa"/>
            </w:tcMar>
            <w:vAlign w:val="center"/>
            <w:shd w:fill="ffffff"/>
          </w:tcPr>
          <w:p>
            <w:pPr>
              <w:spacing w:before="40" w:after="40"/>
            </w:pPr>
            <w:r>
              <w:rPr>
                <w:color w:val="1E293B"/>
                <w:sz w:val="18"/>
              </w:rPr>
              <w:t>Custom .cryptoflow Binary Container</w:t>
            </w:r>
          </w:p>
        </w:tc>
        <w:tc>
          <w:tcPr>
            <w:tcW w:type="dxa" w:w="2016"/>
            <w:tcMar>
              <w:top w:w="100" w:type="dxa"/>
              <w:bottom w:w="100" w:type="dxa"/>
              <w:left w:w="120" w:type="dxa"/>
              <w:right w:w="120" w:type="dxa"/>
            </w:tcMar>
            <w:vAlign w:val="center"/>
            <w:shd w:fill="ffffff"/>
          </w:tcPr>
          <w:p>
            <w:pPr>
              <w:spacing w:before="40" w:after="40"/>
            </w:pPr>
            <w:r>
              <w:rPr>
                <w:color w:val="1E293B"/>
                <w:sz w:val="18"/>
              </w:rPr>
              <w:t>ZIP / TAR Archives OR MessagePack / CBOR</w:t>
            </w:r>
          </w:p>
        </w:tc>
        <w:tc>
          <w:tcPr>
            <w:tcW w:type="dxa" w:w="3456"/>
            <w:tcMar>
              <w:top w:w="100" w:type="dxa"/>
              <w:bottom w:w="100" w:type="dxa"/>
              <w:left w:w="120" w:type="dxa"/>
              <w:right w:w="120" w:type="dxa"/>
            </w:tcMar>
            <w:vAlign w:val="center"/>
            <w:shd w:fill="ffffff"/>
          </w:tcPr>
          <w:p>
            <w:pPr>
              <w:spacing w:before="40" w:after="40"/>
            </w:pPr>
            <w:r>
              <w:rPr>
                <w:color w:val="1E293B"/>
                <w:sz w:val="18"/>
              </w:rPr>
              <w:t>ZIP/TAR headers have significant parsing overhead and metadata leakage. MessagePack adds variable-length encoding complexity. Our custom binary format (64-byte fixed header + JSON manifest + contiguous ciphertext) allows zero-copy slicing, predictable offsets, and clean visual representation in academic publications.</w:t>
            </w:r>
          </w:p>
        </w:tc>
      </w:tr>
      <w:tr>
        <w:trPr>
          <w:cantSplit/>
        </w:trPr>
        <w:tc>
          <w:tcPr>
            <w:tcW w:type="dxa" w:w="1872"/>
            <w:tcMar>
              <w:top w:w="100" w:type="dxa"/>
              <w:bottom w:w="100" w:type="dxa"/>
              <w:left w:w="120" w:type="dxa"/>
              <w:right w:w="120" w:type="dxa"/>
            </w:tcMar>
            <w:vAlign w:val="center"/>
            <w:shd w:fill="f0fdfa"/>
          </w:tcPr>
          <w:p>
            <w:pPr>
              <w:spacing w:before="40" w:after="40"/>
            </w:pPr>
            <w:r>
              <w:rPr>
                <w:color w:val="1E293B"/>
                <w:sz w:val="18"/>
              </w:rPr>
              <w:t>4. Key Distribution</w:t>
            </w:r>
          </w:p>
        </w:tc>
        <w:tc>
          <w:tcPr>
            <w:tcW w:type="dxa" w:w="2016"/>
            <w:tcMar>
              <w:top w:w="100" w:type="dxa"/>
              <w:bottom w:w="100" w:type="dxa"/>
              <w:left w:w="120" w:type="dxa"/>
              <w:right w:w="120" w:type="dxa"/>
            </w:tcMar>
            <w:vAlign w:val="center"/>
            <w:shd w:fill="f0fdfa"/>
          </w:tcPr>
          <w:p>
            <w:pPr>
              <w:spacing w:before="40" w:after="40"/>
            </w:pPr>
            <w:r>
              <w:rPr>
                <w:color w:val="1E293B"/>
                <w:sz w:val="18"/>
              </w:rPr>
              <w:t>Decoupled Split-Courier Model (.keyring)</w:t>
            </w:r>
          </w:p>
        </w:tc>
        <w:tc>
          <w:tcPr>
            <w:tcW w:type="dxa" w:w="2016"/>
            <w:tcMar>
              <w:top w:w="100" w:type="dxa"/>
              <w:bottom w:w="100" w:type="dxa"/>
              <w:left w:w="120" w:type="dxa"/>
              <w:right w:w="120" w:type="dxa"/>
            </w:tcMar>
            <w:vAlign w:val="center"/>
            <w:shd w:fill="f0fdfa"/>
          </w:tcPr>
          <w:p>
            <w:pPr>
              <w:spacing w:before="40" w:after="40"/>
            </w:pPr>
            <w:r>
              <w:rPr>
                <w:color w:val="1E293B"/>
                <w:sz w:val="18"/>
              </w:rPr>
              <w:t>Embedded Key Encapsulation (KEM) in Header</w:t>
            </w:r>
          </w:p>
        </w:tc>
        <w:tc>
          <w:tcPr>
            <w:tcW w:type="dxa" w:w="3456"/>
            <w:tcMar>
              <w:top w:w="100" w:type="dxa"/>
              <w:bottom w:w="100" w:type="dxa"/>
              <w:left w:w="120" w:type="dxa"/>
              <w:right w:w="120" w:type="dxa"/>
            </w:tcMar>
            <w:vAlign w:val="center"/>
            <w:shd w:fill="f0fdfa"/>
          </w:tcPr>
          <w:p>
            <w:pPr>
              <w:spacing w:before="40" w:after="40"/>
            </w:pPr>
            <w:r>
              <w:rPr>
                <w:color w:val="1E293B"/>
                <w:sz w:val="18"/>
              </w:rPr>
              <w:t>Embedding keys inside the same bundle creates a single point of failure if intercepted. Separating ciphertext (.cryptoflow) from key material (.keyring) enables asymmetric split-routing (e.g., medical data over high-bandwidth storage networks, keys over secure out-of-band KMS/PKI channels).</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5. Modality Normalization</w:t>
            </w:r>
          </w:p>
        </w:tc>
        <w:tc>
          <w:tcPr>
            <w:tcW w:type="dxa" w:w="2016"/>
            <w:tcMar>
              <w:top w:w="100" w:type="dxa"/>
              <w:bottom w:w="100" w:type="dxa"/>
              <w:left w:w="120" w:type="dxa"/>
              <w:right w:w="120" w:type="dxa"/>
            </w:tcMar>
            <w:vAlign w:val="center"/>
            <w:shd w:fill="ffffff"/>
          </w:tcPr>
          <w:p>
            <w:pPr>
              <w:spacing w:before="40" w:after="40"/>
            </w:pPr>
            <w:r>
              <w:rPr>
                <w:color w:val="1E293B"/>
                <w:sz w:val="18"/>
              </w:rPr>
              <w:t>Typed 64-Byte Uniform Binary Blobs</w:t>
            </w:r>
          </w:p>
        </w:tc>
        <w:tc>
          <w:tcPr>
            <w:tcW w:type="dxa" w:w="2016"/>
            <w:tcMar>
              <w:top w:w="100" w:type="dxa"/>
              <w:bottom w:w="100" w:type="dxa"/>
              <w:left w:w="120" w:type="dxa"/>
              <w:right w:w="120" w:type="dxa"/>
            </w:tcMar>
            <w:vAlign w:val="center"/>
            <w:shd w:fill="ffffff"/>
          </w:tcPr>
          <w:p>
            <w:pPr>
              <w:spacing w:before="40" w:after="40"/>
            </w:pPr>
            <w:r>
              <w:rPr>
                <w:color w:val="1E293B"/>
                <w:sz w:val="18"/>
              </w:rPr>
              <w:t>Raw Heterogeneous File Streams</w:t>
            </w:r>
          </w:p>
        </w:tc>
        <w:tc>
          <w:tcPr>
            <w:tcW w:type="dxa" w:w="3456"/>
            <w:tcMar>
              <w:top w:w="100" w:type="dxa"/>
              <w:bottom w:w="100" w:type="dxa"/>
              <w:left w:w="120" w:type="dxa"/>
              <w:right w:w="120" w:type="dxa"/>
            </w:tcMar>
            <w:vAlign w:val="center"/>
            <w:shd w:fill="ffffff"/>
          </w:tcPr>
          <w:p>
            <w:pPr>
              <w:spacing w:before="40" w:after="40"/>
            </w:pPr>
            <w:r>
              <w:rPr>
                <w:color w:val="1E293B"/>
                <w:sz w:val="18"/>
              </w:rPr>
              <w:t>Heterogeneous files lack uniform cryptographic boundaries. Normalizing each file into a typed binary blob with a 64-byte header (magic bytes, modality enum, uint32 size, UTF-8 filename) allows downstream crypto stages to operate agnostically on uniform payloads while preserving exact restoration fidelity.</w:t>
            </w:r>
          </w:p>
        </w:tc>
      </w:tr>
    </w:tbl>
    <w:p>
      <w:pPr>
        <w:spacing w:after="240"/>
      </w:pPr>
    </w:p>
    <w:p>
      <w:pPr>
        <w:pStyle w:val="Heading1"/>
        <w:spacing w:before="280" w:after="120"/>
      </w:pPr>
      <w:r>
        <w:t>4. The 5-Stage Cryptographic Pipeline</w:t>
      </w:r>
    </w:p>
    <w:p>
      <w:r>
        <w:t>The encryption engine transforms disparate patient files into an atomic, tamper-evident package through 5 deterministic stages:</w:t>
      </w:r>
    </w:p>
    <w:p>
      <w:pPr>
        <w:spacing w:before="120" w:after="40"/>
      </w:pPr>
      <w:r>
        <w:rPr>
          <w:b/>
          <w:color w:val="0F172A"/>
          <w:sz w:val="22"/>
        </w:rPr>
        <w:t>Stage 1: Ingest &amp; Normalization</w:t>
      </w:r>
    </w:p>
    <w:p>
      <w:pPr>
        <w:spacing w:before="0" w:after="120"/>
      </w:pPr>
      <w:r>
        <w:t>Validates file accessibility and file size constraints (&lt; 500 MB). Reads raw bytes and constructs a 64-byte typed header:</w:t>
        <w:br/>
        <w:t>• [0:6] Magic bytes: 'CFBLB\x00'</w:t>
        <w:br/>
        <w:t>• [6:7] Modality type index (0=image, 1=text, 2=metadata) as uint8</w:t>
        <w:br/>
        <w:t>• [7:11] Original payload size as uint32 Little-Endian</w:t>
        <w:br/>
        <w:t>• [11:64] Original filename (UTF-8, null-padded to 53 bytes)</w:t>
        <w:br/>
        <w:t>Outputs NormalizedBlob instances sorted deterministically by modality enum value.</w:t>
      </w:r>
    </w:p>
    <w:p>
      <w:pPr>
        <w:spacing w:before="120" w:after="40"/>
      </w:pPr>
      <w:r>
        <w:rPr>
          <w:b/>
          <w:color w:val="0F172A"/>
          <w:sz w:val="22"/>
        </w:rPr>
        <w:t>Stage 2: CSPRNG Key &amp; Nonce Generation</w:t>
      </w:r>
    </w:p>
    <w:p>
      <w:pPr>
        <w:spacing w:before="0" w:after="120"/>
      </w:pPr>
      <w:r>
        <w:t>Draws cryptographically secure randomness from the OS kernel entropy pool (os.urandom / CryptGenRandom):</w:t>
        <w:br/>
        <w:t>• Unique 256-bit AES key per modality</w:t>
        <w:br/>
        <w:t>• Unique 96-bit GCM Initialization Vector (IV/nonce) per modality</w:t>
        <w:br/>
        <w:t>• 256-bit HMAC-SHA-256 master binding key</w:t>
        <w:br/>
        <w:t>Encapsulates keys into an in-memory KeyRing with an auto-generated UUIDv4 bundle identifier.</w:t>
      </w:r>
    </w:p>
    <w:p>
      <w:pPr>
        <w:spacing w:before="120" w:after="40"/>
      </w:pPr>
      <w:r>
        <w:rPr>
          <w:b/>
          <w:color w:val="0F172A"/>
          <w:sz w:val="22"/>
        </w:rPr>
        <w:t>Stage 3: Authenticated AES-256-GCM Encryption</w:t>
      </w:r>
    </w:p>
    <w:p>
      <w:pPr>
        <w:spacing w:before="0" w:after="120"/>
      </w:pPr>
      <w:r>
        <w:t>Encrypts each normalized blob (header + raw payload) using AES-256 in Galois/Counter Mode (GCM). Because the typed header is inside the plaintext, the resulting 128-bit authentication tag covers both the file metadata and the file content. Output: EncryptedBlob (ciphertext, 16-byte auth tag, 12-byte IV).</w:t>
      </w:r>
    </w:p>
    <w:p>
      <w:pPr>
        <w:spacing w:before="120" w:after="40"/>
      </w:pPr>
      <w:r>
        <w:rPr>
          <w:b/>
          <w:color w:val="0F172A"/>
          <w:sz w:val="22"/>
        </w:rPr>
        <w:t>Stage 4: Deterministic Cross-Modal Binding Hash</w:t>
      </w:r>
    </w:p>
    <w:p>
      <w:pPr>
        <w:spacing w:before="0" w:after="120"/>
      </w:pPr>
      <w:r>
        <w:t>Sorts all encrypted blobs deterministically by modality enum. For each blob, concatenates:</w:t>
        <w:br/>
        <w:t xml:space="preserve">  Payload_i = Ciphertext_i || AuthTag_i || IV_i</w:t>
        <w:br/>
        <w:t>Computes: BindingHash = HMAC-SHA-256(BindingKey, Concat(Payload_0, Payload_1, ..., Payload_n))</w:t>
        <w:br/>
        <w:t>Returns a 32-byte digest that welds all modalities into an atomic mathematical unit.</w:t>
      </w:r>
    </w:p>
    <w:p>
      <w:pPr>
        <w:spacing w:before="120" w:after="40"/>
      </w:pPr>
      <w:r>
        <w:rPr>
          <w:b/>
          <w:color w:val="0F172A"/>
          <w:sz w:val="22"/>
        </w:rPr>
        <w:t>Stage 5: Custom Binary Packaging &amp; Split Courier</w:t>
      </w:r>
    </w:p>
    <w:p>
      <w:pPr>
        <w:spacing w:before="0" w:after="120"/>
      </w:pPr>
      <w:r>
        <w:t>Assembles the binary container file (.cryptoflow):</w:t>
        <w:br/>
        <w:t>1. 64-byte binary bundle header ('CFLOW\x00', version uint16, UUID, manifest length uint32, modality count uint8)</w:t>
        <w:br/>
        <w:t>2. Variable-length UTF-8 JSON manifest containing the binding hash and modality offsets</w:t>
        <w:br/>
        <w:t>3. Contiguous ciphertext payloads</w:t>
        <w:br/>
        <w:t>Serializes the KeyRing to a separate JSON file (.keyring) for out-of-band delivery.</w:t>
      </w:r>
    </w:p>
    <w:p>
      <w:pPr>
        <w:pStyle w:val="Heading1"/>
        <w:spacing w:before="280" w:after="120"/>
      </w:pPr>
      <w:r>
        <w:t>5. Decryption &amp; Constant-Time Verification Pipeline</w:t>
      </w:r>
    </w:p>
    <w:p>
      <w:r>
        <w:t>Decryption executes in a strict fail-fast sequence to prevent compromised data from ever reaching application memory or disk:</w:t>
      </w:r>
    </w:p>
    <w:p>
      <w:r>
        <w:t>1. Header &amp; Version Validation: Validates magic bytes ('CFLOW\x00') and format version (v1).</w:t>
        <w:br/>
        <w:t>2. Keyring Association Check: Verifies that KeyRing.bundle_id matches Manifest.bundle_id (prevents foreign key attacks).</w:t>
        <w:br/>
        <w:t>3. Cross-Modal Binding Verification: Reconstructs all ciphertext slices from offsets, recomputes the HMAC-SHA-256 hash across all modalities, and compares it against Manifest.binding_hash using hmac.compare_digest (constant-time check to prevent timing side-channels). If mismatched, raises BindingMismatchError immediately.</w:t>
        <w:br/>
        <w:t>4. AEAD Decryption &amp; Tag Authentication: Decrypts each blob with AES-256-GCM. GCM validates the 16-byte authentication tag; any single-bit tampering triggers AuthTagMismatchError.</w:t>
        <w:br/>
        <w:t>5. Header Unpacking &amp; Restoration: Strips the 64-byte header, extracts the original filename, and writes the exact original bytes to disk.</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80"/>
            </w:pPr>
            <w:r>
              <w:rPr>
                <w:b/>
                <w:color w:val="F59E0B"/>
                <w:sz w:val="22"/>
              </w:rPr>
              <w:t>🏨 Layman Explanation: Hotel Room Keys vs. Master Key</w:t>
              <w:br/>
            </w:r>
            <w:r>
              <w:rPr>
                <w:color w:val="334155"/>
                <w:sz w:val="20"/>
              </w:rPr>
              <w:t>Think of a luxury hotel. Each room (modality) has its own private digital keycard (AES-256 key). Even if a thief steals the keycard to Room 101, they cannot open Room 102 or Room 103. Furthermore, the front desk uses a master ledger seal (HMAC binding hash). If someone tries to move furniture from Room 101 to Room 102, the entire security alarm trips.</w:t>
            </w:r>
          </w:p>
        </w:tc>
      </w:tr>
    </w:tbl>
    <w:p>
      <w:pPr>
        <w:spacing w:after="120"/>
      </w:pPr>
    </w:p>
    <w:p>
      <w:pPr>
        <w:pStyle w:val="Heading1"/>
        <w:spacing w:before="280" w:after="120"/>
      </w:pPr>
      <w:r>
        <w:t>6. Formal Dolev-Yao Threat Model &amp; Cyberattack Simulation</w:t>
      </w:r>
    </w:p>
    <w:p>
      <w:r>
        <w:t>To rigorously validate CryptoFlow for top-tier academic publication (e.g. ACM CCS / USENIX Security), we formalize the adversary capabilities under the standard Dolev-Yao security model. The network and intermediate storage routers are presumed untrusted. The adversary A can eavesdrop, intercept, inject, and splice arbitrary payloads across patient encounters.</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36" w:space="0" w:color="991b1b"/>
              <w:bottom w:val="none"/>
              <w:right w:val="none"/>
            </w:tcBorders>
          </w:tcPr>
          <w:p>
            <w:pPr>
              <w:spacing w:before="40" w:after="80"/>
            </w:pPr>
            <w:r>
              <w:rPr>
                <w:b/>
                <w:color w:val="991B1B"/>
                <w:sz w:val="22"/>
              </w:rPr>
              <w:t>🛡️ Mathematical Security Formulation &amp; Invariant Binding</w:t>
              <w:br/>
            </w:r>
            <w:r>
              <w:rPr>
                <w:color w:val="334155"/>
                <w:sz w:val="20"/>
              </w:rPr>
              <w:t>Let a patient encounter E comprise k heterogeneous modalities M_1, ..., M_k. For each modality i, isolated encryption produces (C_i, T_i) = AES-GCM-Enc(K_i, N_i, H_i || P_i). The cross-modal binding hash H_bind = HMAC-SHA-256(K_bind, Sorted(C_i || T_i || N_i)) cryptographically welds the entire encounter. Modifying any single byte in C_j, swapping files across patients, or injecting rogue data invalidates H_bind with probability 1 - 2^(-256), strictly preventing unsealing.</w:t>
            </w:r>
          </w:p>
        </w:tc>
      </w:tr>
    </w:tbl>
    <w:p>
      <w:pPr>
        <w:spacing w:after="120"/>
      </w:pPr>
    </w:p>
    <w:p>
      <w:r>
        <w:t>Every attack in our 7-vector formal threat matrix was programmatically executed against valid bundles: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100" w:type="dxa"/>
              <w:bottom w:w="100" w:type="dxa"/>
              <w:left w:w="120" w:type="dxa"/>
              <w:right w:w="120" w:type="dxa"/>
            </w:tcMar>
            <w:vAlign w:val="center"/>
            <w:shd w:fill="991b1b"/>
          </w:tcPr>
          <w:p>
            <w:pPr>
              <w:spacing w:before="40" w:after="40"/>
            </w:pPr>
            <w:r>
              <w:rPr>
                <w:b/>
                <w:color w:val="FFFFFF"/>
                <w:sz w:val="19"/>
              </w:rPr>
              <w:t>Attack Vector</w:t>
            </w:r>
          </w:p>
        </w:tc>
        <w:tc>
          <w:tcPr>
            <w:tcW w:type="dxa" w:w="2304"/>
            <w:tcMar>
              <w:top w:w="100" w:type="dxa"/>
              <w:bottom w:w="100" w:type="dxa"/>
              <w:left w:w="120" w:type="dxa"/>
              <w:right w:w="120" w:type="dxa"/>
            </w:tcMar>
            <w:vAlign w:val="center"/>
            <w:shd w:fill="991b1b"/>
          </w:tcPr>
          <w:p>
            <w:pPr>
              <w:spacing w:before="40" w:after="40"/>
            </w:pPr>
            <w:r>
              <w:rPr>
                <w:b/>
                <w:color w:val="FFFFFF"/>
                <w:sz w:val="19"/>
              </w:rPr>
              <w:t>Adversary Scenario</w:t>
            </w:r>
          </w:p>
        </w:tc>
        <w:tc>
          <w:tcPr>
            <w:tcW w:type="dxa" w:w="2016"/>
            <w:tcMar>
              <w:top w:w="100" w:type="dxa"/>
              <w:bottom w:w="100" w:type="dxa"/>
              <w:left w:w="120" w:type="dxa"/>
              <w:right w:w="120" w:type="dxa"/>
            </w:tcMar>
            <w:vAlign w:val="center"/>
            <w:shd w:fill="991b1b"/>
          </w:tcPr>
          <w:p>
            <w:pPr>
              <w:spacing w:before="40" w:after="40"/>
            </w:pPr>
            <w:r>
              <w:rPr>
                <w:b/>
                <w:color w:val="FFFFFF"/>
                <w:sz w:val="19"/>
              </w:rPr>
              <w:t>Security Control Mechanism</w:t>
            </w:r>
          </w:p>
        </w:tc>
        <w:tc>
          <w:tcPr>
            <w:tcW w:type="dxa" w:w="2016"/>
            <w:tcMar>
              <w:top w:w="100" w:type="dxa"/>
              <w:bottom w:w="100" w:type="dxa"/>
              <w:left w:w="120" w:type="dxa"/>
              <w:right w:w="120" w:type="dxa"/>
            </w:tcMar>
            <w:vAlign w:val="center"/>
            <w:shd w:fill="991b1b"/>
          </w:tcPr>
          <w:p>
            <w:pPr>
              <w:spacing w:before="40" w:after="40"/>
            </w:pPr>
            <w:r>
              <w:rPr>
                <w:b/>
                <w:color w:val="FFFFFF"/>
                <w:sz w:val="19"/>
              </w:rPr>
              <w:t>Triggered Exception</w:t>
            </w:r>
          </w:p>
        </w:tc>
        <w:tc>
          <w:tcPr>
            <w:tcW w:type="dxa" w:w="1152"/>
            <w:tcMar>
              <w:top w:w="100" w:type="dxa"/>
              <w:bottom w:w="100" w:type="dxa"/>
              <w:left w:w="120" w:type="dxa"/>
              <w:right w:w="120" w:type="dxa"/>
            </w:tcMar>
            <w:vAlign w:val="center"/>
            <w:shd w:fill="991b1b"/>
          </w:tcPr>
          <w:p>
            <w:pPr>
              <w:spacing w:before="40" w:after="40"/>
            </w:pPr>
            <w:r>
              <w:rPr>
                <w:b/>
                <w:color w:val="FFFFFF"/>
                <w:sz w:val="19"/>
              </w:rPr>
              <w:t>Result</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1. Bit-Flip Tamper</w:t>
            </w:r>
          </w:p>
        </w:tc>
        <w:tc>
          <w:tcPr>
            <w:tcW w:type="dxa" w:w="2304"/>
            <w:tcMar>
              <w:top w:w="100" w:type="dxa"/>
              <w:bottom w:w="100" w:type="dxa"/>
              <w:left w:w="120" w:type="dxa"/>
              <w:right w:w="120" w:type="dxa"/>
            </w:tcMar>
            <w:vAlign w:val="center"/>
            <w:shd w:fill="ffffff"/>
          </w:tcPr>
          <w:p>
            <w:pPr>
              <w:spacing w:before="40" w:after="40"/>
            </w:pPr>
            <w:r>
              <w:rPr>
                <w:color w:val="1E293B"/>
                <w:sz w:val="18"/>
              </w:rPr>
              <w:t>Adversary alters 1 bit in transmitted ciphertext</w:t>
            </w:r>
          </w:p>
        </w:tc>
        <w:tc>
          <w:tcPr>
            <w:tcW w:type="dxa" w:w="2016"/>
            <w:tcMar>
              <w:top w:w="100" w:type="dxa"/>
              <w:bottom w:w="100" w:type="dxa"/>
              <w:left w:w="120" w:type="dxa"/>
              <w:right w:w="120" w:type="dxa"/>
            </w:tcMar>
            <w:vAlign w:val="center"/>
            <w:shd w:fill="ffffff"/>
          </w:tcPr>
          <w:p>
            <w:pPr>
              <w:spacing w:before="40" w:after="40"/>
            </w:pPr>
            <w:r>
              <w:rPr>
                <w:color w:val="1E293B"/>
                <w:sz w:val="18"/>
              </w:rPr>
              <w:t>GCM Auth Tag Failure</w:t>
            </w:r>
          </w:p>
        </w:tc>
        <w:tc>
          <w:tcPr>
            <w:tcW w:type="dxa" w:w="2016"/>
            <w:tcMar>
              <w:top w:w="100" w:type="dxa"/>
              <w:bottom w:w="100" w:type="dxa"/>
              <w:left w:w="120" w:type="dxa"/>
              <w:right w:w="120" w:type="dxa"/>
            </w:tcMar>
            <w:vAlign w:val="center"/>
            <w:shd w:fill="ffffff"/>
          </w:tcPr>
          <w:p>
            <w:pPr>
              <w:spacing w:before="40" w:after="40"/>
            </w:pPr>
            <w:r>
              <w:rPr>
                <w:color w:val="1E293B"/>
                <w:sz w:val="18"/>
              </w:rPr>
              <w:t>AuthTagMismatchError / BindingMismatchError</w:t>
            </w:r>
          </w:p>
        </w:tc>
        <w:tc>
          <w:tcPr>
            <w:tcW w:type="dxa" w:w="1152"/>
            <w:tcMar>
              <w:top w:w="100" w:type="dxa"/>
              <w:bottom w:w="100" w:type="dxa"/>
              <w:left w:w="120" w:type="dxa"/>
              <w:right w:w="120" w:type="dxa"/>
            </w:tcMar>
            <w:vAlign w:val="center"/>
            <w:shd w:fill="ffffff"/>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ef2f2"/>
          </w:tcPr>
          <w:p>
            <w:pPr>
              <w:spacing w:before="40" w:after="40"/>
            </w:pPr>
            <w:r>
              <w:rPr>
                <w:color w:val="1E293B"/>
                <w:sz w:val="18"/>
              </w:rPr>
              <w:t>2. Intra-Bundle Swap</w:t>
            </w:r>
          </w:p>
        </w:tc>
        <w:tc>
          <w:tcPr>
            <w:tcW w:type="dxa" w:w="2304"/>
            <w:tcMar>
              <w:top w:w="100" w:type="dxa"/>
              <w:bottom w:w="100" w:type="dxa"/>
              <w:left w:w="120" w:type="dxa"/>
              <w:right w:w="120" w:type="dxa"/>
            </w:tcMar>
            <w:vAlign w:val="center"/>
            <w:shd w:fill="fef2f2"/>
          </w:tcPr>
          <w:p>
            <w:pPr>
              <w:spacing w:before="40" w:after="40"/>
            </w:pPr>
            <w:r>
              <w:rPr>
                <w:color w:val="1E293B"/>
                <w:sz w:val="18"/>
              </w:rPr>
              <w:t>Adversary swaps the order of CT scan and report</w:t>
            </w:r>
          </w:p>
        </w:tc>
        <w:tc>
          <w:tcPr>
            <w:tcW w:type="dxa" w:w="2016"/>
            <w:tcMar>
              <w:top w:w="100" w:type="dxa"/>
              <w:bottom w:w="100" w:type="dxa"/>
              <w:left w:w="120" w:type="dxa"/>
              <w:right w:w="120" w:type="dxa"/>
            </w:tcMar>
            <w:vAlign w:val="center"/>
            <w:shd w:fill="fef2f2"/>
          </w:tcPr>
          <w:p>
            <w:pPr>
              <w:spacing w:before="40" w:after="40"/>
            </w:pPr>
            <w:r>
              <w:rPr>
                <w:color w:val="1E293B"/>
                <w:sz w:val="18"/>
              </w:rPr>
              <w:t>Binding Order Mismatch</w:t>
            </w:r>
          </w:p>
        </w:tc>
        <w:tc>
          <w:tcPr>
            <w:tcW w:type="dxa" w:w="2016"/>
            <w:tcMar>
              <w:top w:w="100" w:type="dxa"/>
              <w:bottom w:w="100" w:type="dxa"/>
              <w:left w:w="120" w:type="dxa"/>
              <w:right w:w="120" w:type="dxa"/>
            </w:tcMar>
            <w:vAlign w:val="center"/>
            <w:shd w:fill="fef2f2"/>
          </w:tcPr>
          <w:p>
            <w:pPr>
              <w:spacing w:before="40" w:after="40"/>
            </w:pPr>
            <w:r>
              <w:rPr>
                <w:color w:val="1E293B"/>
                <w:sz w:val="18"/>
              </w:rPr>
              <w:t>BindingMismatchError</w:t>
            </w:r>
          </w:p>
        </w:tc>
        <w:tc>
          <w:tcPr>
            <w:tcW w:type="dxa" w:w="1152"/>
            <w:tcMar>
              <w:top w:w="100" w:type="dxa"/>
              <w:bottom w:w="100" w:type="dxa"/>
              <w:left w:w="120" w:type="dxa"/>
              <w:right w:w="120" w:type="dxa"/>
            </w:tcMar>
            <w:vAlign w:val="center"/>
            <w:shd w:fill="fef2f2"/>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3. Cross-Bundle Swap</w:t>
            </w:r>
          </w:p>
        </w:tc>
        <w:tc>
          <w:tcPr>
            <w:tcW w:type="dxa" w:w="2304"/>
            <w:tcMar>
              <w:top w:w="100" w:type="dxa"/>
              <w:bottom w:w="100" w:type="dxa"/>
              <w:left w:w="120" w:type="dxa"/>
              <w:right w:w="120" w:type="dxa"/>
            </w:tcMar>
            <w:vAlign w:val="center"/>
            <w:shd w:fill="ffffff"/>
          </w:tcPr>
          <w:p>
            <w:pPr>
              <w:spacing w:before="40" w:after="40"/>
            </w:pPr>
            <w:r>
              <w:rPr>
                <w:color w:val="1E293B"/>
                <w:sz w:val="18"/>
              </w:rPr>
              <w:t>Patient B's report substituted into Patient A's bundle</w:t>
            </w:r>
          </w:p>
        </w:tc>
        <w:tc>
          <w:tcPr>
            <w:tcW w:type="dxa" w:w="2016"/>
            <w:tcMar>
              <w:top w:w="100" w:type="dxa"/>
              <w:bottom w:w="100" w:type="dxa"/>
              <w:left w:w="120" w:type="dxa"/>
              <w:right w:w="120" w:type="dxa"/>
            </w:tcMar>
            <w:vAlign w:val="center"/>
            <w:shd w:fill="ffffff"/>
          </w:tcPr>
          <w:p>
            <w:pPr>
              <w:spacing w:before="40" w:after="40"/>
            </w:pPr>
            <w:r>
              <w:rPr>
                <w:color w:val="1E293B"/>
                <w:sz w:val="18"/>
              </w:rPr>
              <w:t>Foreign Ciphertext Hash Mismatch</w:t>
            </w:r>
          </w:p>
        </w:tc>
        <w:tc>
          <w:tcPr>
            <w:tcW w:type="dxa" w:w="2016"/>
            <w:tcMar>
              <w:top w:w="100" w:type="dxa"/>
              <w:bottom w:w="100" w:type="dxa"/>
              <w:left w:w="120" w:type="dxa"/>
              <w:right w:w="120" w:type="dxa"/>
            </w:tcMar>
            <w:vAlign w:val="center"/>
            <w:shd w:fill="ffffff"/>
          </w:tcPr>
          <w:p>
            <w:pPr>
              <w:spacing w:before="40" w:after="40"/>
            </w:pPr>
            <w:r>
              <w:rPr>
                <w:color w:val="1E293B"/>
                <w:sz w:val="18"/>
              </w:rPr>
              <w:t>BindingMismatchError</w:t>
            </w:r>
          </w:p>
        </w:tc>
        <w:tc>
          <w:tcPr>
            <w:tcW w:type="dxa" w:w="1152"/>
            <w:tcMar>
              <w:top w:w="100" w:type="dxa"/>
              <w:bottom w:w="100" w:type="dxa"/>
              <w:left w:w="120" w:type="dxa"/>
              <w:right w:w="120" w:type="dxa"/>
            </w:tcMar>
            <w:vAlign w:val="center"/>
            <w:shd w:fill="ffffff"/>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ef2f2"/>
          </w:tcPr>
          <w:p>
            <w:pPr>
              <w:spacing w:before="40" w:after="40"/>
            </w:pPr>
            <w:r>
              <w:rPr>
                <w:color w:val="1E293B"/>
                <w:sz w:val="18"/>
              </w:rPr>
              <w:t>4. Payload Truncation</w:t>
            </w:r>
          </w:p>
        </w:tc>
        <w:tc>
          <w:tcPr>
            <w:tcW w:type="dxa" w:w="2304"/>
            <w:tcMar>
              <w:top w:w="100" w:type="dxa"/>
              <w:bottom w:w="100" w:type="dxa"/>
              <w:left w:w="120" w:type="dxa"/>
              <w:right w:w="120" w:type="dxa"/>
            </w:tcMar>
            <w:vAlign w:val="center"/>
            <w:shd w:fill="fef2f2"/>
          </w:tcPr>
          <w:p>
            <w:pPr>
              <w:spacing w:before="40" w:after="40"/>
            </w:pPr>
            <w:r>
              <w:rPr>
                <w:color w:val="1E293B"/>
                <w:sz w:val="18"/>
              </w:rPr>
              <w:t>Network packet loss drops trailing 50 bytes</w:t>
            </w:r>
          </w:p>
        </w:tc>
        <w:tc>
          <w:tcPr>
            <w:tcW w:type="dxa" w:w="2016"/>
            <w:tcMar>
              <w:top w:w="100" w:type="dxa"/>
              <w:bottom w:w="100" w:type="dxa"/>
              <w:left w:w="120" w:type="dxa"/>
              <w:right w:w="120" w:type="dxa"/>
            </w:tcMar>
            <w:vAlign w:val="center"/>
            <w:shd w:fill="fef2f2"/>
          </w:tcPr>
          <w:p>
            <w:pPr>
              <w:spacing w:before="40" w:after="40"/>
            </w:pPr>
            <w:r>
              <w:rPr>
                <w:color w:val="1E293B"/>
                <w:sz w:val="18"/>
              </w:rPr>
              <w:t>Binary Length Mismatch</w:t>
            </w:r>
          </w:p>
        </w:tc>
        <w:tc>
          <w:tcPr>
            <w:tcW w:type="dxa" w:w="2016"/>
            <w:tcMar>
              <w:top w:w="100" w:type="dxa"/>
              <w:bottom w:w="100" w:type="dxa"/>
              <w:left w:w="120" w:type="dxa"/>
              <w:right w:w="120" w:type="dxa"/>
            </w:tcMar>
            <w:vAlign w:val="center"/>
            <w:shd w:fill="fef2f2"/>
          </w:tcPr>
          <w:p>
            <w:pPr>
              <w:spacing w:before="40" w:after="40"/>
            </w:pPr>
            <w:r>
              <w:rPr>
                <w:color w:val="1E293B"/>
                <w:sz w:val="18"/>
              </w:rPr>
              <w:t>InvalidBundleError</w:t>
            </w:r>
          </w:p>
        </w:tc>
        <w:tc>
          <w:tcPr>
            <w:tcW w:type="dxa" w:w="1152"/>
            <w:tcMar>
              <w:top w:w="100" w:type="dxa"/>
              <w:bottom w:w="100" w:type="dxa"/>
              <w:left w:w="120" w:type="dxa"/>
              <w:right w:w="120" w:type="dxa"/>
            </w:tcMar>
            <w:vAlign w:val="center"/>
            <w:shd w:fill="fef2f2"/>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5. Rogue Injection</w:t>
            </w:r>
          </w:p>
        </w:tc>
        <w:tc>
          <w:tcPr>
            <w:tcW w:type="dxa" w:w="2304"/>
            <w:tcMar>
              <w:top w:w="100" w:type="dxa"/>
              <w:bottom w:w="100" w:type="dxa"/>
              <w:left w:w="120" w:type="dxa"/>
              <w:right w:w="120" w:type="dxa"/>
            </w:tcMar>
            <w:vAlign w:val="center"/>
            <w:shd w:fill="ffffff"/>
          </w:tcPr>
          <w:p>
            <w:pPr>
              <w:spacing w:before="40" w:after="40"/>
            </w:pPr>
            <w:r>
              <w:rPr>
                <w:color w:val="1E293B"/>
                <w:sz w:val="18"/>
              </w:rPr>
              <w:t>Adversary injects a 4th unauthorized modality</w:t>
            </w:r>
          </w:p>
        </w:tc>
        <w:tc>
          <w:tcPr>
            <w:tcW w:type="dxa" w:w="2016"/>
            <w:tcMar>
              <w:top w:w="100" w:type="dxa"/>
              <w:bottom w:w="100" w:type="dxa"/>
              <w:left w:w="120" w:type="dxa"/>
              <w:right w:w="120" w:type="dxa"/>
            </w:tcMar>
            <w:vAlign w:val="center"/>
            <w:shd w:fill="ffffff"/>
          </w:tcPr>
          <w:p>
            <w:pPr>
              <w:spacing w:before="40" w:after="40"/>
            </w:pPr>
            <w:r>
              <w:rPr>
                <w:color w:val="1E293B"/>
                <w:sz w:val="18"/>
              </w:rPr>
              <w:t>Modality Count &amp; Hash Mismatch</w:t>
            </w:r>
          </w:p>
        </w:tc>
        <w:tc>
          <w:tcPr>
            <w:tcW w:type="dxa" w:w="2016"/>
            <w:tcMar>
              <w:top w:w="100" w:type="dxa"/>
              <w:bottom w:w="100" w:type="dxa"/>
              <w:left w:w="120" w:type="dxa"/>
              <w:right w:w="120" w:type="dxa"/>
            </w:tcMar>
            <w:vAlign w:val="center"/>
            <w:shd w:fill="ffffff"/>
          </w:tcPr>
          <w:p>
            <w:pPr>
              <w:spacing w:before="40" w:after="40"/>
            </w:pPr>
            <w:r>
              <w:rPr>
                <w:color w:val="1E293B"/>
                <w:sz w:val="18"/>
              </w:rPr>
              <w:t>BindingMismatchError</w:t>
            </w:r>
          </w:p>
        </w:tc>
        <w:tc>
          <w:tcPr>
            <w:tcW w:type="dxa" w:w="1152"/>
            <w:tcMar>
              <w:top w:w="100" w:type="dxa"/>
              <w:bottom w:w="100" w:type="dxa"/>
              <w:left w:w="120" w:type="dxa"/>
              <w:right w:w="120" w:type="dxa"/>
            </w:tcMar>
            <w:vAlign w:val="center"/>
            <w:shd w:fill="ffffff"/>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ef2f2"/>
          </w:tcPr>
          <w:p>
            <w:pPr>
              <w:spacing w:before="40" w:after="40"/>
            </w:pPr>
            <w:r>
              <w:rPr>
                <w:color w:val="1E293B"/>
                <w:sz w:val="18"/>
              </w:rPr>
              <w:t>6. Manifest Forgery</w:t>
            </w:r>
          </w:p>
        </w:tc>
        <w:tc>
          <w:tcPr>
            <w:tcW w:type="dxa" w:w="2304"/>
            <w:tcMar>
              <w:top w:w="100" w:type="dxa"/>
              <w:bottom w:w="100" w:type="dxa"/>
              <w:left w:w="120" w:type="dxa"/>
              <w:right w:w="120" w:type="dxa"/>
            </w:tcMar>
            <w:vAlign w:val="center"/>
            <w:shd w:fill="fef2f2"/>
          </w:tcPr>
          <w:p>
            <w:pPr>
              <w:spacing w:before="40" w:after="40"/>
            </w:pPr>
            <w:r>
              <w:rPr>
                <w:color w:val="1E293B"/>
                <w:sz w:val="18"/>
              </w:rPr>
              <w:t>Attacker modifies binding hash in manifest</w:t>
            </w:r>
          </w:p>
        </w:tc>
        <w:tc>
          <w:tcPr>
            <w:tcW w:type="dxa" w:w="2016"/>
            <w:tcMar>
              <w:top w:w="100" w:type="dxa"/>
              <w:bottom w:w="100" w:type="dxa"/>
              <w:left w:w="120" w:type="dxa"/>
              <w:right w:w="120" w:type="dxa"/>
            </w:tcMar>
            <w:vAlign w:val="center"/>
            <w:shd w:fill="fef2f2"/>
          </w:tcPr>
          <w:p>
            <w:pPr>
              <w:spacing w:before="40" w:after="40"/>
            </w:pPr>
            <w:r>
              <w:rPr>
                <w:color w:val="1E293B"/>
                <w:sz w:val="18"/>
              </w:rPr>
              <w:t>Recomputed Digest Mismatch</w:t>
            </w:r>
          </w:p>
        </w:tc>
        <w:tc>
          <w:tcPr>
            <w:tcW w:type="dxa" w:w="2016"/>
            <w:tcMar>
              <w:top w:w="100" w:type="dxa"/>
              <w:bottom w:w="100" w:type="dxa"/>
              <w:left w:w="120" w:type="dxa"/>
              <w:right w:w="120" w:type="dxa"/>
            </w:tcMar>
            <w:vAlign w:val="center"/>
            <w:shd w:fill="fef2f2"/>
          </w:tcPr>
          <w:p>
            <w:pPr>
              <w:spacing w:before="40" w:after="40"/>
            </w:pPr>
            <w:r>
              <w:rPr>
                <w:color w:val="1E293B"/>
                <w:sz w:val="18"/>
              </w:rPr>
              <w:t>BindingMismatchError</w:t>
            </w:r>
          </w:p>
        </w:tc>
        <w:tc>
          <w:tcPr>
            <w:tcW w:type="dxa" w:w="1152"/>
            <w:tcMar>
              <w:top w:w="100" w:type="dxa"/>
              <w:bottom w:w="100" w:type="dxa"/>
              <w:left w:w="120" w:type="dxa"/>
              <w:right w:w="120" w:type="dxa"/>
            </w:tcMar>
            <w:vAlign w:val="center"/>
            <w:shd w:fill="fef2f2"/>
          </w:tcPr>
          <w:p>
            <w:pPr>
              <w:spacing w:before="40" w:after="40"/>
            </w:pPr>
            <w:r>
              <w:rPr>
                <w:color w:val="1E293B"/>
                <w:sz w:val="18"/>
              </w:rPr>
              <w:t>BLOCKED (PASS)</w:t>
            </w:r>
          </w:p>
        </w:tc>
      </w:tr>
      <w:tr>
        <w:trPr>
          <w:cantSplit/>
        </w:trPr>
        <w:tc>
          <w:tcPr>
            <w:tcW w:type="dxa" w:w="1872"/>
            <w:tcMar>
              <w:top w:w="100" w:type="dxa"/>
              <w:bottom w:w="100" w:type="dxa"/>
              <w:left w:w="120" w:type="dxa"/>
              <w:right w:w="120" w:type="dxa"/>
            </w:tcMar>
            <w:vAlign w:val="center"/>
            <w:shd w:fill="ffffff"/>
          </w:tcPr>
          <w:p>
            <w:pPr>
              <w:spacing w:before="40" w:after="40"/>
            </w:pPr>
            <w:r>
              <w:rPr>
                <w:color w:val="1E293B"/>
                <w:sz w:val="18"/>
              </w:rPr>
              <w:t>7. Key Mismatch</w:t>
            </w:r>
          </w:p>
        </w:tc>
        <w:tc>
          <w:tcPr>
            <w:tcW w:type="dxa" w:w="2304"/>
            <w:tcMar>
              <w:top w:w="100" w:type="dxa"/>
              <w:bottom w:w="100" w:type="dxa"/>
              <w:left w:w="120" w:type="dxa"/>
              <w:right w:w="120" w:type="dxa"/>
            </w:tcMar>
            <w:vAlign w:val="center"/>
            <w:shd w:fill="ffffff"/>
          </w:tcPr>
          <w:p>
            <w:pPr>
              <w:spacing w:before="40" w:after="40"/>
            </w:pPr>
            <w:r>
              <w:rPr>
                <w:color w:val="1E293B"/>
                <w:sz w:val="18"/>
              </w:rPr>
              <w:t>Decryption attempted using unauthorized foreign keyring</w:t>
            </w:r>
          </w:p>
        </w:tc>
        <w:tc>
          <w:tcPr>
            <w:tcW w:type="dxa" w:w="2016"/>
            <w:tcMar>
              <w:top w:w="100" w:type="dxa"/>
              <w:bottom w:w="100" w:type="dxa"/>
              <w:left w:w="120" w:type="dxa"/>
              <w:right w:w="120" w:type="dxa"/>
            </w:tcMar>
            <w:vAlign w:val="center"/>
            <w:shd w:fill="ffffff"/>
          </w:tcPr>
          <w:p>
            <w:pPr>
              <w:spacing w:before="40" w:after="40"/>
            </w:pPr>
            <w:r>
              <w:rPr>
                <w:color w:val="1E293B"/>
                <w:sz w:val="18"/>
              </w:rPr>
              <w:t>UUID &amp; Key Mismatch</w:t>
            </w:r>
          </w:p>
        </w:tc>
        <w:tc>
          <w:tcPr>
            <w:tcW w:type="dxa" w:w="2016"/>
            <w:tcMar>
              <w:top w:w="100" w:type="dxa"/>
              <w:bottom w:w="100" w:type="dxa"/>
              <w:left w:w="120" w:type="dxa"/>
              <w:right w:w="120" w:type="dxa"/>
            </w:tcMar>
            <w:vAlign w:val="center"/>
            <w:shd w:fill="ffffff"/>
          </w:tcPr>
          <w:p>
            <w:pPr>
              <w:spacing w:before="40" w:after="40"/>
            </w:pPr>
            <w:r>
              <w:rPr>
                <w:color w:val="1E293B"/>
                <w:sz w:val="18"/>
              </w:rPr>
              <w:t>KeyMismatchError</w:t>
            </w:r>
          </w:p>
        </w:tc>
        <w:tc>
          <w:tcPr>
            <w:tcW w:type="dxa" w:w="1152"/>
            <w:tcMar>
              <w:top w:w="100" w:type="dxa"/>
              <w:bottom w:w="100" w:type="dxa"/>
              <w:left w:w="120" w:type="dxa"/>
              <w:right w:w="120" w:type="dxa"/>
            </w:tcMar>
            <w:vAlign w:val="center"/>
            <w:shd w:fill="ffffff"/>
          </w:tcPr>
          <w:p>
            <w:pPr>
              <w:spacing w:before="40" w:after="40"/>
            </w:pPr>
            <w:r>
              <w:rPr>
                <w:color w:val="1E293B"/>
                <w:sz w:val="18"/>
              </w:rPr>
              <w:t>BLOCKED (PASS)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891b2"/>
              <w:bottom w:val="none"/>
              <w:right w:val="none"/>
            </w:tcBorders>
          </w:tcPr>
          <w:p>
            <w:pPr>
              <w:spacing w:before="40" w:after="80"/>
            </w:pPr>
            <w:r>
              <w:rPr>
                <w:b/>
                <w:color w:val="0891B2"/>
                <w:sz w:val="22"/>
              </w:rPr>
              <w:t>🔑 Asymmetric RSA-OAEP Hybrid Key Encapsulation (Digital Envelopes)</w:t>
              <w:br/>
            </w:r>
            <w:r>
              <w:rPr>
                <w:color w:val="334155"/>
                <w:sz w:val="20"/>
              </w:rPr>
              <w:t>To eliminate plaintext key storage risks on disk, CryptoFlow incorporates RSA-OAEP-SHA256 hybrid key wrapping. An ephemeral 256-bit symmetric Data Encapsulation Key (DEK) encrypts the KeyRing JSON with AES-256-GCM, and the DEK is encapsulated using the recipient's RSA public key. Only the authentic clinical recipient holding the corresponding RSA private key can decapsulate and unseal the patient encounter.</w:t>
            </w:r>
          </w:p>
        </w:tc>
      </w:tr>
    </w:tbl>
    <w:p>
      <w:pPr>
        <w:spacing w:after="120"/>
      </w:pPr>
    </w:p>
    <w:p>
      <w:pPr>
        <w:spacing w:after="240"/>
      </w:pPr>
    </w:p>
    <w:p>
      <w:pPr>
        <w:pStyle w:val="Heading1"/>
        <w:spacing w:before="280" w:after="120"/>
      </w:pPr>
      <w:r>
        <w:t>7. Experimental Performance Benchmarks &amp; Publication Figures</w:t>
      </w:r>
    </w:p>
    <w:p>
      <w:r>
        <w:t>Performance benchmarks were conducted across 5 bundle size tiers (100 KB to 25 MB) with 3 repeated iterations per tier. The results demonstrate high computational throughput and negligible storage overhead, proving CryptoFlow is suitable for real-time PACS (Picture Archiving and Communication System) integration.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440"/>
            <w:tcMar>
              <w:top w:w="100" w:type="dxa"/>
              <w:bottom w:w="100" w:type="dxa"/>
              <w:left w:w="120" w:type="dxa"/>
              <w:right w:w="120" w:type="dxa"/>
            </w:tcMar>
            <w:vAlign w:val="center"/>
            <w:shd w:fill="1e3a8a"/>
          </w:tcPr>
          <w:p>
            <w:pPr>
              <w:spacing w:before="40" w:after="40"/>
            </w:pPr>
            <w:r>
              <w:rPr>
                <w:b/>
                <w:color w:val="FFFFFF"/>
                <w:sz w:val="19"/>
              </w:rPr>
              <w:t>Bundle Size</w:t>
            </w:r>
          </w:p>
        </w:tc>
        <w:tc>
          <w:tcPr>
            <w:tcW w:type="dxa" w:w="1728"/>
            <w:tcMar>
              <w:top w:w="100" w:type="dxa"/>
              <w:bottom w:w="100" w:type="dxa"/>
              <w:left w:w="120" w:type="dxa"/>
              <w:right w:w="120" w:type="dxa"/>
            </w:tcMar>
            <w:vAlign w:val="center"/>
            <w:shd w:fill="1e3a8a"/>
          </w:tcPr>
          <w:p>
            <w:pPr>
              <w:spacing w:before="40" w:after="40"/>
            </w:pPr>
            <w:r>
              <w:rPr>
                <w:b/>
                <w:color w:val="FFFFFF"/>
                <w:sz w:val="19"/>
              </w:rPr>
              <w:t>Enc Latency (s)</w:t>
            </w:r>
          </w:p>
        </w:tc>
        <w:tc>
          <w:tcPr>
            <w:tcW w:type="dxa" w:w="1728"/>
            <w:tcMar>
              <w:top w:w="100" w:type="dxa"/>
              <w:bottom w:w="100" w:type="dxa"/>
              <w:left w:w="120" w:type="dxa"/>
              <w:right w:w="120" w:type="dxa"/>
            </w:tcMar>
            <w:vAlign w:val="center"/>
            <w:shd w:fill="1e3a8a"/>
          </w:tcPr>
          <w:p>
            <w:pPr>
              <w:spacing w:before="40" w:after="40"/>
            </w:pPr>
            <w:r>
              <w:rPr>
                <w:b/>
                <w:color w:val="FFFFFF"/>
                <w:sz w:val="19"/>
              </w:rPr>
              <w:t>Dec Latency (s)</w:t>
            </w:r>
          </w:p>
        </w:tc>
        <w:tc>
          <w:tcPr>
            <w:tcW w:type="dxa" w:w="1584"/>
            <w:tcMar>
              <w:top w:w="100" w:type="dxa"/>
              <w:bottom w:w="100" w:type="dxa"/>
              <w:left w:w="120" w:type="dxa"/>
              <w:right w:w="120" w:type="dxa"/>
            </w:tcMar>
            <w:vAlign w:val="center"/>
            <w:shd w:fill="1e3a8a"/>
          </w:tcPr>
          <w:p>
            <w:pPr>
              <w:spacing w:before="40" w:after="40"/>
            </w:pPr>
            <w:r>
              <w:rPr>
                <w:b/>
                <w:color w:val="FFFFFF"/>
                <w:sz w:val="19"/>
              </w:rPr>
              <w:t>Enc Throughput</w:t>
            </w:r>
          </w:p>
        </w:tc>
        <w:tc>
          <w:tcPr>
            <w:tcW w:type="dxa" w:w="1584"/>
            <w:tcMar>
              <w:top w:w="100" w:type="dxa"/>
              <w:bottom w:w="100" w:type="dxa"/>
              <w:left w:w="120" w:type="dxa"/>
              <w:right w:w="120" w:type="dxa"/>
            </w:tcMar>
            <w:vAlign w:val="center"/>
            <w:shd w:fill="1e3a8a"/>
          </w:tcPr>
          <w:p>
            <w:pPr>
              <w:spacing w:before="40" w:after="40"/>
            </w:pPr>
            <w:r>
              <w:rPr>
                <w:b/>
                <w:color w:val="FFFFFF"/>
                <w:sz w:val="19"/>
              </w:rPr>
              <w:t>Dec Throughput</w:t>
            </w:r>
          </w:p>
        </w:tc>
        <w:tc>
          <w:tcPr>
            <w:tcW w:type="dxa" w:w="1296"/>
            <w:tcMar>
              <w:top w:w="100" w:type="dxa"/>
              <w:bottom w:w="100" w:type="dxa"/>
              <w:left w:w="120" w:type="dxa"/>
              <w:right w:w="120" w:type="dxa"/>
            </w:tcMar>
            <w:vAlign w:val="center"/>
            <w:shd w:fill="1e3a8a"/>
          </w:tcPr>
          <w:p>
            <w:pPr>
              <w:spacing w:before="40" w:after="40"/>
            </w:pPr>
            <w:r>
              <w:rPr>
                <w:b/>
                <w:color w:val="FFFFFF"/>
                <w:sz w:val="19"/>
              </w:rPr>
              <w:t>Overhead</w:t>
            </w:r>
          </w:p>
        </w:tc>
      </w:tr>
      <w:tr>
        <w:trPr>
          <w:cantSplit/>
        </w:trPr>
        <w:tc>
          <w:tcPr>
            <w:tcW w:type="dxa" w:w="1440"/>
            <w:tcMar>
              <w:top w:w="100" w:type="dxa"/>
              <w:bottom w:w="100" w:type="dxa"/>
              <w:left w:w="120" w:type="dxa"/>
              <w:right w:w="120" w:type="dxa"/>
            </w:tcMar>
            <w:vAlign w:val="center"/>
            <w:shd w:fill="ffffff"/>
          </w:tcPr>
          <w:p>
            <w:pPr>
              <w:spacing w:before="40" w:after="40"/>
            </w:pPr>
            <w:r>
              <w:rPr>
                <w:color w:val="1E293B"/>
                <w:sz w:val="18"/>
              </w:rPr>
              <w:t>100 KB</w:t>
            </w:r>
          </w:p>
        </w:tc>
        <w:tc>
          <w:tcPr>
            <w:tcW w:type="dxa" w:w="1728"/>
            <w:tcMar>
              <w:top w:w="100" w:type="dxa"/>
              <w:bottom w:w="100" w:type="dxa"/>
              <w:left w:w="120" w:type="dxa"/>
              <w:right w:w="120" w:type="dxa"/>
            </w:tcMar>
            <w:vAlign w:val="center"/>
            <w:shd w:fill="ffffff"/>
          </w:tcPr>
          <w:p>
            <w:pPr>
              <w:spacing w:before="40" w:after="40"/>
            </w:pPr>
            <w:r>
              <w:rPr>
                <w:color w:val="1E293B"/>
                <w:sz w:val="18"/>
              </w:rPr>
              <w:t>0.0728 ± 0.0225 s</w:t>
            </w:r>
          </w:p>
        </w:tc>
        <w:tc>
          <w:tcPr>
            <w:tcW w:type="dxa" w:w="1728"/>
            <w:tcMar>
              <w:top w:w="100" w:type="dxa"/>
              <w:bottom w:w="100" w:type="dxa"/>
              <w:left w:w="120" w:type="dxa"/>
              <w:right w:w="120" w:type="dxa"/>
            </w:tcMar>
            <w:vAlign w:val="center"/>
            <w:shd w:fill="ffffff"/>
          </w:tcPr>
          <w:p>
            <w:pPr>
              <w:spacing w:before="40" w:after="40"/>
            </w:pPr>
            <w:r>
              <w:rPr>
                <w:color w:val="1E293B"/>
                <w:sz w:val="18"/>
              </w:rPr>
              <w:t>0.0391 ± 0.0025 s</w:t>
            </w:r>
          </w:p>
        </w:tc>
        <w:tc>
          <w:tcPr>
            <w:tcW w:type="dxa" w:w="1584"/>
            <w:tcMar>
              <w:top w:w="100" w:type="dxa"/>
              <w:bottom w:w="100" w:type="dxa"/>
              <w:left w:w="120" w:type="dxa"/>
              <w:right w:w="120" w:type="dxa"/>
            </w:tcMar>
            <w:vAlign w:val="center"/>
            <w:shd w:fill="ffffff"/>
          </w:tcPr>
          <w:p>
            <w:pPr>
              <w:spacing w:before="40" w:after="40"/>
            </w:pPr>
            <w:r>
              <w:rPr>
                <w:color w:val="1E293B"/>
                <w:sz w:val="18"/>
              </w:rPr>
              <w:t>1.47 MB/s</w:t>
            </w:r>
          </w:p>
        </w:tc>
        <w:tc>
          <w:tcPr>
            <w:tcW w:type="dxa" w:w="1584"/>
            <w:tcMar>
              <w:top w:w="100" w:type="dxa"/>
              <w:bottom w:w="100" w:type="dxa"/>
              <w:left w:w="120" w:type="dxa"/>
              <w:right w:w="120" w:type="dxa"/>
            </w:tcMar>
            <w:vAlign w:val="center"/>
            <w:shd w:fill="ffffff"/>
          </w:tcPr>
          <w:p>
            <w:pPr>
              <w:spacing w:before="40" w:after="40"/>
            </w:pPr>
            <w:r>
              <w:rPr>
                <w:color w:val="1E293B"/>
                <w:sz w:val="18"/>
              </w:rPr>
              <w:t>2.52 MB/s</w:t>
            </w:r>
          </w:p>
        </w:tc>
        <w:tc>
          <w:tcPr>
            <w:tcW w:type="dxa" w:w="1296"/>
            <w:tcMar>
              <w:top w:w="100" w:type="dxa"/>
              <w:bottom w:w="100" w:type="dxa"/>
              <w:left w:w="120" w:type="dxa"/>
              <w:right w:w="120" w:type="dxa"/>
            </w:tcMar>
            <w:vAlign w:val="center"/>
            <w:shd w:fill="ffffff"/>
          </w:tcPr>
          <w:p>
            <w:pPr>
              <w:spacing w:before="40" w:after="40"/>
            </w:pPr>
            <w:r>
              <w:rPr>
                <w:color w:val="1E293B"/>
                <w:sz w:val="18"/>
              </w:rPr>
              <w:t>1.08%</w:t>
            </w:r>
          </w:p>
        </w:tc>
      </w:tr>
      <w:tr>
        <w:trPr>
          <w:cantSplit/>
        </w:trPr>
        <w:tc>
          <w:tcPr>
            <w:tcW w:type="dxa" w:w="1440"/>
            <w:tcMar>
              <w:top w:w="100" w:type="dxa"/>
              <w:bottom w:w="100" w:type="dxa"/>
              <w:left w:w="120" w:type="dxa"/>
              <w:right w:w="120" w:type="dxa"/>
            </w:tcMar>
            <w:vAlign w:val="center"/>
            <w:shd w:fill="eff6ff"/>
          </w:tcPr>
          <w:p>
            <w:pPr>
              <w:spacing w:before="40" w:after="40"/>
            </w:pPr>
            <w:r>
              <w:rPr>
                <w:color w:val="1E293B"/>
                <w:sz w:val="18"/>
              </w:rPr>
              <w:t>1 MB</w:t>
            </w:r>
          </w:p>
        </w:tc>
        <w:tc>
          <w:tcPr>
            <w:tcW w:type="dxa" w:w="1728"/>
            <w:tcMar>
              <w:top w:w="100" w:type="dxa"/>
              <w:bottom w:w="100" w:type="dxa"/>
              <w:left w:w="120" w:type="dxa"/>
              <w:right w:w="120" w:type="dxa"/>
            </w:tcMar>
            <w:vAlign w:val="center"/>
            <w:shd w:fill="eff6ff"/>
          </w:tcPr>
          <w:p>
            <w:pPr>
              <w:spacing w:before="40" w:after="40"/>
            </w:pPr>
            <w:r>
              <w:rPr>
                <w:color w:val="1E293B"/>
                <w:sz w:val="18"/>
              </w:rPr>
              <w:t>0.0624 ± 0.0255 s</w:t>
            </w:r>
          </w:p>
        </w:tc>
        <w:tc>
          <w:tcPr>
            <w:tcW w:type="dxa" w:w="1728"/>
            <w:tcMar>
              <w:top w:w="100" w:type="dxa"/>
              <w:bottom w:w="100" w:type="dxa"/>
              <w:left w:w="120" w:type="dxa"/>
              <w:right w:w="120" w:type="dxa"/>
            </w:tcMar>
            <w:vAlign w:val="center"/>
            <w:shd w:fill="eff6ff"/>
          </w:tcPr>
          <w:p>
            <w:pPr>
              <w:spacing w:before="40" w:after="40"/>
            </w:pPr>
            <w:r>
              <w:rPr>
                <w:color w:val="1E293B"/>
                <w:sz w:val="18"/>
              </w:rPr>
              <w:t>0.0641 ± 0.0485 s</w:t>
            </w:r>
          </w:p>
        </w:tc>
        <w:tc>
          <w:tcPr>
            <w:tcW w:type="dxa" w:w="1584"/>
            <w:tcMar>
              <w:top w:w="100" w:type="dxa"/>
              <w:bottom w:w="100" w:type="dxa"/>
              <w:left w:w="120" w:type="dxa"/>
              <w:right w:w="120" w:type="dxa"/>
            </w:tcMar>
            <w:vAlign w:val="center"/>
            <w:shd w:fill="eff6ff"/>
          </w:tcPr>
          <w:p>
            <w:pPr>
              <w:spacing w:before="40" w:after="40"/>
            </w:pPr>
            <w:r>
              <w:rPr>
                <w:color w:val="1E293B"/>
                <w:sz w:val="18"/>
              </w:rPr>
              <w:t>17.63 MB/s</w:t>
            </w:r>
          </w:p>
        </w:tc>
        <w:tc>
          <w:tcPr>
            <w:tcW w:type="dxa" w:w="1584"/>
            <w:tcMar>
              <w:top w:w="100" w:type="dxa"/>
              <w:bottom w:w="100" w:type="dxa"/>
              <w:left w:w="120" w:type="dxa"/>
              <w:right w:w="120" w:type="dxa"/>
            </w:tcMar>
            <w:vAlign w:val="center"/>
            <w:shd w:fill="eff6ff"/>
          </w:tcPr>
          <w:p>
            <w:pPr>
              <w:spacing w:before="40" w:after="40"/>
            </w:pPr>
            <w:r>
              <w:rPr>
                <w:color w:val="1E293B"/>
                <w:sz w:val="18"/>
              </w:rPr>
              <w:t>21.28 MB/s</w:t>
            </w:r>
          </w:p>
        </w:tc>
        <w:tc>
          <w:tcPr>
            <w:tcW w:type="dxa" w:w="1296"/>
            <w:tcMar>
              <w:top w:w="100" w:type="dxa"/>
              <w:bottom w:w="100" w:type="dxa"/>
              <w:left w:w="120" w:type="dxa"/>
              <w:right w:w="120" w:type="dxa"/>
            </w:tcMar>
            <w:vAlign w:val="center"/>
            <w:shd w:fill="eff6ff"/>
          </w:tcPr>
          <w:p>
            <w:pPr>
              <w:spacing w:before="40" w:after="40"/>
            </w:pPr>
            <w:r>
              <w:rPr>
                <w:color w:val="1E293B"/>
                <w:sz w:val="18"/>
              </w:rPr>
              <w:t>0.11%</w:t>
            </w:r>
          </w:p>
        </w:tc>
      </w:tr>
      <w:tr>
        <w:trPr>
          <w:cantSplit/>
        </w:trPr>
        <w:tc>
          <w:tcPr>
            <w:tcW w:type="dxa" w:w="1440"/>
            <w:tcMar>
              <w:top w:w="100" w:type="dxa"/>
              <w:bottom w:w="100" w:type="dxa"/>
              <w:left w:w="120" w:type="dxa"/>
              <w:right w:w="120" w:type="dxa"/>
            </w:tcMar>
            <w:vAlign w:val="center"/>
            <w:shd w:fill="ffffff"/>
          </w:tcPr>
          <w:p>
            <w:pPr>
              <w:spacing w:before="40" w:after="40"/>
            </w:pPr>
            <w:r>
              <w:rPr>
                <w:color w:val="1E293B"/>
                <w:sz w:val="18"/>
              </w:rPr>
              <w:t>5 MB</w:t>
            </w:r>
          </w:p>
        </w:tc>
        <w:tc>
          <w:tcPr>
            <w:tcW w:type="dxa" w:w="1728"/>
            <w:tcMar>
              <w:top w:w="100" w:type="dxa"/>
              <w:bottom w:w="100" w:type="dxa"/>
              <w:left w:w="120" w:type="dxa"/>
              <w:right w:w="120" w:type="dxa"/>
            </w:tcMar>
            <w:vAlign w:val="center"/>
            <w:shd w:fill="ffffff"/>
          </w:tcPr>
          <w:p>
            <w:pPr>
              <w:spacing w:before="40" w:after="40"/>
            </w:pPr>
            <w:r>
              <w:rPr>
                <w:color w:val="1E293B"/>
                <w:sz w:val="18"/>
              </w:rPr>
              <w:t>0.0912 ± 0.0223 s</w:t>
            </w:r>
          </w:p>
        </w:tc>
        <w:tc>
          <w:tcPr>
            <w:tcW w:type="dxa" w:w="1728"/>
            <w:tcMar>
              <w:top w:w="100" w:type="dxa"/>
              <w:bottom w:w="100" w:type="dxa"/>
              <w:left w:w="120" w:type="dxa"/>
              <w:right w:w="120" w:type="dxa"/>
            </w:tcMar>
            <w:vAlign w:val="center"/>
            <w:shd w:fill="ffffff"/>
          </w:tcPr>
          <w:p>
            <w:pPr>
              <w:spacing w:before="40" w:after="40"/>
            </w:pPr>
            <w:r>
              <w:rPr>
                <w:color w:val="1E293B"/>
                <w:sz w:val="18"/>
              </w:rPr>
              <w:t>0.1256 ± 0.0606 s</w:t>
            </w:r>
          </w:p>
        </w:tc>
        <w:tc>
          <w:tcPr>
            <w:tcW w:type="dxa" w:w="1584"/>
            <w:tcMar>
              <w:top w:w="100" w:type="dxa"/>
              <w:bottom w:w="100" w:type="dxa"/>
              <w:left w:w="120" w:type="dxa"/>
              <w:right w:w="120" w:type="dxa"/>
            </w:tcMar>
            <w:vAlign w:val="center"/>
            <w:shd w:fill="ffffff"/>
          </w:tcPr>
          <w:p>
            <w:pPr>
              <w:spacing w:before="40" w:after="40"/>
            </w:pPr>
            <w:r>
              <w:rPr>
                <w:color w:val="1E293B"/>
                <w:sz w:val="18"/>
              </w:rPr>
              <w:t>57.52 MB/s</w:t>
            </w:r>
          </w:p>
        </w:tc>
        <w:tc>
          <w:tcPr>
            <w:tcW w:type="dxa" w:w="1584"/>
            <w:tcMar>
              <w:top w:w="100" w:type="dxa"/>
              <w:bottom w:w="100" w:type="dxa"/>
              <w:left w:w="120" w:type="dxa"/>
              <w:right w:w="120" w:type="dxa"/>
            </w:tcMar>
            <w:vAlign w:val="center"/>
            <w:shd w:fill="ffffff"/>
          </w:tcPr>
          <w:p>
            <w:pPr>
              <w:spacing w:before="40" w:after="40"/>
            </w:pPr>
            <w:r>
              <w:rPr>
                <w:color w:val="1E293B"/>
                <w:sz w:val="18"/>
              </w:rPr>
              <w:t>45.31 MB/s</w:t>
            </w:r>
          </w:p>
        </w:tc>
        <w:tc>
          <w:tcPr>
            <w:tcW w:type="dxa" w:w="1296"/>
            <w:tcMar>
              <w:top w:w="100" w:type="dxa"/>
              <w:bottom w:w="100" w:type="dxa"/>
              <w:left w:w="120" w:type="dxa"/>
              <w:right w:w="120" w:type="dxa"/>
            </w:tcMar>
            <w:vAlign w:val="center"/>
            <w:shd w:fill="ffffff"/>
          </w:tcPr>
          <w:p>
            <w:pPr>
              <w:spacing w:before="40" w:after="40"/>
            </w:pPr>
            <w:r>
              <w:rPr>
                <w:color w:val="1E293B"/>
                <w:sz w:val="18"/>
              </w:rPr>
              <w:t>0.02%</w:t>
            </w:r>
          </w:p>
        </w:tc>
      </w:tr>
      <w:tr>
        <w:trPr>
          <w:cantSplit/>
        </w:trPr>
        <w:tc>
          <w:tcPr>
            <w:tcW w:type="dxa" w:w="1440"/>
            <w:tcMar>
              <w:top w:w="100" w:type="dxa"/>
              <w:bottom w:w="100" w:type="dxa"/>
              <w:left w:w="120" w:type="dxa"/>
              <w:right w:w="120" w:type="dxa"/>
            </w:tcMar>
            <w:vAlign w:val="center"/>
            <w:shd w:fill="eff6ff"/>
          </w:tcPr>
          <w:p>
            <w:pPr>
              <w:spacing w:before="40" w:after="40"/>
            </w:pPr>
            <w:r>
              <w:rPr>
                <w:color w:val="1E293B"/>
                <w:sz w:val="18"/>
              </w:rPr>
              <w:t>10 MB</w:t>
            </w:r>
          </w:p>
        </w:tc>
        <w:tc>
          <w:tcPr>
            <w:tcW w:type="dxa" w:w="1728"/>
            <w:tcMar>
              <w:top w:w="100" w:type="dxa"/>
              <w:bottom w:w="100" w:type="dxa"/>
              <w:left w:w="120" w:type="dxa"/>
              <w:right w:w="120" w:type="dxa"/>
            </w:tcMar>
            <w:vAlign w:val="center"/>
            <w:shd w:fill="eff6ff"/>
          </w:tcPr>
          <w:p>
            <w:pPr>
              <w:spacing w:before="40" w:after="40"/>
            </w:pPr>
            <w:r>
              <w:rPr>
                <w:color w:val="1E293B"/>
                <w:sz w:val="18"/>
              </w:rPr>
              <w:t>0.1182 ± 0.0099 s</w:t>
            </w:r>
          </w:p>
        </w:tc>
        <w:tc>
          <w:tcPr>
            <w:tcW w:type="dxa" w:w="1728"/>
            <w:tcMar>
              <w:top w:w="100" w:type="dxa"/>
              <w:bottom w:w="100" w:type="dxa"/>
              <w:left w:w="120" w:type="dxa"/>
              <w:right w:w="120" w:type="dxa"/>
            </w:tcMar>
            <w:vAlign w:val="center"/>
            <w:shd w:fill="eff6ff"/>
          </w:tcPr>
          <w:p>
            <w:pPr>
              <w:spacing w:before="40" w:after="40"/>
            </w:pPr>
            <w:r>
              <w:rPr>
                <w:color w:val="1E293B"/>
                <w:sz w:val="18"/>
              </w:rPr>
              <w:t>0.1038 ± 0.0276 s</w:t>
            </w:r>
          </w:p>
        </w:tc>
        <w:tc>
          <w:tcPr>
            <w:tcW w:type="dxa" w:w="1584"/>
            <w:tcMar>
              <w:top w:w="100" w:type="dxa"/>
              <w:bottom w:w="100" w:type="dxa"/>
              <w:left w:w="120" w:type="dxa"/>
              <w:right w:w="120" w:type="dxa"/>
            </w:tcMar>
            <w:vAlign w:val="center"/>
            <w:shd w:fill="eff6ff"/>
          </w:tcPr>
          <w:p>
            <w:pPr>
              <w:spacing w:before="40" w:after="40"/>
            </w:pPr>
            <w:r>
              <w:rPr>
                <w:color w:val="1E293B"/>
                <w:sz w:val="18"/>
              </w:rPr>
              <w:t>85.04 MB/s</w:t>
            </w:r>
          </w:p>
        </w:tc>
        <w:tc>
          <w:tcPr>
            <w:tcW w:type="dxa" w:w="1584"/>
            <w:tcMar>
              <w:top w:w="100" w:type="dxa"/>
              <w:bottom w:w="100" w:type="dxa"/>
              <w:left w:w="120" w:type="dxa"/>
              <w:right w:w="120" w:type="dxa"/>
            </w:tcMar>
            <w:vAlign w:val="center"/>
            <w:shd w:fill="eff6ff"/>
          </w:tcPr>
          <w:p>
            <w:pPr>
              <w:spacing w:before="40" w:after="40"/>
            </w:pPr>
            <w:r>
              <w:rPr>
                <w:color w:val="1E293B"/>
                <w:sz w:val="18"/>
              </w:rPr>
              <w:t>101.29 MB/s</w:t>
            </w:r>
          </w:p>
        </w:tc>
        <w:tc>
          <w:tcPr>
            <w:tcW w:type="dxa" w:w="1296"/>
            <w:tcMar>
              <w:top w:w="100" w:type="dxa"/>
              <w:bottom w:w="100" w:type="dxa"/>
              <w:left w:w="120" w:type="dxa"/>
              <w:right w:w="120" w:type="dxa"/>
            </w:tcMar>
            <w:vAlign w:val="center"/>
            <w:shd w:fill="eff6ff"/>
          </w:tcPr>
          <w:p>
            <w:pPr>
              <w:spacing w:before="40" w:after="40"/>
            </w:pPr>
            <w:r>
              <w:rPr>
                <w:color w:val="1E293B"/>
                <w:sz w:val="18"/>
              </w:rPr>
              <w:t>0.01%</w:t>
            </w:r>
          </w:p>
        </w:tc>
      </w:tr>
      <w:tr>
        <w:trPr>
          <w:cantSplit/>
        </w:trPr>
        <w:tc>
          <w:tcPr>
            <w:tcW w:type="dxa" w:w="1440"/>
            <w:tcMar>
              <w:top w:w="100" w:type="dxa"/>
              <w:bottom w:w="100" w:type="dxa"/>
              <w:left w:w="120" w:type="dxa"/>
              <w:right w:w="120" w:type="dxa"/>
            </w:tcMar>
            <w:vAlign w:val="center"/>
            <w:shd w:fill="ffffff"/>
          </w:tcPr>
          <w:p>
            <w:pPr>
              <w:spacing w:before="40" w:after="40"/>
            </w:pPr>
            <w:r>
              <w:rPr>
                <w:color w:val="1E293B"/>
                <w:sz w:val="18"/>
              </w:rPr>
              <w:t>25 MB</w:t>
            </w:r>
          </w:p>
        </w:tc>
        <w:tc>
          <w:tcPr>
            <w:tcW w:type="dxa" w:w="1728"/>
            <w:tcMar>
              <w:top w:w="100" w:type="dxa"/>
              <w:bottom w:w="100" w:type="dxa"/>
              <w:left w:w="120" w:type="dxa"/>
              <w:right w:w="120" w:type="dxa"/>
            </w:tcMar>
            <w:vAlign w:val="center"/>
            <w:shd w:fill="ffffff"/>
          </w:tcPr>
          <w:p>
            <w:pPr>
              <w:spacing w:before="40" w:after="40"/>
            </w:pPr>
            <w:r>
              <w:rPr>
                <w:color w:val="1E293B"/>
                <w:sz w:val="18"/>
              </w:rPr>
              <w:t>0.2086 ± 0.0075 s</w:t>
            </w:r>
          </w:p>
        </w:tc>
        <w:tc>
          <w:tcPr>
            <w:tcW w:type="dxa" w:w="1728"/>
            <w:tcMar>
              <w:top w:w="100" w:type="dxa"/>
              <w:bottom w:w="100" w:type="dxa"/>
              <w:left w:w="120" w:type="dxa"/>
              <w:right w:w="120" w:type="dxa"/>
            </w:tcMar>
            <w:vAlign w:val="center"/>
            <w:shd w:fill="ffffff"/>
          </w:tcPr>
          <w:p>
            <w:pPr>
              <w:spacing w:before="40" w:after="40"/>
            </w:pPr>
            <w:r>
              <w:rPr>
                <w:color w:val="1E293B"/>
                <w:sz w:val="18"/>
              </w:rPr>
              <w:t>0.1904 ± 0.0091 s</w:t>
            </w:r>
          </w:p>
        </w:tc>
        <w:tc>
          <w:tcPr>
            <w:tcW w:type="dxa" w:w="1584"/>
            <w:tcMar>
              <w:top w:w="100" w:type="dxa"/>
              <w:bottom w:w="100" w:type="dxa"/>
              <w:left w:w="120" w:type="dxa"/>
              <w:right w:w="120" w:type="dxa"/>
            </w:tcMar>
            <w:vAlign w:val="center"/>
            <w:shd w:fill="ffffff"/>
          </w:tcPr>
          <w:p>
            <w:pPr>
              <w:spacing w:before="40" w:after="40"/>
            </w:pPr>
            <w:r>
              <w:rPr>
                <w:color w:val="1E293B"/>
                <w:sz w:val="18"/>
              </w:rPr>
              <w:t>119.94 MB/s</w:t>
            </w:r>
          </w:p>
        </w:tc>
        <w:tc>
          <w:tcPr>
            <w:tcW w:type="dxa" w:w="1584"/>
            <w:tcMar>
              <w:top w:w="100" w:type="dxa"/>
              <w:bottom w:w="100" w:type="dxa"/>
              <w:left w:w="120" w:type="dxa"/>
              <w:right w:w="120" w:type="dxa"/>
            </w:tcMar>
            <w:vAlign w:val="center"/>
            <w:shd w:fill="ffffff"/>
          </w:tcPr>
          <w:p>
            <w:pPr>
              <w:spacing w:before="40" w:after="40"/>
            </w:pPr>
            <w:r>
              <w:rPr>
                <w:color w:val="1E293B"/>
                <w:sz w:val="18"/>
              </w:rPr>
              <w:t>131.49 MB/s</w:t>
            </w:r>
          </w:p>
        </w:tc>
        <w:tc>
          <w:tcPr>
            <w:tcW w:type="dxa" w:w="1296"/>
            <w:tcMar>
              <w:top w:w="100" w:type="dxa"/>
              <w:bottom w:w="100" w:type="dxa"/>
              <w:left w:w="120" w:type="dxa"/>
              <w:right w:w="120" w:type="dxa"/>
            </w:tcMar>
            <w:vAlign w:val="center"/>
            <w:shd w:fill="ffffff"/>
          </w:tcPr>
          <w:p>
            <w:pPr>
              <w:spacing w:before="40" w:after="40"/>
            </w:pPr>
            <w:r>
              <w:rPr>
                <w:color w:val="1E293B"/>
                <w:sz w:val="18"/>
              </w:rPr>
              <w:t>&lt; 0.01%</w:t>
            </w:r>
          </w:p>
        </w:tc>
      </w:tr>
    </w:tbl>
    <w:p>
      <w:pPr>
        <w:spacing w:after="240"/>
      </w:pPr>
    </w:p>
    <w:p>
      <w:pPr>
        <w:pStyle w:val="Heading2"/>
        <w:spacing w:before="200" w:after="80"/>
      </w:pPr>
      <w:r>
        <w:t>Figure 1: System Architecture Overview</w:t>
      </w:r>
    </w:p>
    <w:p>
      <w:r>
        <w:drawing>
          <wp:inline xmlns:a="http://schemas.openxmlformats.org/drawingml/2006/main" xmlns:pic="http://schemas.openxmlformats.org/drawingml/2006/picture">
            <wp:extent cx="5486400" cy="4667466"/>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486400" cy="4667466"/>
                    </a:xfrm>
                    <a:prstGeom prst="rect"/>
                  </pic:spPr>
                </pic:pic>
              </a:graphicData>
            </a:graphic>
          </wp:inline>
        </w:drawing>
      </w:r>
    </w:p>
    <w:p>
      <w:pPr>
        <w:spacing w:after="240"/>
      </w:pPr>
      <w:r>
        <w:rPr>
          <w:i/>
          <w:sz w:val="18"/>
        </w:rPr>
        <w:t>Fig 1. High-level architecture showing how diverse patient files are transformed by the CryptoFlow engine into a unified, tamper-proof .cryptoflow bundle.</w:t>
      </w:r>
    </w:p>
    <w:p>
      <w:pPr>
        <w:pStyle w:val="Heading2"/>
        <w:spacing w:before="200" w:after="80"/>
      </w:pPr>
      <w:r>
        <w:t>Figure 2: 5-Stage Pipeline Flowchart</w:t>
      </w:r>
    </w:p>
    <w:p>
      <w:r>
        <w:drawing>
          <wp:inline xmlns:a="http://schemas.openxmlformats.org/drawingml/2006/main" xmlns:pic="http://schemas.openxmlformats.org/drawingml/2006/picture">
            <wp:extent cx="5486400" cy="4667466"/>
            <wp:docPr id="2" name="Picture 2"/>
            <wp:cNvGraphicFramePr>
              <a:graphicFrameLocks noChangeAspect="1"/>
            </wp:cNvGraphicFramePr>
            <a:graphic>
              <a:graphicData uri="http://schemas.openxmlformats.org/drawingml/2006/picture">
                <pic:pic>
                  <pic:nvPicPr>
                    <pic:cNvPr id="0" name="pipeline_flowchart.png"/>
                    <pic:cNvPicPr/>
                  </pic:nvPicPr>
                  <pic:blipFill>
                    <a:blip r:embed="rId12"/>
                    <a:stretch>
                      <a:fillRect/>
                    </a:stretch>
                  </pic:blipFill>
                  <pic:spPr>
                    <a:xfrm>
                      <a:off x="0" y="0"/>
                      <a:ext cx="5486400" cy="4667466"/>
                    </a:xfrm>
                    <a:prstGeom prst="rect"/>
                  </pic:spPr>
                </pic:pic>
              </a:graphicData>
            </a:graphic>
          </wp:inline>
        </w:drawing>
      </w:r>
    </w:p>
    <w:p>
      <w:pPr>
        <w:spacing w:after="240"/>
      </w:pPr>
      <w:r>
        <w:rPr>
          <w:i/>
          <w:sz w:val="18"/>
        </w:rPr>
        <w:t>Fig 2. The sequential deterministic 5-stage pipeline. It shows the flow from ingestion and normalization, through key generation and GCM encryption, ending in cross-modal binding and packaging.</w:t>
      </w:r>
    </w:p>
    <w:p>
      <w:pPr>
        <w:pStyle w:val="Heading2"/>
        <w:spacing w:before="200" w:after="80"/>
      </w:pPr>
      <w:r>
        <w:t>Figure 3: Cryptographic Key Hierarchy</w:t>
      </w:r>
    </w:p>
    <w:p>
      <w:r>
        <w:drawing>
          <wp:inline xmlns:a="http://schemas.openxmlformats.org/drawingml/2006/main" xmlns:pic="http://schemas.openxmlformats.org/drawingml/2006/picture">
            <wp:extent cx="5486400" cy="4667466"/>
            <wp:docPr id="3" name="Picture 3"/>
            <wp:cNvGraphicFramePr>
              <a:graphicFrameLocks noChangeAspect="1"/>
            </wp:cNvGraphicFramePr>
            <a:graphic>
              <a:graphicData uri="http://schemas.openxmlformats.org/drawingml/2006/picture">
                <pic:pic>
                  <pic:nvPicPr>
                    <pic:cNvPr id="0" name="key_hierarchy.png"/>
                    <pic:cNvPicPr/>
                  </pic:nvPicPr>
                  <pic:blipFill>
                    <a:blip r:embed="rId13"/>
                    <a:stretch>
                      <a:fillRect/>
                    </a:stretch>
                  </pic:blipFill>
                  <pic:spPr>
                    <a:xfrm>
                      <a:off x="0" y="0"/>
                      <a:ext cx="5486400" cy="4667466"/>
                    </a:xfrm>
                    <a:prstGeom prst="rect"/>
                  </pic:spPr>
                </pic:pic>
              </a:graphicData>
            </a:graphic>
          </wp:inline>
        </w:drawing>
      </w:r>
    </w:p>
    <w:p>
      <w:pPr>
        <w:spacing w:after="240"/>
      </w:pPr>
      <w:r>
        <w:rPr>
          <w:i/>
          <w:sz w:val="18"/>
        </w:rPr>
        <w:t>Fig 3. The deterministic key derivation tree. A root entropy source generates distinct sub-keys for each modality (Image, Text, Metadata) and a master HMAC key for final binding.</w:t>
      </w:r>
    </w:p>
    <w:p>
      <w:pPr>
        <w:pStyle w:val="Heading2"/>
        <w:spacing w:before="200" w:after="80"/>
      </w:pPr>
      <w:r>
        <w:t>Figure 4: Bundle Binary Format Layout</w:t>
      </w:r>
    </w:p>
    <w:p>
      <w:r>
        <w:drawing>
          <wp:inline xmlns:a="http://schemas.openxmlformats.org/drawingml/2006/main" xmlns:pic="http://schemas.openxmlformats.org/drawingml/2006/picture">
            <wp:extent cx="5486400" cy="4667466"/>
            <wp:docPr id="4" name="Picture 4"/>
            <wp:cNvGraphicFramePr>
              <a:graphicFrameLocks noChangeAspect="1"/>
            </wp:cNvGraphicFramePr>
            <a:graphic>
              <a:graphicData uri="http://schemas.openxmlformats.org/drawingml/2006/picture">
                <pic:pic>
                  <pic:nvPicPr>
                    <pic:cNvPr id="0" name="bundle_format.png"/>
                    <pic:cNvPicPr/>
                  </pic:nvPicPr>
                  <pic:blipFill>
                    <a:blip r:embed="rId14"/>
                    <a:stretch>
                      <a:fillRect/>
                    </a:stretch>
                  </pic:blipFill>
                  <pic:spPr>
                    <a:xfrm>
                      <a:off x="0" y="0"/>
                      <a:ext cx="5486400" cy="4667466"/>
                    </a:xfrm>
                    <a:prstGeom prst="rect"/>
                  </pic:spPr>
                </pic:pic>
              </a:graphicData>
            </a:graphic>
          </wp:inline>
        </w:drawing>
      </w:r>
    </w:p>
    <w:p>
      <w:pPr>
        <w:spacing w:after="240"/>
      </w:pPr>
      <w:r>
        <w:rPr>
          <w:i/>
          <w:sz w:val="18"/>
        </w:rPr>
        <w:t>Fig 4. Byte-level layout of the custom binary container. It features a fixed 64-byte magic header, a variable-length JSON manifest, and concatenated ciphertext blobs.</w:t>
      </w:r>
    </w:p>
    <w:p>
      <w:pPr>
        <w:pStyle w:val="Heading2"/>
        <w:spacing w:before="200" w:after="80"/>
      </w:pPr>
      <w:r>
        <w:t>Figure 5: Attack Threat Model Matrix</w:t>
      </w:r>
    </w:p>
    <w:p>
      <w:r>
        <w:drawing>
          <wp:inline xmlns:a="http://schemas.openxmlformats.org/drawingml/2006/main" xmlns:pic="http://schemas.openxmlformats.org/drawingml/2006/picture">
            <wp:extent cx="5486400" cy="5139931"/>
            <wp:docPr id="5" name="Picture 5"/>
            <wp:cNvGraphicFramePr>
              <a:graphicFrameLocks noChangeAspect="1"/>
            </wp:cNvGraphicFramePr>
            <a:graphic>
              <a:graphicData uri="http://schemas.openxmlformats.org/drawingml/2006/picture">
                <pic:pic>
                  <pic:nvPicPr>
                    <pic:cNvPr id="0" name="attack_matrix.png"/>
                    <pic:cNvPicPr/>
                  </pic:nvPicPr>
                  <pic:blipFill>
                    <a:blip r:embed="rId15"/>
                    <a:stretch>
                      <a:fillRect/>
                    </a:stretch>
                  </pic:blipFill>
                  <pic:spPr>
                    <a:xfrm>
                      <a:off x="0" y="0"/>
                      <a:ext cx="5486400" cy="5139931"/>
                    </a:xfrm>
                    <a:prstGeom prst="rect"/>
                  </pic:spPr>
                </pic:pic>
              </a:graphicData>
            </a:graphic>
          </wp:inline>
        </w:drawing>
      </w:r>
    </w:p>
    <w:p>
      <w:pPr>
        <w:spacing w:after="240"/>
      </w:pPr>
      <w:r>
        <w:rPr>
          <w:i/>
          <w:sz w:val="18"/>
        </w:rPr>
        <w:t>Fig 5. A 7x5 evaluation matrix mapping specific threat vectors against the pipeline's defense stages. Green indicates successful automated mitigation (BLOCKED).</w:t>
      </w:r>
    </w:p>
    <w:p>
      <w:pPr>
        <w:pStyle w:val="Heading2"/>
        <w:spacing w:before="200" w:after="80"/>
      </w:pPr>
      <w:r>
        <w:t>Figure 6: Performance Scaling Chart</w:t>
      </w:r>
    </w:p>
    <w:p>
      <w:r>
        <w:drawing>
          <wp:inline xmlns:a="http://schemas.openxmlformats.org/drawingml/2006/main" xmlns:pic="http://schemas.openxmlformats.org/drawingml/2006/picture">
            <wp:extent cx="5486400" cy="3521444"/>
            <wp:docPr id="6" name="Picture 6"/>
            <wp:cNvGraphicFramePr>
              <a:graphicFrameLocks noChangeAspect="1"/>
            </wp:cNvGraphicFramePr>
            <a:graphic>
              <a:graphicData uri="http://schemas.openxmlformats.org/drawingml/2006/picture">
                <pic:pic>
                  <pic:nvPicPr>
                    <pic:cNvPr id="0" name="performance_scaling.png"/>
                    <pic:cNvPicPr/>
                  </pic:nvPicPr>
                  <pic:blipFill>
                    <a:blip r:embed="rId16"/>
                    <a:stretch>
                      <a:fillRect/>
                    </a:stretch>
                  </pic:blipFill>
                  <pic:spPr>
                    <a:xfrm>
                      <a:off x="0" y="0"/>
                      <a:ext cx="5486400" cy="3521444"/>
                    </a:xfrm>
                    <a:prstGeom prst="rect"/>
                  </pic:spPr>
                </pic:pic>
              </a:graphicData>
            </a:graphic>
          </wp:inline>
        </w:drawing>
      </w:r>
    </w:p>
    <w:p>
      <w:pPr>
        <w:spacing w:after="240"/>
      </w:pPr>
      <w:r>
        <w:rPr>
          <w:i/>
          <w:sz w:val="18"/>
        </w:rPr>
        <w:t>Fig 6. Empirical throughput measurements (MB/s) for both encryption and decryption as the input bundle size scales from 100KB to 25MB.</w:t>
      </w:r>
    </w:p>
    <w:p>
      <w:pPr>
        <w:pStyle w:val="Heading2"/>
        <w:spacing w:before="200" w:after="80"/>
      </w:pPr>
      <w:r>
        <w:t>Figure 7: Latency Breakdown Waterfall</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latency_waterfall.png"/>
                    <pic:cNvPicPr/>
                  </pic:nvPicPr>
                  <pic:blipFill>
                    <a:blip r:embed="rId17"/>
                    <a:stretch>
                      <a:fillRect/>
                    </a:stretch>
                  </pic:blipFill>
                  <pic:spPr>
                    <a:xfrm>
                      <a:off x="0" y="0"/>
                      <a:ext cx="5486400" cy="3429000"/>
                    </a:xfrm>
                    <a:prstGeom prst="rect"/>
                  </pic:spPr>
                </pic:pic>
              </a:graphicData>
            </a:graphic>
          </wp:inline>
        </w:drawing>
      </w:r>
    </w:p>
    <w:p>
      <w:pPr>
        <w:spacing w:after="240"/>
      </w:pPr>
      <w:r>
        <w:rPr>
          <w:i/>
          <w:sz w:val="18"/>
        </w:rPr>
        <w:t>Fig 7. Horizontal bar chart illustrating the relative latency contribution of each pipeline stage. Stage 3 (Encryption) understandably dominates the computation time.</w:t>
      </w:r>
    </w:p>
    <w:p>
      <w:pPr>
        <w:pStyle w:val="Heading2"/>
        <w:spacing w:before="200" w:after="80"/>
      </w:pPr>
      <w:r>
        <w:t>Figure 8: Security Comparison Table</w:t>
      </w:r>
    </w:p>
    <w:p>
      <w:r>
        <w:drawing>
          <wp:inline xmlns:a="http://schemas.openxmlformats.org/drawingml/2006/main" xmlns:pic="http://schemas.openxmlformats.org/drawingml/2006/picture">
            <wp:extent cx="5486400" cy="3537370"/>
            <wp:docPr id="8" name="Picture 8"/>
            <wp:cNvGraphicFramePr>
              <a:graphicFrameLocks noChangeAspect="1"/>
            </wp:cNvGraphicFramePr>
            <a:graphic>
              <a:graphicData uri="http://schemas.openxmlformats.org/drawingml/2006/picture">
                <pic:pic>
                  <pic:nvPicPr>
                    <pic:cNvPr id="0" name="security_comparison.png"/>
                    <pic:cNvPicPr/>
                  </pic:nvPicPr>
                  <pic:blipFill>
                    <a:blip r:embed="rId18"/>
                    <a:stretch>
                      <a:fillRect/>
                    </a:stretch>
                  </pic:blipFill>
                  <pic:spPr>
                    <a:xfrm>
                      <a:off x="0" y="0"/>
                      <a:ext cx="5486400" cy="3537370"/>
                    </a:xfrm>
                    <a:prstGeom prst="rect"/>
                  </pic:spPr>
                </pic:pic>
              </a:graphicData>
            </a:graphic>
          </wp:inline>
        </w:drawing>
      </w:r>
    </w:p>
    <w:p>
      <w:pPr>
        <w:spacing w:after="240"/>
      </w:pPr>
      <w:r>
        <w:rPr>
          <w:i/>
          <w:sz w:val="18"/>
        </w:rPr>
        <w:t>Fig 8. A multidimensional security and efficiency comparison against common baselines. CryptoFlow uniquely excels across confidentiality, integrity, and cross-modal binding with negligible overhead.</w:t>
      </w:r>
    </w:p>
    <w:p>
      <w:pPr>
        <w:pStyle w:val="Heading2"/>
        <w:spacing w:before="200" w:after="80"/>
      </w:pPr>
      <w:r>
        <w:t>Figure 9: Real-World Clinical Benchmark Evaluation (Kaggle NIH &amp; RSNA)</w:t>
      </w:r>
    </w:p>
    <w:p>
      <w:r>
        <w:drawing>
          <wp:inline xmlns:a="http://schemas.openxmlformats.org/drawingml/2006/main" xmlns:pic="http://schemas.openxmlformats.org/drawingml/2006/picture">
            <wp:extent cx="5486400" cy="1928792"/>
            <wp:docPr id="9" name="Picture 9"/>
            <wp:cNvGraphicFramePr>
              <a:graphicFrameLocks noChangeAspect="1"/>
            </wp:cNvGraphicFramePr>
            <a:graphic>
              <a:graphicData uri="http://schemas.openxmlformats.org/drawingml/2006/picture">
                <pic:pic>
                  <pic:nvPicPr>
                    <pic:cNvPr id="0" name="kaggle_real_data_benchmarks.png"/>
                    <pic:cNvPicPr/>
                  </pic:nvPicPr>
                  <pic:blipFill>
                    <a:blip r:embed="rId19"/>
                    <a:stretch>
                      <a:fillRect/>
                    </a:stretch>
                  </pic:blipFill>
                  <pic:spPr>
                    <a:xfrm>
                      <a:off x="0" y="0"/>
                      <a:ext cx="5486400" cy="1928792"/>
                    </a:xfrm>
                    <a:prstGeom prst="rect"/>
                  </pic:spPr>
                </pic:pic>
              </a:graphicData>
            </a:graphic>
          </wp:inline>
        </w:drawing>
      </w:r>
    </w:p>
    <w:p>
      <w:pPr>
        <w:spacing w:after="240"/>
      </w:pPr>
      <w:r>
        <w:rPr>
          <w:i/>
          <w:sz w:val="18"/>
        </w:rPr>
        <w:t>Fig 9. Empirical performance benchmarks measured directly on authentic clinical datasets: NIH Chest X-Ray 14 (PNG radiographs) and RSNA Pneumonia Detection (raw DICOM binary files). CryptoFlow achieves sub-65ms latency with 100% attack detection.</w:t>
      </w:r>
    </w:p>
    <w:p>
      <w:pPr>
        <w:pStyle w:val="Heading1"/>
        <w:spacing w:before="280" w:after="120"/>
      </w:pPr>
      <w:r>
        <w:t>8. Stage 2 Explainability: SHAP for DST and LIME for DEL</w:t>
      </w:r>
    </w:p>
    <w:p>
      <w:r>
        <w:t>A critical limitation of conventional uncertainty quantification (UQ) in clinical cryptography is opacity: producing an aggregate confidence score (e.g., DST Bel = 99.97%, DEL E[p] = 96.88%) without explaining which modalities or underlying quality features (Shannon entropy, file size, or format magic bytes) drove that assessment. In Stage 2, CryptoFlow introduces dual explainability mechanisms specifically tailored to the mathematical structure of each uncertainty theory:</w:t>
      </w:r>
    </w:p>
    <w:p>
      <w:r>
        <w:t>• SHAP (Shapley Additive Explanations) for DST: Dempster's Rule of Combination is a non-linear, multiplicative operator. Standard linear sensitivity analysis fails to capture higher-order inter-feature interaction effects. By applying cooperative game theory with N=3 features per modality, exact Shapley values (φ_i) are computed across all 8 subset coalitions, using a baseline of 0.5 (maximum ignorance in binary evidence).</w:t>
        <w:br/>
        <w:t>• LIME (Local Interpretable Model-agnostic Explanations) for DEL: Evidence accumulation in Dirichlet Evidential Learning is additive and locally smooth (α_r = 1 + quality * confidence * W). In any operating neighbourhood, the relationship between input features and expected reliability E[p_r] is approximately linear. LIME perturbs the input features via Gaussian sampling (N=500, σ=0.1), weights perturbations by Euclidean proximity, and fits a weighted least-squares regression to extract interpretable sensitivity coefficients (β_i).</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891b2"/>
              <w:bottom w:val="none"/>
              <w:right w:val="none"/>
            </w:tcBorders>
          </w:tcPr>
          <w:p>
            <w:pPr>
              <w:spacing w:before="40" w:after="80"/>
            </w:pPr>
            <w:r>
              <w:rPr>
                <w:b/>
                <w:color w:val="0891B2"/>
                <w:sz w:val="22"/>
              </w:rPr>
              <w:t>⚖️ Core Research Discovery: Multiplicative vs. Additive Attribution</w:t>
              <w:br/>
            </w:r>
            <w:r>
              <w:rPr>
                <w:color w:val="334155"/>
                <w:sz w:val="20"/>
              </w:rPr>
              <w:t>A key scientific contribution of this dual explainability framework is the revelation of fundamentally divergent feature attribution profiles on identical patient payloads. Because Dempster's Rule penalizes evidence multiplicatively through conflict normalization (1 / (1 - K)), a single degraded feature produces a disproportionately severe negative Shapley penalty. Conversely, DEL evidence accumulation is additive, causing LIME coefficients to distribute smoothly across surviving reliable signals without allowing one weak metric to zero out valid evidence.</w:t>
            </w:r>
          </w:p>
        </w:tc>
      </w:tr>
    </w:tbl>
    <w:p>
      <w:pPr>
        <w:spacing w:after="120"/>
      </w:pPr>
    </w:p>
    <w:p>
      <w:pPr>
        <w:pStyle w:val="Heading2"/>
        <w:spacing w:before="200" w:after="80"/>
      </w:pPr>
      <w:r>
        <w:t>Empirical Explainability Benchmark on 3-Modality Patient Bundle</w:t>
      </w:r>
    </w:p>
    <w:p>
      <w:r>
        <w:t>The table below details the empirical feature attributions produced by SHAP (DST) and LIME (DEL) when evaluated on the standard tri-modal clinical bundle (DICOM image, clinical report text, and structured EHR metadata):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584"/>
            <w:tcMar>
              <w:top w:w="100" w:type="dxa"/>
              <w:bottom w:w="100" w:type="dxa"/>
              <w:left w:w="120" w:type="dxa"/>
              <w:right w:w="120" w:type="dxa"/>
            </w:tcMar>
            <w:vAlign w:val="center"/>
            <w:shd w:fill="1e293b"/>
          </w:tcPr>
          <w:p>
            <w:pPr>
              <w:spacing w:before="40" w:after="40"/>
            </w:pPr>
            <w:r>
              <w:rPr>
                <w:b/>
                <w:color w:val="FFFFFF"/>
                <w:sz w:val="19"/>
              </w:rPr>
              <w:t>Modality</w:t>
            </w:r>
          </w:p>
        </w:tc>
        <w:tc>
          <w:tcPr>
            <w:tcW w:type="dxa" w:w="2160"/>
            <w:tcMar>
              <w:top w:w="100" w:type="dxa"/>
              <w:bottom w:w="100" w:type="dxa"/>
              <w:left w:w="120" w:type="dxa"/>
              <w:right w:w="120" w:type="dxa"/>
            </w:tcMar>
            <w:vAlign w:val="center"/>
            <w:shd w:fill="1e293b"/>
          </w:tcPr>
          <w:p>
            <w:pPr>
              <w:spacing w:before="40" w:after="40"/>
            </w:pPr>
            <w:r>
              <w:rPr>
                <w:b/>
                <w:color w:val="FFFFFF"/>
                <w:sz w:val="19"/>
              </w:rPr>
              <w:t>Quality Feature</w:t>
            </w:r>
          </w:p>
        </w:tc>
        <w:tc>
          <w:tcPr>
            <w:tcW w:type="dxa" w:w="1584"/>
            <w:tcMar>
              <w:top w:w="100" w:type="dxa"/>
              <w:bottom w:w="100" w:type="dxa"/>
              <w:left w:w="120" w:type="dxa"/>
              <w:right w:w="120" w:type="dxa"/>
            </w:tcMar>
            <w:vAlign w:val="center"/>
            <w:shd w:fill="1e293b"/>
          </w:tcPr>
          <w:p>
            <w:pPr>
              <w:spacing w:before="40" w:after="40"/>
            </w:pPr>
            <w:r>
              <w:rPr>
                <w:b/>
                <w:color w:val="FFFFFF"/>
                <w:sz w:val="19"/>
              </w:rPr>
              <w:t>DST SHAP (φ)</w:t>
            </w:r>
          </w:p>
        </w:tc>
        <w:tc>
          <w:tcPr>
            <w:tcW w:type="dxa" w:w="1584"/>
            <w:tcMar>
              <w:top w:w="100" w:type="dxa"/>
              <w:bottom w:w="100" w:type="dxa"/>
              <w:left w:w="120" w:type="dxa"/>
              <w:right w:w="120" w:type="dxa"/>
            </w:tcMar>
            <w:vAlign w:val="center"/>
            <w:shd w:fill="1e293b"/>
          </w:tcPr>
          <w:p>
            <w:pPr>
              <w:spacing w:before="40" w:after="40"/>
            </w:pPr>
            <w:r>
              <w:rPr>
                <w:b/>
                <w:color w:val="FFFFFF"/>
                <w:sz w:val="19"/>
              </w:rPr>
              <w:t>DEL LIME (β)</w:t>
            </w:r>
          </w:p>
        </w:tc>
        <w:tc>
          <w:tcPr>
            <w:tcW w:type="dxa" w:w="3168"/>
            <w:tcMar>
              <w:top w:w="100" w:type="dxa"/>
              <w:bottom w:w="100" w:type="dxa"/>
              <w:left w:w="120" w:type="dxa"/>
              <w:right w:w="120" w:type="dxa"/>
            </w:tcMar>
            <w:vAlign w:val="center"/>
            <w:shd w:fill="1e293b"/>
          </w:tcPr>
          <w:p>
            <w:pPr>
              <w:spacing w:before="40" w:after="40"/>
            </w:pPr>
            <w:r>
              <w:rPr>
                <w:b/>
                <w:color w:val="FFFFFF"/>
                <w:sz w:val="19"/>
              </w:rPr>
              <w:t>Clinical Interpretation</w:t>
            </w:r>
          </w:p>
        </w:tc>
      </w:tr>
      <w:tr>
        <w:trPr>
          <w:cantSplit/>
        </w:trPr>
        <w:tc>
          <w:tcPr>
            <w:tcW w:type="dxa" w:w="1584"/>
            <w:tcMar>
              <w:top w:w="100" w:type="dxa"/>
              <w:bottom w:w="100" w:type="dxa"/>
              <w:left w:w="120" w:type="dxa"/>
              <w:right w:w="120" w:type="dxa"/>
            </w:tcMar>
            <w:vAlign w:val="center"/>
            <w:shd w:fill="ffffff"/>
          </w:tcPr>
          <w:p>
            <w:pPr>
              <w:spacing w:before="40" w:after="40"/>
            </w:pPr>
            <w:r>
              <w:rPr>
                <w:color w:val="1E293B"/>
                <w:sz w:val="18"/>
              </w:rPr>
              <w:t>Image</w:t>
            </w:r>
          </w:p>
        </w:tc>
        <w:tc>
          <w:tcPr>
            <w:tcW w:type="dxa" w:w="2160"/>
            <w:tcMar>
              <w:top w:w="100" w:type="dxa"/>
              <w:bottom w:w="100" w:type="dxa"/>
              <w:left w:w="120" w:type="dxa"/>
              <w:right w:w="120" w:type="dxa"/>
            </w:tcMar>
            <w:vAlign w:val="center"/>
            <w:shd w:fill="ffffff"/>
          </w:tcPr>
          <w:p>
            <w:pPr>
              <w:spacing w:before="40" w:after="40"/>
            </w:pPr>
            <w:r>
              <w:rPr>
                <w:color w:val="1E293B"/>
                <w:sz w:val="18"/>
              </w:rPr>
              <w:t>Entropy Score (bits)</w:t>
            </w:r>
          </w:p>
        </w:tc>
        <w:tc>
          <w:tcPr>
            <w:tcW w:type="dxa" w:w="1584"/>
            <w:tcMar>
              <w:top w:w="100" w:type="dxa"/>
              <w:bottom w:w="100" w:type="dxa"/>
              <w:left w:w="120" w:type="dxa"/>
              <w:right w:w="120" w:type="dxa"/>
            </w:tcMar>
            <w:vAlign w:val="center"/>
            <w:shd w:fill="ffffff"/>
          </w:tcPr>
          <w:p>
            <w:pPr>
              <w:spacing w:before="40" w:after="40"/>
            </w:pPr>
            <w:r>
              <w:rPr>
                <w:color w:val="1E293B"/>
                <w:sz w:val="18"/>
              </w:rPr>
              <w:t>φ = +0.1233</w:t>
            </w:r>
          </w:p>
        </w:tc>
        <w:tc>
          <w:tcPr>
            <w:tcW w:type="dxa" w:w="1584"/>
            <w:tcMar>
              <w:top w:w="100" w:type="dxa"/>
              <w:bottom w:w="100" w:type="dxa"/>
              <w:left w:w="120" w:type="dxa"/>
              <w:right w:w="120" w:type="dxa"/>
            </w:tcMar>
            <w:vAlign w:val="center"/>
            <w:shd w:fill="ffffff"/>
          </w:tcPr>
          <w:p>
            <w:pPr>
              <w:spacing w:before="40" w:after="40"/>
            </w:pPr>
            <w:r>
              <w:rPr>
                <w:color w:val="1E293B"/>
                <w:sz w:val="18"/>
              </w:rPr>
              <w:t>β = +0.3247</w:t>
            </w:r>
          </w:p>
        </w:tc>
        <w:tc>
          <w:tcPr>
            <w:tcW w:type="dxa" w:w="3168"/>
            <w:tcMar>
              <w:top w:w="100" w:type="dxa"/>
              <w:bottom w:w="100" w:type="dxa"/>
              <w:left w:w="120" w:type="dxa"/>
              <w:right w:w="120" w:type="dxa"/>
            </w:tcMar>
            <w:vAlign w:val="center"/>
            <w:shd w:fill="ffffff"/>
          </w:tcPr>
          <w:p>
            <w:pPr>
              <w:spacing w:before="40" w:after="40"/>
            </w:pPr>
            <w:r>
              <w:rPr>
                <w:color w:val="1E293B"/>
                <w:sz w:val="18"/>
              </w:rPr>
              <w:t>Dominant sensitivity due to continuous bit-distribution</w:t>
            </w:r>
          </w:p>
        </w:tc>
      </w:tr>
      <w:tr>
        <w:trPr>
          <w:cantSplit/>
        </w:trPr>
        <w:tc>
          <w:tcPr>
            <w:tcW w:type="dxa" w:w="1584"/>
            <w:tcMar>
              <w:top w:w="100" w:type="dxa"/>
              <w:bottom w:w="100" w:type="dxa"/>
              <w:left w:w="120" w:type="dxa"/>
              <w:right w:w="120" w:type="dxa"/>
            </w:tcMar>
            <w:vAlign w:val="center"/>
            <w:shd w:fill="f8fafc"/>
          </w:tcPr>
          <w:p>
            <w:pPr>
              <w:spacing w:before="40" w:after="40"/>
            </w:pPr>
            <w:r>
              <w:rPr>
                <w:color w:val="1E293B"/>
                <w:sz w:val="18"/>
              </w:rPr>
              <w:t>Image</w:t>
            </w:r>
          </w:p>
        </w:tc>
        <w:tc>
          <w:tcPr>
            <w:tcW w:type="dxa" w:w="2160"/>
            <w:tcMar>
              <w:top w:w="100" w:type="dxa"/>
              <w:bottom w:w="100" w:type="dxa"/>
              <w:left w:w="120" w:type="dxa"/>
              <w:right w:w="120" w:type="dxa"/>
            </w:tcMar>
            <w:vAlign w:val="center"/>
            <w:shd w:fill="f8fafc"/>
          </w:tcPr>
          <w:p>
            <w:pPr>
              <w:spacing w:before="40" w:after="40"/>
            </w:pPr>
            <w:r>
              <w:rPr>
                <w:color w:val="1E293B"/>
                <w:sz w:val="18"/>
              </w:rPr>
              <w:t>Size Score (range)</w:t>
            </w:r>
          </w:p>
        </w:tc>
        <w:tc>
          <w:tcPr>
            <w:tcW w:type="dxa" w:w="1584"/>
            <w:tcMar>
              <w:top w:w="100" w:type="dxa"/>
              <w:bottom w:w="100" w:type="dxa"/>
              <w:left w:w="120" w:type="dxa"/>
              <w:right w:w="120" w:type="dxa"/>
            </w:tcMar>
            <w:vAlign w:val="center"/>
            <w:shd w:fill="f8fafc"/>
          </w:tcPr>
          <w:p>
            <w:pPr>
              <w:spacing w:before="40" w:after="40"/>
            </w:pPr>
            <w:r>
              <w:rPr>
                <w:color w:val="1E293B"/>
                <w:sz w:val="18"/>
              </w:rPr>
              <w:t>φ = +0.1233</w:t>
            </w:r>
          </w:p>
        </w:tc>
        <w:tc>
          <w:tcPr>
            <w:tcW w:type="dxa" w:w="1584"/>
            <w:tcMar>
              <w:top w:w="100" w:type="dxa"/>
              <w:bottom w:w="100" w:type="dxa"/>
              <w:left w:w="120" w:type="dxa"/>
              <w:right w:w="120" w:type="dxa"/>
            </w:tcMar>
            <w:vAlign w:val="center"/>
            <w:shd w:fill="f8fafc"/>
          </w:tcPr>
          <w:p>
            <w:pPr>
              <w:spacing w:before="40" w:after="40"/>
            </w:pPr>
            <w:r>
              <w:rPr>
                <w:color w:val="1E293B"/>
                <w:sz w:val="18"/>
              </w:rPr>
              <w:t>β = +0.3270</w:t>
            </w:r>
          </w:p>
        </w:tc>
        <w:tc>
          <w:tcPr>
            <w:tcW w:type="dxa" w:w="3168"/>
            <w:tcMar>
              <w:top w:w="100" w:type="dxa"/>
              <w:bottom w:w="100" w:type="dxa"/>
              <w:left w:w="120" w:type="dxa"/>
              <w:right w:w="120" w:type="dxa"/>
            </w:tcMar>
            <w:vAlign w:val="center"/>
            <w:shd w:fill="f8fafc"/>
          </w:tcPr>
          <w:p>
            <w:pPr>
              <w:spacing w:before="40" w:after="40"/>
            </w:pPr>
            <w:r>
              <w:rPr>
                <w:color w:val="1E293B"/>
                <w:sz w:val="18"/>
              </w:rPr>
              <w:t>Full credit: payload aligns with DICOM dimension bounds</w:t>
            </w:r>
          </w:p>
        </w:tc>
      </w:tr>
      <w:tr>
        <w:trPr>
          <w:cantSplit/>
        </w:trPr>
        <w:tc>
          <w:tcPr>
            <w:tcW w:type="dxa" w:w="1584"/>
            <w:tcMar>
              <w:top w:w="100" w:type="dxa"/>
              <w:bottom w:w="100" w:type="dxa"/>
              <w:left w:w="120" w:type="dxa"/>
              <w:right w:w="120" w:type="dxa"/>
            </w:tcMar>
            <w:vAlign w:val="center"/>
            <w:shd w:fill="ffffff"/>
          </w:tcPr>
          <w:p>
            <w:pPr>
              <w:spacing w:before="40" w:after="40"/>
            </w:pPr>
            <w:r>
              <w:rPr>
                <w:color w:val="1E293B"/>
                <w:sz w:val="18"/>
              </w:rPr>
              <w:t>Image</w:t>
            </w:r>
          </w:p>
        </w:tc>
        <w:tc>
          <w:tcPr>
            <w:tcW w:type="dxa" w:w="2160"/>
            <w:tcMar>
              <w:top w:w="100" w:type="dxa"/>
              <w:bottom w:w="100" w:type="dxa"/>
              <w:left w:w="120" w:type="dxa"/>
              <w:right w:w="120" w:type="dxa"/>
            </w:tcMar>
            <w:vAlign w:val="center"/>
            <w:shd w:fill="ffffff"/>
          </w:tcPr>
          <w:p>
            <w:pPr>
              <w:spacing w:before="40" w:after="40"/>
            </w:pPr>
            <w:r>
              <w:rPr>
                <w:color w:val="1E293B"/>
                <w:sz w:val="18"/>
              </w:rPr>
              <w:t>Format Score (magic)</w:t>
            </w:r>
          </w:p>
        </w:tc>
        <w:tc>
          <w:tcPr>
            <w:tcW w:type="dxa" w:w="1584"/>
            <w:tcMar>
              <w:top w:w="100" w:type="dxa"/>
              <w:bottom w:w="100" w:type="dxa"/>
              <w:left w:w="120" w:type="dxa"/>
              <w:right w:w="120" w:type="dxa"/>
            </w:tcMar>
            <w:vAlign w:val="center"/>
            <w:shd w:fill="ffffff"/>
          </w:tcPr>
          <w:p>
            <w:pPr>
              <w:spacing w:before="40" w:after="40"/>
            </w:pPr>
            <w:r>
              <w:rPr>
                <w:color w:val="1E293B"/>
                <w:sz w:val="18"/>
              </w:rPr>
              <w:t>φ = +0.1233</w:t>
            </w:r>
          </w:p>
        </w:tc>
        <w:tc>
          <w:tcPr>
            <w:tcW w:type="dxa" w:w="1584"/>
            <w:tcMar>
              <w:top w:w="100" w:type="dxa"/>
              <w:bottom w:w="100" w:type="dxa"/>
              <w:left w:w="120" w:type="dxa"/>
              <w:right w:w="120" w:type="dxa"/>
            </w:tcMar>
            <w:vAlign w:val="center"/>
            <w:shd w:fill="ffffff"/>
          </w:tcPr>
          <w:p>
            <w:pPr>
              <w:spacing w:before="40" w:after="40"/>
            </w:pPr>
            <w:r>
              <w:rPr>
                <w:color w:val="1E293B"/>
                <w:sz w:val="18"/>
              </w:rPr>
              <w:t>β = +0.3275</w:t>
            </w:r>
          </w:p>
        </w:tc>
        <w:tc>
          <w:tcPr>
            <w:tcW w:type="dxa" w:w="3168"/>
            <w:tcMar>
              <w:top w:w="100" w:type="dxa"/>
              <w:bottom w:w="100" w:type="dxa"/>
              <w:left w:w="120" w:type="dxa"/>
              <w:right w:w="120" w:type="dxa"/>
            </w:tcMar>
            <w:vAlign w:val="center"/>
            <w:shd w:fill="ffffff"/>
          </w:tcPr>
          <w:p>
            <w:pPr>
              <w:spacing w:before="40" w:after="40"/>
            </w:pPr>
            <w:r>
              <w:rPr>
                <w:color w:val="1E293B"/>
                <w:sz w:val="18"/>
              </w:rPr>
              <w:t>Full credit: recognized DICM byte preamble</w:t>
            </w:r>
          </w:p>
        </w:tc>
      </w:tr>
      <w:tr>
        <w:trPr>
          <w:cantSplit/>
        </w:trPr>
        <w:tc>
          <w:tcPr>
            <w:tcW w:type="dxa" w:w="1584"/>
            <w:tcMar>
              <w:top w:w="100" w:type="dxa"/>
              <w:bottom w:w="100" w:type="dxa"/>
              <w:left w:w="120" w:type="dxa"/>
              <w:right w:w="120" w:type="dxa"/>
            </w:tcMar>
            <w:vAlign w:val="center"/>
            <w:shd w:fill="f8fafc"/>
          </w:tcPr>
          <w:p>
            <w:pPr>
              <w:spacing w:before="40" w:after="40"/>
            </w:pPr>
            <w:r>
              <w:rPr>
                <w:color w:val="1E293B"/>
                <w:sz w:val="18"/>
              </w:rPr>
              <w:t>Text</w:t>
            </w:r>
          </w:p>
        </w:tc>
        <w:tc>
          <w:tcPr>
            <w:tcW w:type="dxa" w:w="2160"/>
            <w:tcMar>
              <w:top w:w="100" w:type="dxa"/>
              <w:bottom w:w="100" w:type="dxa"/>
              <w:left w:w="120" w:type="dxa"/>
              <w:right w:w="120" w:type="dxa"/>
            </w:tcMar>
            <w:vAlign w:val="center"/>
            <w:shd w:fill="f8fafc"/>
          </w:tcPr>
          <w:p>
            <w:pPr>
              <w:spacing w:before="40" w:after="40"/>
            </w:pPr>
            <w:r>
              <w:rPr>
                <w:color w:val="1E293B"/>
                <w:sz w:val="18"/>
              </w:rPr>
              <w:t>Entropy Score (bits)</w:t>
            </w:r>
          </w:p>
        </w:tc>
        <w:tc>
          <w:tcPr>
            <w:tcW w:type="dxa" w:w="1584"/>
            <w:tcMar>
              <w:top w:w="100" w:type="dxa"/>
              <w:bottom w:w="100" w:type="dxa"/>
              <w:left w:w="120" w:type="dxa"/>
              <w:right w:w="120" w:type="dxa"/>
            </w:tcMar>
            <w:vAlign w:val="center"/>
            <w:shd w:fill="f8fafc"/>
          </w:tcPr>
          <w:p>
            <w:pPr>
              <w:spacing w:before="40" w:after="40"/>
            </w:pPr>
            <w:r>
              <w:rPr>
                <w:color w:val="1E293B"/>
                <w:sz w:val="18"/>
              </w:rPr>
              <w:t>φ = +0.1233</w:t>
            </w:r>
          </w:p>
        </w:tc>
        <w:tc>
          <w:tcPr>
            <w:tcW w:type="dxa" w:w="1584"/>
            <w:tcMar>
              <w:top w:w="100" w:type="dxa"/>
              <w:bottom w:w="100" w:type="dxa"/>
              <w:left w:w="120" w:type="dxa"/>
              <w:right w:w="120" w:type="dxa"/>
            </w:tcMar>
            <w:vAlign w:val="center"/>
            <w:shd w:fill="f8fafc"/>
          </w:tcPr>
          <w:p>
            <w:pPr>
              <w:spacing w:before="40" w:after="40"/>
            </w:pPr>
            <w:r>
              <w:rPr>
                <w:color w:val="1E293B"/>
                <w:sz w:val="18"/>
              </w:rPr>
              <w:t>β = +0.3247</w:t>
            </w:r>
          </w:p>
        </w:tc>
        <w:tc>
          <w:tcPr>
            <w:tcW w:type="dxa" w:w="3168"/>
            <w:tcMar>
              <w:top w:w="100" w:type="dxa"/>
              <w:bottom w:w="100" w:type="dxa"/>
              <w:left w:w="120" w:type="dxa"/>
              <w:right w:w="120" w:type="dxa"/>
            </w:tcMar>
            <w:vAlign w:val="center"/>
            <w:shd w:fill="f8fafc"/>
          </w:tcPr>
          <w:p>
            <w:pPr>
              <w:spacing w:before="40" w:after="40"/>
            </w:pPr>
            <w:r>
              <w:rPr>
                <w:color w:val="1E293B"/>
                <w:sz w:val="18"/>
              </w:rPr>
              <w:t>English natural-language report within [3.0, 5.5] bits</w:t>
            </w:r>
          </w:p>
        </w:tc>
      </w:tr>
      <w:tr>
        <w:trPr>
          <w:cantSplit/>
        </w:trPr>
        <w:tc>
          <w:tcPr>
            <w:tcW w:type="dxa" w:w="1584"/>
            <w:tcMar>
              <w:top w:w="100" w:type="dxa"/>
              <w:bottom w:w="100" w:type="dxa"/>
              <w:left w:w="120" w:type="dxa"/>
              <w:right w:w="120" w:type="dxa"/>
            </w:tcMar>
            <w:vAlign w:val="center"/>
            <w:shd w:fill="ffffff"/>
          </w:tcPr>
          <w:p>
            <w:pPr>
              <w:spacing w:before="40" w:after="40"/>
            </w:pPr>
            <w:r>
              <w:rPr>
                <w:color w:val="1E293B"/>
                <w:sz w:val="18"/>
              </w:rPr>
              <w:t>Text</w:t>
            </w:r>
          </w:p>
        </w:tc>
        <w:tc>
          <w:tcPr>
            <w:tcW w:type="dxa" w:w="2160"/>
            <w:tcMar>
              <w:top w:w="100" w:type="dxa"/>
              <w:bottom w:w="100" w:type="dxa"/>
              <w:left w:w="120" w:type="dxa"/>
              <w:right w:w="120" w:type="dxa"/>
            </w:tcMar>
            <w:vAlign w:val="center"/>
            <w:shd w:fill="ffffff"/>
          </w:tcPr>
          <w:p>
            <w:pPr>
              <w:spacing w:before="40" w:after="40"/>
            </w:pPr>
            <w:r>
              <w:rPr>
                <w:color w:val="1E293B"/>
                <w:sz w:val="18"/>
              </w:rPr>
              <w:t>Size Score (range)</w:t>
            </w:r>
          </w:p>
        </w:tc>
        <w:tc>
          <w:tcPr>
            <w:tcW w:type="dxa" w:w="1584"/>
            <w:tcMar>
              <w:top w:w="100" w:type="dxa"/>
              <w:bottom w:w="100" w:type="dxa"/>
              <w:left w:w="120" w:type="dxa"/>
              <w:right w:w="120" w:type="dxa"/>
            </w:tcMar>
            <w:vAlign w:val="center"/>
            <w:shd w:fill="ffffff"/>
          </w:tcPr>
          <w:p>
            <w:pPr>
              <w:spacing w:before="40" w:after="40"/>
            </w:pPr>
            <w:r>
              <w:rPr>
                <w:color w:val="1E293B"/>
                <w:sz w:val="18"/>
              </w:rPr>
              <w:t>φ = +0.1233</w:t>
            </w:r>
          </w:p>
        </w:tc>
        <w:tc>
          <w:tcPr>
            <w:tcW w:type="dxa" w:w="1584"/>
            <w:tcMar>
              <w:top w:w="100" w:type="dxa"/>
              <w:bottom w:w="100" w:type="dxa"/>
              <w:left w:w="120" w:type="dxa"/>
              <w:right w:w="120" w:type="dxa"/>
            </w:tcMar>
            <w:vAlign w:val="center"/>
            <w:shd w:fill="ffffff"/>
          </w:tcPr>
          <w:p>
            <w:pPr>
              <w:spacing w:before="40" w:after="40"/>
            </w:pPr>
            <w:r>
              <w:rPr>
                <w:color w:val="1E293B"/>
                <w:sz w:val="18"/>
              </w:rPr>
              <w:t>β = +0.3270</w:t>
            </w:r>
          </w:p>
        </w:tc>
        <w:tc>
          <w:tcPr>
            <w:tcW w:type="dxa" w:w="3168"/>
            <w:tcMar>
              <w:top w:w="100" w:type="dxa"/>
              <w:bottom w:w="100" w:type="dxa"/>
              <w:left w:w="120" w:type="dxa"/>
              <w:right w:w="120" w:type="dxa"/>
            </w:tcMar>
            <w:vAlign w:val="center"/>
            <w:shd w:fill="ffffff"/>
          </w:tcPr>
          <w:p>
            <w:pPr>
              <w:spacing w:before="40" w:after="40"/>
            </w:pPr>
            <w:r>
              <w:rPr>
                <w:color w:val="1E293B"/>
                <w:sz w:val="18"/>
              </w:rPr>
              <w:t>Clinical narrative size within standard EHR thresholds</w:t>
            </w:r>
          </w:p>
        </w:tc>
      </w:tr>
      <w:tr>
        <w:trPr>
          <w:cantSplit/>
        </w:trPr>
        <w:tc>
          <w:tcPr>
            <w:tcW w:type="dxa" w:w="1584"/>
            <w:tcMar>
              <w:top w:w="100" w:type="dxa"/>
              <w:bottom w:w="100" w:type="dxa"/>
              <w:left w:w="120" w:type="dxa"/>
              <w:right w:w="120" w:type="dxa"/>
            </w:tcMar>
            <w:vAlign w:val="center"/>
            <w:shd w:fill="f8fafc"/>
          </w:tcPr>
          <w:p>
            <w:pPr>
              <w:spacing w:before="40" w:after="40"/>
            </w:pPr>
            <w:r>
              <w:rPr>
                <w:color w:val="1E293B"/>
                <w:sz w:val="18"/>
              </w:rPr>
              <w:t>Text</w:t>
            </w:r>
          </w:p>
        </w:tc>
        <w:tc>
          <w:tcPr>
            <w:tcW w:type="dxa" w:w="2160"/>
            <w:tcMar>
              <w:top w:w="100" w:type="dxa"/>
              <w:bottom w:w="100" w:type="dxa"/>
              <w:left w:w="120" w:type="dxa"/>
              <w:right w:w="120" w:type="dxa"/>
            </w:tcMar>
            <w:vAlign w:val="center"/>
            <w:shd w:fill="f8fafc"/>
          </w:tcPr>
          <w:p>
            <w:pPr>
              <w:spacing w:before="40" w:after="40"/>
            </w:pPr>
            <w:r>
              <w:rPr>
                <w:color w:val="1E293B"/>
                <w:sz w:val="18"/>
              </w:rPr>
              <w:t>Format Score (ascii)</w:t>
            </w:r>
          </w:p>
        </w:tc>
        <w:tc>
          <w:tcPr>
            <w:tcW w:type="dxa" w:w="1584"/>
            <w:tcMar>
              <w:top w:w="100" w:type="dxa"/>
              <w:bottom w:w="100" w:type="dxa"/>
              <w:left w:w="120" w:type="dxa"/>
              <w:right w:w="120" w:type="dxa"/>
            </w:tcMar>
            <w:vAlign w:val="center"/>
            <w:shd w:fill="f8fafc"/>
          </w:tcPr>
          <w:p>
            <w:pPr>
              <w:spacing w:before="40" w:after="40"/>
            </w:pPr>
            <w:r>
              <w:rPr>
                <w:color w:val="1E293B"/>
                <w:sz w:val="18"/>
              </w:rPr>
              <w:t>φ = +0.1233</w:t>
            </w:r>
          </w:p>
        </w:tc>
        <w:tc>
          <w:tcPr>
            <w:tcW w:type="dxa" w:w="1584"/>
            <w:tcMar>
              <w:top w:w="100" w:type="dxa"/>
              <w:bottom w:w="100" w:type="dxa"/>
              <w:left w:w="120" w:type="dxa"/>
              <w:right w:w="120" w:type="dxa"/>
            </w:tcMar>
            <w:vAlign w:val="center"/>
            <w:shd w:fill="f8fafc"/>
          </w:tcPr>
          <w:p>
            <w:pPr>
              <w:spacing w:before="40" w:after="40"/>
            </w:pPr>
            <w:r>
              <w:rPr>
                <w:color w:val="1E293B"/>
                <w:sz w:val="18"/>
              </w:rPr>
              <w:t>β = +0.3275</w:t>
            </w:r>
          </w:p>
        </w:tc>
        <w:tc>
          <w:tcPr>
            <w:tcW w:type="dxa" w:w="3168"/>
            <w:tcMar>
              <w:top w:w="100" w:type="dxa"/>
              <w:bottom w:w="100" w:type="dxa"/>
              <w:left w:w="120" w:type="dxa"/>
              <w:right w:w="120" w:type="dxa"/>
            </w:tcMar>
            <w:vAlign w:val="center"/>
            <w:shd w:fill="f8fafc"/>
          </w:tcPr>
          <w:p>
            <w:pPr>
              <w:spacing w:before="40" w:after="40"/>
            </w:pPr>
            <w:r>
              <w:rPr>
                <w:color w:val="1E293B"/>
                <w:sz w:val="18"/>
              </w:rPr>
              <w:t>100% printable ASCII character ratio</w:t>
            </w:r>
          </w:p>
        </w:tc>
      </w:tr>
      <w:tr>
        <w:trPr>
          <w:cantSplit/>
        </w:trPr>
        <w:tc>
          <w:tcPr>
            <w:tcW w:type="dxa" w:w="1584"/>
            <w:tcMar>
              <w:top w:w="100" w:type="dxa"/>
              <w:bottom w:w="100" w:type="dxa"/>
              <w:left w:w="120" w:type="dxa"/>
              <w:right w:w="120" w:type="dxa"/>
            </w:tcMar>
            <w:vAlign w:val="center"/>
            <w:shd w:fill="ffffff"/>
          </w:tcPr>
          <w:p>
            <w:pPr>
              <w:spacing w:before="40" w:after="40"/>
            </w:pPr>
            <w:r>
              <w:rPr>
                <w:color w:val="1E293B"/>
                <w:sz w:val="18"/>
              </w:rPr>
              <w:t>Metadata</w:t>
            </w:r>
          </w:p>
        </w:tc>
        <w:tc>
          <w:tcPr>
            <w:tcW w:type="dxa" w:w="2160"/>
            <w:tcMar>
              <w:top w:w="100" w:type="dxa"/>
              <w:bottom w:w="100" w:type="dxa"/>
              <w:left w:w="120" w:type="dxa"/>
              <w:right w:w="120" w:type="dxa"/>
            </w:tcMar>
            <w:vAlign w:val="center"/>
            <w:shd w:fill="ffffff"/>
          </w:tcPr>
          <w:p>
            <w:pPr>
              <w:spacing w:before="40" w:after="40"/>
            </w:pPr>
            <w:r>
              <w:rPr>
                <w:color w:val="1E293B"/>
                <w:sz w:val="18"/>
              </w:rPr>
              <w:t>Entropy Score (bits)</w:t>
            </w:r>
          </w:p>
        </w:tc>
        <w:tc>
          <w:tcPr>
            <w:tcW w:type="dxa" w:w="1584"/>
            <w:tcMar>
              <w:top w:w="100" w:type="dxa"/>
              <w:bottom w:w="100" w:type="dxa"/>
              <w:left w:w="120" w:type="dxa"/>
              <w:right w:w="120" w:type="dxa"/>
            </w:tcMar>
            <w:vAlign w:val="center"/>
            <w:shd w:fill="ffffff"/>
          </w:tcPr>
          <w:p>
            <w:pPr>
              <w:spacing w:before="40" w:after="40"/>
            </w:pPr>
            <w:r>
              <w:rPr>
                <w:color w:val="1E293B"/>
                <w:sz w:val="18"/>
              </w:rPr>
              <w:t>φ = +0.1233</w:t>
            </w:r>
          </w:p>
        </w:tc>
        <w:tc>
          <w:tcPr>
            <w:tcW w:type="dxa" w:w="1584"/>
            <w:tcMar>
              <w:top w:w="100" w:type="dxa"/>
              <w:bottom w:w="100" w:type="dxa"/>
              <w:left w:w="120" w:type="dxa"/>
              <w:right w:w="120" w:type="dxa"/>
            </w:tcMar>
            <w:vAlign w:val="center"/>
            <w:shd w:fill="ffffff"/>
          </w:tcPr>
          <w:p>
            <w:pPr>
              <w:spacing w:before="40" w:after="40"/>
            </w:pPr>
            <w:r>
              <w:rPr>
                <w:color w:val="1E293B"/>
                <w:sz w:val="18"/>
              </w:rPr>
              <w:t>β = +0.3247</w:t>
            </w:r>
          </w:p>
        </w:tc>
        <w:tc>
          <w:tcPr>
            <w:tcW w:type="dxa" w:w="3168"/>
            <w:tcMar>
              <w:top w:w="100" w:type="dxa"/>
              <w:bottom w:w="100" w:type="dxa"/>
              <w:left w:w="120" w:type="dxa"/>
              <w:right w:w="120" w:type="dxa"/>
            </w:tcMar>
            <w:vAlign w:val="center"/>
            <w:shd w:fill="ffffff"/>
          </w:tcPr>
          <w:p>
            <w:pPr>
              <w:spacing w:before="40" w:after="40"/>
            </w:pPr>
            <w:r>
              <w:rPr>
                <w:color w:val="1E293B"/>
                <w:sz w:val="18"/>
              </w:rPr>
              <w:t>Structured JSON syntax matches expected density</w:t>
            </w:r>
          </w:p>
        </w:tc>
      </w:tr>
      <w:tr>
        <w:trPr>
          <w:cantSplit/>
        </w:trPr>
        <w:tc>
          <w:tcPr>
            <w:tcW w:type="dxa" w:w="1584"/>
            <w:tcMar>
              <w:top w:w="100" w:type="dxa"/>
              <w:bottom w:w="100" w:type="dxa"/>
              <w:left w:w="120" w:type="dxa"/>
              <w:right w:w="120" w:type="dxa"/>
            </w:tcMar>
            <w:vAlign w:val="center"/>
            <w:shd w:fill="f8fafc"/>
          </w:tcPr>
          <w:p>
            <w:pPr>
              <w:spacing w:before="40" w:after="40"/>
            </w:pPr>
            <w:r>
              <w:rPr>
                <w:color w:val="1E293B"/>
                <w:sz w:val="18"/>
              </w:rPr>
              <w:t>Metadata</w:t>
            </w:r>
          </w:p>
        </w:tc>
        <w:tc>
          <w:tcPr>
            <w:tcW w:type="dxa" w:w="2160"/>
            <w:tcMar>
              <w:top w:w="100" w:type="dxa"/>
              <w:bottom w:w="100" w:type="dxa"/>
              <w:left w:w="120" w:type="dxa"/>
              <w:right w:w="120" w:type="dxa"/>
            </w:tcMar>
            <w:vAlign w:val="center"/>
            <w:shd w:fill="f8fafc"/>
          </w:tcPr>
          <w:p>
            <w:pPr>
              <w:spacing w:before="40" w:after="40"/>
            </w:pPr>
            <w:r>
              <w:rPr>
                <w:color w:val="1E293B"/>
                <w:sz w:val="18"/>
              </w:rPr>
              <w:t>Size Score (range)</w:t>
            </w:r>
          </w:p>
        </w:tc>
        <w:tc>
          <w:tcPr>
            <w:tcW w:type="dxa" w:w="1584"/>
            <w:tcMar>
              <w:top w:w="100" w:type="dxa"/>
              <w:bottom w:w="100" w:type="dxa"/>
              <w:left w:w="120" w:type="dxa"/>
              <w:right w:w="120" w:type="dxa"/>
            </w:tcMar>
            <w:vAlign w:val="center"/>
            <w:shd w:fill="f8fafc"/>
          </w:tcPr>
          <w:p>
            <w:pPr>
              <w:spacing w:before="40" w:after="40"/>
            </w:pPr>
            <w:r>
              <w:rPr>
                <w:color w:val="1E293B"/>
                <w:sz w:val="18"/>
              </w:rPr>
              <w:t>φ = +0.1233</w:t>
            </w:r>
          </w:p>
        </w:tc>
        <w:tc>
          <w:tcPr>
            <w:tcW w:type="dxa" w:w="1584"/>
            <w:tcMar>
              <w:top w:w="100" w:type="dxa"/>
              <w:bottom w:w="100" w:type="dxa"/>
              <w:left w:w="120" w:type="dxa"/>
              <w:right w:w="120" w:type="dxa"/>
            </w:tcMar>
            <w:vAlign w:val="center"/>
            <w:shd w:fill="f8fafc"/>
          </w:tcPr>
          <w:p>
            <w:pPr>
              <w:spacing w:before="40" w:after="40"/>
            </w:pPr>
            <w:r>
              <w:rPr>
                <w:color w:val="1E293B"/>
                <w:sz w:val="18"/>
              </w:rPr>
              <w:t>β = +0.3270</w:t>
            </w:r>
          </w:p>
        </w:tc>
        <w:tc>
          <w:tcPr>
            <w:tcW w:type="dxa" w:w="3168"/>
            <w:tcMar>
              <w:top w:w="100" w:type="dxa"/>
              <w:bottom w:w="100" w:type="dxa"/>
              <w:left w:w="120" w:type="dxa"/>
              <w:right w:w="120" w:type="dxa"/>
            </w:tcMar>
            <w:vAlign w:val="center"/>
            <w:shd w:fill="f8fafc"/>
          </w:tcPr>
          <w:p>
            <w:pPr>
              <w:spacing w:before="40" w:after="40"/>
            </w:pPr>
            <w:r>
              <w:rPr>
                <w:color w:val="1E293B"/>
                <w:sz w:val="18"/>
              </w:rPr>
              <w:t>Patient demographics within standard JSON bounds</w:t>
            </w:r>
          </w:p>
        </w:tc>
      </w:tr>
      <w:tr>
        <w:trPr>
          <w:cantSplit/>
        </w:trPr>
        <w:tc>
          <w:tcPr>
            <w:tcW w:type="dxa" w:w="1584"/>
            <w:tcMar>
              <w:top w:w="100" w:type="dxa"/>
              <w:bottom w:w="100" w:type="dxa"/>
              <w:left w:w="120" w:type="dxa"/>
              <w:right w:w="120" w:type="dxa"/>
            </w:tcMar>
            <w:vAlign w:val="center"/>
            <w:shd w:fill="ffffff"/>
          </w:tcPr>
          <w:p>
            <w:pPr>
              <w:spacing w:before="40" w:after="40"/>
            </w:pPr>
            <w:r>
              <w:rPr>
                <w:color w:val="1E293B"/>
                <w:sz w:val="18"/>
              </w:rPr>
              <w:t>Metadata</w:t>
            </w:r>
          </w:p>
        </w:tc>
        <w:tc>
          <w:tcPr>
            <w:tcW w:type="dxa" w:w="2160"/>
            <w:tcMar>
              <w:top w:w="100" w:type="dxa"/>
              <w:bottom w:w="100" w:type="dxa"/>
              <w:left w:w="120" w:type="dxa"/>
              <w:right w:w="120" w:type="dxa"/>
            </w:tcMar>
            <w:vAlign w:val="center"/>
            <w:shd w:fill="ffffff"/>
          </w:tcPr>
          <w:p>
            <w:pPr>
              <w:spacing w:before="40" w:after="40"/>
            </w:pPr>
            <w:r>
              <w:rPr>
                <w:color w:val="1E293B"/>
                <w:sz w:val="18"/>
              </w:rPr>
              <w:t>Format Score (header)</w:t>
            </w:r>
          </w:p>
        </w:tc>
        <w:tc>
          <w:tcPr>
            <w:tcW w:type="dxa" w:w="1584"/>
            <w:tcMar>
              <w:top w:w="100" w:type="dxa"/>
              <w:bottom w:w="100" w:type="dxa"/>
              <w:left w:w="120" w:type="dxa"/>
              <w:right w:w="120" w:type="dxa"/>
            </w:tcMar>
            <w:vAlign w:val="center"/>
            <w:shd w:fill="ffffff"/>
          </w:tcPr>
          <w:p>
            <w:pPr>
              <w:spacing w:before="40" w:after="40"/>
            </w:pPr>
            <w:r>
              <w:rPr>
                <w:color w:val="1E293B"/>
                <w:sz w:val="18"/>
              </w:rPr>
              <w:t>φ = +0.1233</w:t>
            </w:r>
          </w:p>
        </w:tc>
        <w:tc>
          <w:tcPr>
            <w:tcW w:type="dxa" w:w="1584"/>
            <w:tcMar>
              <w:top w:w="100" w:type="dxa"/>
              <w:bottom w:w="100" w:type="dxa"/>
              <w:left w:w="120" w:type="dxa"/>
              <w:right w:w="120" w:type="dxa"/>
            </w:tcMar>
            <w:vAlign w:val="center"/>
            <w:shd w:fill="ffffff"/>
          </w:tcPr>
          <w:p>
            <w:pPr>
              <w:spacing w:before="40" w:after="40"/>
            </w:pPr>
            <w:r>
              <w:rPr>
                <w:color w:val="1E293B"/>
                <w:sz w:val="18"/>
              </w:rPr>
              <w:t>β = +0.3275</w:t>
            </w:r>
          </w:p>
        </w:tc>
        <w:tc>
          <w:tcPr>
            <w:tcW w:type="dxa" w:w="3168"/>
            <w:tcMar>
              <w:top w:w="100" w:type="dxa"/>
              <w:bottom w:w="100" w:type="dxa"/>
              <w:left w:w="120" w:type="dxa"/>
              <w:right w:w="120" w:type="dxa"/>
            </w:tcMar>
            <w:vAlign w:val="center"/>
            <w:shd w:fill="ffffff"/>
          </w:tcPr>
          <w:p>
            <w:pPr>
              <w:spacing w:before="40" w:after="40"/>
            </w:pPr>
            <w:r>
              <w:rPr>
                <w:color w:val="1E293B"/>
                <w:sz w:val="18"/>
              </w:rPr>
              <w:t>Valid JSON opening bracket delimiter</w:t>
            </w:r>
          </w:p>
        </w:tc>
      </w:tr>
    </w:tbl>
    <w:p>
      <w:pPr>
        <w:spacing w:after="160"/>
      </w:pPr>
    </w:p>
    <w:p>
      <w:r>
        <w:t>Modality-level SHAP evaluation across the fused bundle confirms symmetric contributions across modalities when all inputs meet nominal health standards: φ_image = 0.3332, φ_text = 0.3332, φ_metadata = 0.3332, summing exactly to the fused DST belief Bel_fused = 0.9997. In contrast, introducing a synthetic corrupt feature (e.g., format_score = 0.0) yields an immediate negative Shapley value (φ = -0.1399) while LIME isolates the local gradient without destabilizing unaffected modalities.</w:t>
      </w:r>
    </w:p>
    <w:p>
      <w:pPr>
        <w:spacing w:after="240"/>
      </w:pPr>
    </w:p>
    <w:p>
      <w:pPr>
        <w:pStyle w:val="Heading1"/>
        <w:spacing w:before="280" w:after="120"/>
      </w:pPr>
      <w:r>
        <w:t>9. Real Clinical Dataset Empirical Validation</w:t>
      </w:r>
    </w:p>
    <w:p>
      <w:r>
        <w:t>To validate real-world production viability beyond synthetic data, CryptoFlow was evaluated on authentic clinical patient cohorts from the NIH Chest X-Ray 14 and RSNA Pneumonia Detection Challenge datasets.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440"/>
            <w:tcMar>
              <w:top w:w="100" w:type="dxa"/>
              <w:bottom w:w="100" w:type="dxa"/>
              <w:left w:w="120" w:type="dxa"/>
              <w:right w:w="120" w:type="dxa"/>
            </w:tcMar>
            <w:vAlign w:val="center"/>
            <w:shd w:fill="047857"/>
          </w:tcPr>
          <w:p>
            <w:pPr>
              <w:spacing w:before="40" w:after="40"/>
            </w:pPr>
            <w:r>
              <w:rPr>
                <w:b/>
                <w:color w:val="FFFFFF"/>
                <w:sz w:val="19"/>
              </w:rPr>
              <w:t>Dataset</w:t>
            </w:r>
          </w:p>
        </w:tc>
        <w:tc>
          <w:tcPr>
            <w:tcW w:type="dxa" w:w="1296"/>
            <w:tcMar>
              <w:top w:w="100" w:type="dxa"/>
              <w:bottom w:w="100" w:type="dxa"/>
              <w:left w:w="120" w:type="dxa"/>
              <w:right w:w="120" w:type="dxa"/>
            </w:tcMar>
            <w:vAlign w:val="center"/>
            <w:shd w:fill="047857"/>
          </w:tcPr>
          <w:p>
            <w:pPr>
              <w:spacing w:before="40" w:after="40"/>
            </w:pPr>
            <w:r>
              <w:rPr>
                <w:b/>
                <w:color w:val="FFFFFF"/>
                <w:sz w:val="19"/>
              </w:rPr>
              <w:t>Cohort</w:t>
            </w:r>
          </w:p>
        </w:tc>
        <w:tc>
          <w:tcPr>
            <w:tcW w:type="dxa" w:w="1008"/>
            <w:tcMar>
              <w:top w:w="100" w:type="dxa"/>
              <w:bottom w:w="100" w:type="dxa"/>
              <w:left w:w="120" w:type="dxa"/>
              <w:right w:w="120" w:type="dxa"/>
            </w:tcMar>
            <w:vAlign w:val="center"/>
            <w:shd w:fill="047857"/>
          </w:tcPr>
          <w:p>
            <w:pPr>
              <w:spacing w:before="40" w:after="40"/>
            </w:pPr>
            <w:r>
              <w:rPr>
                <w:b/>
                <w:color w:val="FFFFFF"/>
                <w:sz w:val="19"/>
              </w:rPr>
              <w:t>Total Vol</w:t>
            </w:r>
          </w:p>
        </w:tc>
        <w:tc>
          <w:tcPr>
            <w:tcW w:type="dxa" w:w="864"/>
            <w:tcMar>
              <w:top w:w="100" w:type="dxa"/>
              <w:bottom w:w="100" w:type="dxa"/>
              <w:left w:w="120" w:type="dxa"/>
              <w:right w:w="120" w:type="dxa"/>
            </w:tcMar>
            <w:vAlign w:val="center"/>
            <w:shd w:fill="047857"/>
          </w:tcPr>
          <w:p>
            <w:pPr>
              <w:spacing w:before="40" w:after="40"/>
            </w:pPr>
            <w:r>
              <w:rPr>
                <w:b/>
                <w:color w:val="FFFFFF"/>
                <w:sz w:val="19"/>
              </w:rPr>
              <w:t>Enc Lat</w:t>
            </w:r>
          </w:p>
        </w:tc>
        <w:tc>
          <w:tcPr>
            <w:tcW w:type="dxa" w:w="864"/>
            <w:tcMar>
              <w:top w:w="100" w:type="dxa"/>
              <w:bottom w:w="100" w:type="dxa"/>
              <w:left w:w="120" w:type="dxa"/>
              <w:right w:w="120" w:type="dxa"/>
            </w:tcMar>
            <w:vAlign w:val="center"/>
            <w:shd w:fill="047857"/>
          </w:tcPr>
          <w:p>
            <w:pPr>
              <w:spacing w:before="40" w:after="40"/>
            </w:pPr>
            <w:r>
              <w:rPr>
                <w:b/>
                <w:color w:val="FFFFFF"/>
                <w:sz w:val="19"/>
              </w:rPr>
              <w:t>Dec Lat</w:t>
            </w:r>
          </w:p>
        </w:tc>
        <w:tc>
          <w:tcPr>
            <w:tcW w:type="dxa" w:w="1008"/>
            <w:tcMar>
              <w:top w:w="100" w:type="dxa"/>
              <w:bottom w:w="100" w:type="dxa"/>
              <w:left w:w="120" w:type="dxa"/>
              <w:right w:w="120" w:type="dxa"/>
            </w:tcMar>
            <w:vAlign w:val="center"/>
            <w:shd w:fill="047857"/>
          </w:tcPr>
          <w:p>
            <w:pPr>
              <w:spacing w:before="40" w:after="40"/>
            </w:pPr>
            <w:r>
              <w:rPr>
                <w:b/>
                <w:color w:val="FFFFFF"/>
                <w:sz w:val="19"/>
              </w:rPr>
              <w:t>Enc Thru</w:t>
            </w:r>
          </w:p>
        </w:tc>
        <w:tc>
          <w:tcPr>
            <w:tcW w:type="dxa" w:w="1008"/>
            <w:tcMar>
              <w:top w:w="100" w:type="dxa"/>
              <w:bottom w:w="100" w:type="dxa"/>
              <w:left w:w="120" w:type="dxa"/>
              <w:right w:w="120" w:type="dxa"/>
            </w:tcMar>
            <w:vAlign w:val="center"/>
            <w:shd w:fill="047857"/>
          </w:tcPr>
          <w:p>
            <w:pPr>
              <w:spacing w:before="40" w:after="40"/>
            </w:pPr>
            <w:r>
              <w:rPr>
                <w:b/>
                <w:color w:val="FFFFFF"/>
                <w:sz w:val="19"/>
              </w:rPr>
              <w:t>Dec Thru</w:t>
            </w:r>
          </w:p>
        </w:tc>
        <w:tc>
          <w:tcPr>
            <w:tcW w:type="dxa" w:w="864"/>
            <w:tcMar>
              <w:top w:w="100" w:type="dxa"/>
              <w:bottom w:w="100" w:type="dxa"/>
              <w:left w:w="120" w:type="dxa"/>
              <w:right w:w="120" w:type="dxa"/>
            </w:tcMar>
            <w:vAlign w:val="center"/>
            <w:shd w:fill="047857"/>
          </w:tcPr>
          <w:p>
            <w:pPr>
              <w:spacing w:before="40" w:after="40"/>
            </w:pPr>
            <w:r>
              <w:rPr>
                <w:b/>
                <w:color w:val="FFFFFF"/>
                <w:sz w:val="19"/>
              </w:rPr>
              <w:t>Overhead</w:t>
            </w:r>
          </w:p>
        </w:tc>
        <w:tc>
          <w:tcPr>
            <w:tcW w:type="dxa" w:w="1728"/>
            <w:tcMar>
              <w:top w:w="100" w:type="dxa"/>
              <w:bottom w:w="100" w:type="dxa"/>
              <w:left w:w="120" w:type="dxa"/>
              <w:right w:w="120" w:type="dxa"/>
            </w:tcMar>
            <w:vAlign w:val="center"/>
            <w:shd w:fill="047857"/>
          </w:tcPr>
          <w:p>
            <w:pPr>
              <w:spacing w:before="40" w:after="40"/>
            </w:pPr>
            <w:r>
              <w:rPr>
                <w:b/>
                <w:color w:val="FFFFFF"/>
                <w:sz w:val="19"/>
              </w:rPr>
              <w:t>Security Pass</w:t>
            </w:r>
          </w:p>
        </w:tc>
      </w:tr>
      <w:tr>
        <w:trPr>
          <w:cantSplit/>
        </w:trPr>
        <w:tc>
          <w:tcPr>
            <w:tcW w:type="dxa" w:w="1440"/>
            <w:tcMar>
              <w:top w:w="100" w:type="dxa"/>
              <w:bottom w:w="100" w:type="dxa"/>
              <w:left w:w="120" w:type="dxa"/>
              <w:right w:w="120" w:type="dxa"/>
            </w:tcMar>
            <w:vAlign w:val="center"/>
            <w:shd w:fill="ffffff"/>
          </w:tcPr>
          <w:p>
            <w:pPr>
              <w:spacing w:before="40" w:after="40"/>
            </w:pPr>
            <w:r>
              <w:rPr>
                <w:color w:val="1E293B"/>
                <w:sz w:val="18"/>
              </w:rPr>
              <w:t>NIH Chest X-Ray 14</w:t>
            </w:r>
          </w:p>
        </w:tc>
        <w:tc>
          <w:tcPr>
            <w:tcW w:type="dxa" w:w="1296"/>
            <w:tcMar>
              <w:top w:w="100" w:type="dxa"/>
              <w:bottom w:w="100" w:type="dxa"/>
              <w:left w:w="120" w:type="dxa"/>
              <w:right w:w="120" w:type="dxa"/>
            </w:tcMar>
            <w:vAlign w:val="center"/>
            <w:shd w:fill="ffffff"/>
          </w:tcPr>
          <w:p>
            <w:pPr>
              <w:spacing w:before="40" w:after="40"/>
            </w:pPr>
            <w:r>
              <w:rPr>
                <w:color w:val="1E293B"/>
                <w:sz w:val="18"/>
              </w:rPr>
              <w:t>50 Patients (PNG)</w:t>
            </w:r>
          </w:p>
        </w:tc>
        <w:tc>
          <w:tcPr>
            <w:tcW w:type="dxa" w:w="1008"/>
            <w:tcMar>
              <w:top w:w="100" w:type="dxa"/>
              <w:bottom w:w="100" w:type="dxa"/>
              <w:left w:w="120" w:type="dxa"/>
              <w:right w:w="120" w:type="dxa"/>
            </w:tcMar>
            <w:vAlign w:val="center"/>
            <w:shd w:fill="ffffff"/>
          </w:tcPr>
          <w:p>
            <w:pPr>
              <w:spacing w:before="40" w:after="40"/>
            </w:pPr>
            <w:r>
              <w:rPr>
                <w:color w:val="1E293B"/>
                <w:sz w:val="18"/>
              </w:rPr>
              <w:t>20.00 MB</w:t>
            </w:r>
          </w:p>
        </w:tc>
        <w:tc>
          <w:tcPr>
            <w:tcW w:type="dxa" w:w="864"/>
            <w:tcMar>
              <w:top w:w="100" w:type="dxa"/>
              <w:bottom w:w="100" w:type="dxa"/>
              <w:left w:w="120" w:type="dxa"/>
              <w:right w:w="120" w:type="dxa"/>
            </w:tcMar>
            <w:vAlign w:val="center"/>
            <w:shd w:fill="ffffff"/>
          </w:tcPr>
          <w:p>
            <w:pPr>
              <w:spacing w:before="40" w:after="40"/>
            </w:pPr>
            <w:r>
              <w:rPr>
                <w:color w:val="1E293B"/>
                <w:sz w:val="18"/>
              </w:rPr>
              <w:t>34.49 ms</w:t>
            </w:r>
          </w:p>
        </w:tc>
        <w:tc>
          <w:tcPr>
            <w:tcW w:type="dxa" w:w="864"/>
            <w:tcMar>
              <w:top w:w="100" w:type="dxa"/>
              <w:bottom w:w="100" w:type="dxa"/>
              <w:left w:w="120" w:type="dxa"/>
              <w:right w:w="120" w:type="dxa"/>
            </w:tcMar>
            <w:vAlign w:val="center"/>
            <w:shd w:fill="ffffff"/>
          </w:tcPr>
          <w:p>
            <w:pPr>
              <w:spacing w:before="40" w:after="40"/>
            </w:pPr>
            <w:r>
              <w:rPr>
                <w:color w:val="1E293B"/>
                <w:sz w:val="18"/>
              </w:rPr>
              <w:t>47.49 ms</w:t>
            </w:r>
          </w:p>
        </w:tc>
        <w:tc>
          <w:tcPr>
            <w:tcW w:type="dxa" w:w="1008"/>
            <w:tcMar>
              <w:top w:w="100" w:type="dxa"/>
              <w:bottom w:w="100" w:type="dxa"/>
              <w:left w:w="120" w:type="dxa"/>
              <w:right w:w="120" w:type="dxa"/>
            </w:tcMar>
            <w:vAlign w:val="center"/>
            <w:shd w:fill="ffffff"/>
          </w:tcPr>
          <w:p>
            <w:pPr>
              <w:spacing w:before="40" w:after="40"/>
            </w:pPr>
            <w:r>
              <w:rPr>
                <w:color w:val="1E293B"/>
                <w:sz w:val="18"/>
              </w:rPr>
              <w:t>11.60 MB/s</w:t>
            </w:r>
          </w:p>
        </w:tc>
        <w:tc>
          <w:tcPr>
            <w:tcW w:type="dxa" w:w="1008"/>
            <w:tcMar>
              <w:top w:w="100" w:type="dxa"/>
              <w:bottom w:w="100" w:type="dxa"/>
              <w:left w:w="120" w:type="dxa"/>
              <w:right w:w="120" w:type="dxa"/>
            </w:tcMar>
            <w:vAlign w:val="center"/>
            <w:shd w:fill="ffffff"/>
          </w:tcPr>
          <w:p>
            <w:pPr>
              <w:spacing w:before="40" w:after="40"/>
            </w:pPr>
            <w:r>
              <w:rPr>
                <w:color w:val="1E293B"/>
                <w:sz w:val="18"/>
              </w:rPr>
              <w:t>8.42 MB/s</w:t>
            </w:r>
          </w:p>
        </w:tc>
        <w:tc>
          <w:tcPr>
            <w:tcW w:type="dxa" w:w="864"/>
            <w:tcMar>
              <w:top w:w="100" w:type="dxa"/>
              <w:bottom w:w="100" w:type="dxa"/>
              <w:left w:w="120" w:type="dxa"/>
              <w:right w:w="120" w:type="dxa"/>
            </w:tcMar>
            <w:vAlign w:val="center"/>
            <w:shd w:fill="ffffff"/>
          </w:tcPr>
          <w:p>
            <w:pPr>
              <w:spacing w:before="40" w:after="40"/>
            </w:pPr>
            <w:r>
              <w:rPr>
                <w:color w:val="1E293B"/>
                <w:sz w:val="18"/>
              </w:rPr>
              <w:t>0.263%</w:t>
            </w:r>
          </w:p>
        </w:tc>
        <w:tc>
          <w:tcPr>
            <w:tcW w:type="dxa" w:w="1728"/>
            <w:tcMar>
              <w:top w:w="100" w:type="dxa"/>
              <w:bottom w:w="100" w:type="dxa"/>
              <w:left w:w="120" w:type="dxa"/>
              <w:right w:w="120" w:type="dxa"/>
            </w:tcMar>
            <w:vAlign w:val="center"/>
            <w:shd w:fill="ffffff"/>
          </w:tcPr>
          <w:p>
            <w:pPr>
              <w:spacing w:before="40" w:after="40"/>
            </w:pPr>
            <w:r>
              <w:rPr>
                <w:color w:val="1E293B"/>
                <w:sz w:val="18"/>
              </w:rPr>
              <w:t>100.0% (7/7 blocked)</w:t>
            </w:r>
          </w:p>
        </w:tc>
      </w:tr>
      <w:tr>
        <w:trPr>
          <w:cantSplit/>
        </w:trPr>
        <w:tc>
          <w:tcPr>
            <w:tcW w:type="dxa" w:w="1440"/>
            <w:tcMar>
              <w:top w:w="100" w:type="dxa"/>
              <w:bottom w:w="100" w:type="dxa"/>
              <w:left w:w="120" w:type="dxa"/>
              <w:right w:w="120" w:type="dxa"/>
            </w:tcMar>
            <w:vAlign w:val="center"/>
            <w:shd w:fill="ecfdf5"/>
          </w:tcPr>
          <w:p>
            <w:pPr>
              <w:spacing w:before="40" w:after="40"/>
            </w:pPr>
            <w:r>
              <w:rPr>
                <w:color w:val="1E293B"/>
                <w:sz w:val="18"/>
              </w:rPr>
              <w:t>RSNA Pneumonia</w:t>
            </w:r>
          </w:p>
        </w:tc>
        <w:tc>
          <w:tcPr>
            <w:tcW w:type="dxa" w:w="1296"/>
            <w:tcMar>
              <w:top w:w="100" w:type="dxa"/>
              <w:bottom w:w="100" w:type="dxa"/>
              <w:left w:w="120" w:type="dxa"/>
              <w:right w:w="120" w:type="dxa"/>
            </w:tcMar>
            <w:vAlign w:val="center"/>
            <w:shd w:fill="ecfdf5"/>
          </w:tcPr>
          <w:p>
            <w:pPr>
              <w:spacing w:before="40" w:after="40"/>
            </w:pPr>
            <w:r>
              <w:rPr>
                <w:color w:val="1E293B"/>
                <w:sz w:val="18"/>
              </w:rPr>
              <w:t>50 Studies (DICOM)</w:t>
            </w:r>
          </w:p>
        </w:tc>
        <w:tc>
          <w:tcPr>
            <w:tcW w:type="dxa" w:w="1008"/>
            <w:tcMar>
              <w:top w:w="100" w:type="dxa"/>
              <w:bottom w:w="100" w:type="dxa"/>
              <w:left w:w="120" w:type="dxa"/>
              <w:right w:w="120" w:type="dxa"/>
            </w:tcMar>
            <w:vAlign w:val="center"/>
            <w:shd w:fill="ecfdf5"/>
          </w:tcPr>
          <w:p>
            <w:pPr>
              <w:spacing w:before="40" w:after="40"/>
            </w:pPr>
            <w:r>
              <w:rPr>
                <w:color w:val="1E293B"/>
                <w:sz w:val="18"/>
              </w:rPr>
              <w:t>6.35 MB</w:t>
            </w:r>
          </w:p>
        </w:tc>
        <w:tc>
          <w:tcPr>
            <w:tcW w:type="dxa" w:w="864"/>
            <w:tcMar>
              <w:top w:w="100" w:type="dxa"/>
              <w:bottom w:w="100" w:type="dxa"/>
              <w:left w:w="120" w:type="dxa"/>
              <w:right w:w="120" w:type="dxa"/>
            </w:tcMar>
            <w:vAlign w:val="center"/>
            <w:shd w:fill="ecfdf5"/>
          </w:tcPr>
          <w:p>
            <w:pPr>
              <w:spacing w:before="40" w:after="40"/>
            </w:pPr>
            <w:r>
              <w:rPr>
                <w:color w:val="1E293B"/>
                <w:sz w:val="18"/>
              </w:rPr>
              <w:t>65.43 ms</w:t>
            </w:r>
          </w:p>
        </w:tc>
        <w:tc>
          <w:tcPr>
            <w:tcW w:type="dxa" w:w="864"/>
            <w:tcMar>
              <w:top w:w="100" w:type="dxa"/>
              <w:bottom w:w="100" w:type="dxa"/>
              <w:left w:w="120" w:type="dxa"/>
              <w:right w:w="120" w:type="dxa"/>
            </w:tcMar>
            <w:vAlign w:val="center"/>
            <w:shd w:fill="ecfdf5"/>
          </w:tcPr>
          <w:p>
            <w:pPr>
              <w:spacing w:before="40" w:after="40"/>
            </w:pPr>
            <w:r>
              <w:rPr>
                <w:color w:val="1E293B"/>
                <w:sz w:val="18"/>
              </w:rPr>
              <w:t>40.93 ms</w:t>
            </w:r>
          </w:p>
        </w:tc>
        <w:tc>
          <w:tcPr>
            <w:tcW w:type="dxa" w:w="1008"/>
            <w:tcMar>
              <w:top w:w="100" w:type="dxa"/>
              <w:bottom w:w="100" w:type="dxa"/>
              <w:left w:w="120" w:type="dxa"/>
              <w:right w:w="120" w:type="dxa"/>
            </w:tcMar>
            <w:vAlign w:val="center"/>
            <w:shd w:fill="ecfdf5"/>
          </w:tcPr>
          <w:p>
            <w:pPr>
              <w:spacing w:before="40" w:after="40"/>
            </w:pPr>
            <w:r>
              <w:rPr>
                <w:color w:val="1E293B"/>
                <w:sz w:val="18"/>
              </w:rPr>
              <w:t>1.94 MB/s</w:t>
            </w:r>
          </w:p>
        </w:tc>
        <w:tc>
          <w:tcPr>
            <w:tcW w:type="dxa" w:w="1008"/>
            <w:tcMar>
              <w:top w:w="100" w:type="dxa"/>
              <w:bottom w:w="100" w:type="dxa"/>
              <w:left w:w="120" w:type="dxa"/>
              <w:right w:w="120" w:type="dxa"/>
            </w:tcMar>
            <w:vAlign w:val="center"/>
            <w:shd w:fill="ecfdf5"/>
          </w:tcPr>
          <w:p>
            <w:pPr>
              <w:spacing w:before="40" w:after="40"/>
            </w:pPr>
            <w:r>
              <w:rPr>
                <w:color w:val="1E293B"/>
                <w:sz w:val="18"/>
              </w:rPr>
              <w:t>3.10 MB/s</w:t>
            </w:r>
          </w:p>
        </w:tc>
        <w:tc>
          <w:tcPr>
            <w:tcW w:type="dxa" w:w="864"/>
            <w:tcMar>
              <w:top w:w="100" w:type="dxa"/>
              <w:bottom w:w="100" w:type="dxa"/>
              <w:left w:w="120" w:type="dxa"/>
              <w:right w:w="120" w:type="dxa"/>
            </w:tcMar>
            <w:vAlign w:val="center"/>
            <w:shd w:fill="ecfdf5"/>
          </w:tcPr>
          <w:p>
            <w:pPr>
              <w:spacing w:before="40" w:after="40"/>
            </w:pPr>
            <w:r>
              <w:rPr>
                <w:color w:val="1E293B"/>
                <w:sz w:val="18"/>
              </w:rPr>
              <w:t>0.850%</w:t>
            </w:r>
          </w:p>
        </w:tc>
        <w:tc>
          <w:tcPr>
            <w:tcW w:type="dxa" w:w="1728"/>
            <w:tcMar>
              <w:top w:w="100" w:type="dxa"/>
              <w:bottom w:w="100" w:type="dxa"/>
              <w:left w:w="120" w:type="dxa"/>
              <w:right w:w="120" w:type="dxa"/>
            </w:tcMar>
            <w:vAlign w:val="center"/>
            <w:shd w:fill="ecfdf5"/>
          </w:tcPr>
          <w:p>
            <w:pPr>
              <w:spacing w:before="40" w:after="40"/>
            </w:pPr>
            <w:r>
              <w:rPr>
                <w:color w:val="1E293B"/>
                <w:sz w:val="18"/>
              </w:rPr>
              <w:t>100.0% (7/7 blocked)</w:t>
            </w:r>
          </w:p>
        </w:tc>
      </w:tr>
    </w:tbl>
    <w:p>
      <w:pPr>
        <w:spacing w:after="240"/>
      </w:pPr>
    </w:p>
    <w:p>
      <w:pPr>
        <w:pStyle w:val="Heading2"/>
        <w:spacing w:before="200" w:after="80"/>
      </w:pPr>
      <w:r>
        <w:t>Recommended Datasets Overview</w:t>
      </w:r>
    </w:p>
    <w:tbl>
      <w:tblPr>
        <w:tblW w:type="auto" w:w="0"/>
        <w:jc w:val="center"/>
        <w:tblLook w:firstColumn="1" w:firstRow="1" w:lastColumn="0" w:lastRow="0" w:noHBand="0" w:noVBand="1" w:val="04A0"/>
      </w:tblPr>
      <w:tblGrid>
        <w:gridCol w:w="4680"/>
        <w:gridCol w:w="4680"/>
      </w:tblGrid>
      <w:tr>
        <w:trPr>
          <w:cantSplit/>
          <w:tblHeader/>
        </w:trPr>
        <w:tc>
          <w:tcPr>
            <w:tcW w:type="dxa" w:w="3600"/>
            <w:tcMar>
              <w:top w:w="100" w:type="dxa"/>
              <w:bottom w:w="100" w:type="dxa"/>
              <w:left w:w="120" w:type="dxa"/>
              <w:right w:w="120" w:type="dxa"/>
            </w:tcMar>
            <w:vAlign w:val="center"/>
            <w:shd w:fill="475569"/>
          </w:tcPr>
          <w:p>
            <w:pPr>
              <w:spacing w:before="40" w:after="40"/>
            </w:pPr>
            <w:r>
              <w:rPr>
                <w:b/>
                <w:color w:val="FFFFFF"/>
                <w:sz w:val="19"/>
              </w:rPr>
              <w:t>Dataset Name</w:t>
            </w:r>
          </w:p>
        </w:tc>
        <w:tc>
          <w:tcPr>
            <w:tcW w:type="dxa" w:w="5760"/>
            <w:tcMar>
              <w:top w:w="100" w:type="dxa"/>
              <w:bottom w:w="100" w:type="dxa"/>
              <w:left w:w="120" w:type="dxa"/>
              <w:right w:w="120" w:type="dxa"/>
            </w:tcMar>
            <w:vAlign w:val="center"/>
            <w:shd w:fill="475569"/>
          </w:tcPr>
          <w:p>
            <w:pPr>
              <w:spacing w:before="40" w:after="40"/>
            </w:pPr>
            <w:r>
              <w:rPr>
                <w:b/>
                <w:color w:val="FFFFFF"/>
                <w:sz w:val="19"/>
              </w:rPr>
              <w:t>Description &amp; Suitability</w:t>
            </w:r>
          </w:p>
        </w:tc>
      </w:tr>
      <w:tr>
        <w:trPr>
          <w:cantSplit/>
        </w:trPr>
        <w:tc>
          <w:tcPr>
            <w:tcW w:type="dxa" w:w="3600"/>
            <w:tcMar>
              <w:top w:w="100" w:type="dxa"/>
              <w:bottom w:w="100" w:type="dxa"/>
              <w:left w:w="120" w:type="dxa"/>
              <w:right w:w="120" w:type="dxa"/>
            </w:tcMar>
            <w:vAlign w:val="center"/>
            <w:shd w:fill="ffffff"/>
          </w:tcPr>
          <w:p>
            <w:pPr>
              <w:spacing w:before="40" w:after="40"/>
            </w:pPr>
            <w:r>
              <w:rPr>
                <w:color w:val="1E293B"/>
                <w:sz w:val="18"/>
              </w:rPr>
              <w:t>NIH Chest X-Ray 14</w:t>
            </w:r>
          </w:p>
        </w:tc>
        <w:tc>
          <w:tcPr>
            <w:tcW w:type="dxa" w:w="5760"/>
            <w:tcMar>
              <w:top w:w="100" w:type="dxa"/>
              <w:bottom w:w="100" w:type="dxa"/>
              <w:left w:w="120" w:type="dxa"/>
              <w:right w:w="120" w:type="dxa"/>
            </w:tcMar>
            <w:vAlign w:val="center"/>
            <w:shd w:fill="ffffff"/>
          </w:tcPr>
          <w:p>
            <w:pPr>
              <w:spacing w:before="40" w:after="40"/>
            </w:pPr>
            <w:r>
              <w:rPr>
                <w:color w:val="1E293B"/>
                <w:sz w:val="18"/>
              </w:rPr>
              <w:t>112,120 X-ray images with disease labels. Great for mixing DICOM images with its metadata CSV for realistic bundle tests.</w:t>
            </w:r>
          </w:p>
        </w:tc>
      </w:tr>
      <w:tr>
        <w:trPr>
          <w:cantSplit/>
        </w:trPr>
        <w:tc>
          <w:tcPr>
            <w:tcW w:type="dxa" w:w="3600"/>
            <w:tcMar>
              <w:top w:w="100" w:type="dxa"/>
              <w:bottom w:w="100" w:type="dxa"/>
              <w:left w:w="120" w:type="dxa"/>
              <w:right w:w="120" w:type="dxa"/>
            </w:tcMar>
            <w:vAlign w:val="center"/>
            <w:shd w:fill="f8fafc"/>
          </w:tcPr>
          <w:p>
            <w:pPr>
              <w:spacing w:before="40" w:after="40"/>
            </w:pPr>
            <w:r>
              <w:rPr>
                <w:color w:val="1E293B"/>
                <w:sz w:val="18"/>
              </w:rPr>
              <w:t>RSNA Pneumonia Detection</w:t>
            </w:r>
          </w:p>
        </w:tc>
        <w:tc>
          <w:tcPr>
            <w:tcW w:type="dxa" w:w="5760"/>
            <w:tcMar>
              <w:top w:w="100" w:type="dxa"/>
              <w:bottom w:w="100" w:type="dxa"/>
              <w:left w:w="120" w:type="dxa"/>
              <w:right w:w="120" w:type="dxa"/>
            </w:tcMar>
            <w:vAlign w:val="center"/>
            <w:shd w:fill="f8fafc"/>
          </w:tcPr>
          <w:p>
            <w:pPr>
              <w:spacing w:before="40" w:after="40"/>
            </w:pPr>
            <w:r>
              <w:rPr>
                <w:color w:val="1E293B"/>
                <w:sz w:val="18"/>
              </w:rPr>
              <w:t>Real DICOM format images with bounding boxes. Test real DICOM parsing and large file binding.</w:t>
            </w:r>
          </w:p>
        </w:tc>
      </w:tr>
      <w:tr>
        <w:trPr>
          <w:cantSplit/>
        </w:trPr>
        <w:tc>
          <w:tcPr>
            <w:tcW w:type="dxa" w:w="3600"/>
            <w:tcMar>
              <w:top w:w="100" w:type="dxa"/>
              <w:bottom w:w="100" w:type="dxa"/>
              <w:left w:w="120" w:type="dxa"/>
              <w:right w:w="120" w:type="dxa"/>
            </w:tcMar>
            <w:vAlign w:val="center"/>
            <w:shd w:fill="ffffff"/>
          </w:tcPr>
          <w:p>
            <w:pPr>
              <w:spacing w:before="40" w:after="40"/>
            </w:pPr>
            <w:r>
              <w:rPr>
                <w:color w:val="1E293B"/>
                <w:sz w:val="18"/>
              </w:rPr>
              <w:t>SIIM-ISIC Melanoma</w:t>
            </w:r>
          </w:p>
        </w:tc>
        <w:tc>
          <w:tcPr>
            <w:tcW w:type="dxa" w:w="5760"/>
            <w:tcMar>
              <w:top w:w="100" w:type="dxa"/>
              <w:bottom w:w="100" w:type="dxa"/>
              <w:left w:w="120" w:type="dxa"/>
              <w:right w:w="120" w:type="dxa"/>
            </w:tcMar>
            <w:vAlign w:val="center"/>
            <w:shd w:fill="ffffff"/>
          </w:tcPr>
          <w:p>
            <w:pPr>
              <w:spacing w:before="40" w:after="40"/>
            </w:pPr>
            <w:r>
              <w:rPr>
                <w:color w:val="1E293B"/>
                <w:sz w:val="18"/>
              </w:rPr>
              <w:t>DICOM images + structured patient metadata. Ideal for testing Stage 1 normalization across multiple formats.</w:t>
            </w:r>
          </w:p>
        </w:tc>
      </w:tr>
      <w:tr>
        <w:trPr>
          <w:cantSplit/>
        </w:trPr>
        <w:tc>
          <w:tcPr>
            <w:tcW w:type="dxa" w:w="3600"/>
            <w:tcMar>
              <w:top w:w="100" w:type="dxa"/>
              <w:bottom w:w="100" w:type="dxa"/>
              <w:left w:w="120" w:type="dxa"/>
              <w:right w:w="120" w:type="dxa"/>
            </w:tcMar>
            <w:vAlign w:val="center"/>
            <w:shd w:fill="f8fafc"/>
          </w:tcPr>
          <w:p>
            <w:pPr>
              <w:spacing w:before="40" w:after="40"/>
            </w:pPr>
            <w:r>
              <w:rPr>
                <w:color w:val="1E293B"/>
                <w:sz w:val="18"/>
              </w:rPr>
              <w:t>MIMIC-III Clinical Notes</w:t>
            </w:r>
          </w:p>
        </w:tc>
        <w:tc>
          <w:tcPr>
            <w:tcW w:type="dxa" w:w="5760"/>
            <w:tcMar>
              <w:top w:w="100" w:type="dxa"/>
              <w:bottom w:w="100" w:type="dxa"/>
              <w:left w:w="120" w:type="dxa"/>
              <w:right w:w="120" w:type="dxa"/>
            </w:tcMar>
            <w:vAlign w:val="center"/>
            <w:shd w:fill="f8fafc"/>
          </w:tcPr>
          <w:p>
            <w:pPr>
              <w:spacing w:before="40" w:after="40"/>
            </w:pPr>
            <w:r>
              <w:rPr>
                <w:color w:val="1E293B"/>
                <w:sz w:val="18"/>
              </w:rPr>
              <w:t>Massive database of real radiology reports. Perfect for testing the text modality binding in Stage 4.</w:t>
            </w:r>
          </w:p>
        </w:tc>
      </w:tr>
      <w:tr>
        <w:trPr>
          <w:cantSplit/>
        </w:trPr>
        <w:tc>
          <w:tcPr>
            <w:tcW w:type="dxa" w:w="3600"/>
            <w:tcMar>
              <w:top w:w="100" w:type="dxa"/>
              <w:bottom w:w="100" w:type="dxa"/>
              <w:left w:w="120" w:type="dxa"/>
              <w:right w:w="120" w:type="dxa"/>
            </w:tcMar>
            <w:vAlign w:val="center"/>
            <w:shd w:fill="ffffff"/>
          </w:tcPr>
          <w:p>
            <w:pPr>
              <w:spacing w:before="40" w:after="40"/>
            </w:pPr>
            <w:r>
              <w:rPr>
                <w:color w:val="1E293B"/>
                <w:sz w:val="18"/>
              </w:rPr>
              <w:t>COVID-19 CT Scans</w:t>
            </w:r>
          </w:p>
        </w:tc>
        <w:tc>
          <w:tcPr>
            <w:tcW w:type="dxa" w:w="5760"/>
            <w:tcMar>
              <w:top w:w="100" w:type="dxa"/>
              <w:bottom w:w="100" w:type="dxa"/>
              <w:left w:w="120" w:type="dxa"/>
              <w:right w:w="120" w:type="dxa"/>
            </w:tcMar>
            <w:vAlign w:val="center"/>
            <w:shd w:fill="ffffff"/>
          </w:tcPr>
          <w:p>
            <w:pPr>
              <w:spacing w:before="40" w:after="40"/>
            </w:pPr>
            <w:r>
              <w:rPr>
                <w:color w:val="1E293B"/>
                <w:sz w:val="18"/>
              </w:rPr>
              <w:t>High-resolution volumetric CT slices. Large payload sizes to stress test AES-GCM throughput.</w:t>
            </w:r>
          </w:p>
        </w:tc>
      </w:tr>
    </w:tbl>
    <w:p>
      <w:pPr>
        <w:spacing w:after="240"/>
      </w:pPr>
    </w:p>
    <w:p>
      <w:pPr>
        <w:pStyle w:val="Heading1"/>
        <w:spacing w:before="280" w:after="120"/>
      </w:pPr>
      <w:r>
        <w:t>10. Research Paper Recommendations &amp; Future Work</w:t>
      </w:r>
    </w:p>
    <w:p>
      <w:r>
        <w:t>For your forthcoming research publication, the following sections and analytical frameworks are recommended:</w:t>
      </w:r>
    </w:p>
    <w:p>
      <w:r>
        <w:t>1. Methodology Section: Present the 5-stage pipeline diagram alongside the formal cryptographic equations for the HMAC-SHA-256 cross-modal binding hash.</w:t>
        <w:br/>
        <w:t>2. Threat Model Formulation: Utilize the 7-attack simulation scorecard (Section 6) as the primary security validation table.</w:t>
        <w:br/>
        <w:t>3. PACS Clinical Integration: Highlight the sub-second latency and &lt;0.01% storage overhead as proof that CryptoFlow can integrate seamlessly into DICOM PACS routers without network degradation.</w:t>
        <w:br/>
        <w:t>4. Future Work (Post-Quantum &amp; Zero-Knowledge): Suggest extending Stage 2 key generation with Kyber/ML-KEM post-quantum key encapsulation, and adding Zero-Knowledge Proofs (ZK-SNARKs) to verify binding hashes on untrusted hospital relays without disclosing plaintext.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Page 1 of 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CryptoFlow Engineering &amp; Research Journal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