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HelveticaNeue-bold.ttf" ContentType="application/x-font-ttf"/>
  <Override PartName="/word/fonts/HelveticaNeue-boldItalic.ttf" ContentType="application/x-font-ttf"/>
  <Override PartName="/word/fonts/HelveticaNeue-italic.ttf" ContentType="application/x-font-ttf"/>
  <Override PartName="/word/fonts/HelveticaNeue-regular.ttf" ContentType="application/x-font-ttf"/>
  <Override PartName="/word/fonts/HelveticaNeueLight-bold.ttf" ContentType="application/x-font-ttf"/>
  <Override PartName="/word/fonts/HelveticaNeueLight-boldItalic.ttf" ContentType="application/x-font-ttf"/>
  <Override PartName="/word/fonts/HelveticaNeueLight-italic.ttf" ContentType="application/x-font-ttf"/>
  <Override PartName="/word/fonts/HelveticaNeueLight-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8">
      <w:pPr>
        <w:spacing w:after="0" w:before="0" w:line="20" w:lineRule="auto"/>
        <w:rPr>
          <w:rFonts w:ascii="Helvetica Neue" w:cs="Helvetica Neue" w:eastAsia="Helvetica Neue" w:hAnsi="Helvetica Neue"/>
          <w:color w:val="000000"/>
        </w:rPr>
      </w:pPr>
      <w:r>
        <w:rPr>
          <w:rtl w:val="0"/>
        </w:rPr>
      </w:r>
    </w:p>
    <w:p w14:paraId="00000009">
      <w:pPr>
        <w:pStyle w:val="Title"/>
        <w:spacing w:line="240" w:lineRule="auto"/>
        <w:rPr>
          <w:rFonts w:ascii="Helvetica Neue Light" w:cs="Helvetica Neue Light" w:eastAsia="Helvetica Neue Light" w:hAnsi="Helvetica Neue Light"/>
          <w:b w:val="0"/>
          <w:bCs w:val="0"/>
          <w:color w:val="5b7085"/>
          <w:sz w:val="72"/>
          <w:szCs w:val="72"/>
        </w:rPr>
      </w:pPr>
      <w:r>
        <w:t>Autoflex</w:t>
      </w:r>
    </w:p>
    <w:p w14:paraId="0000000A">
      <w:pPr>
        <w:pStyle w:val="Title"/>
        <w:spacing w:line="240" w:lineRule="auto"/>
        <w:rPr>
          <w:rFonts w:ascii="Helvetica Neue" w:cs="Helvetica Neue" w:eastAsia="Helvetica Neue" w:hAnsi="Helvetica Neue"/>
          <w:sz w:val="72"/>
          <w:szCs w:val="72"/>
        </w:rPr>
      </w:pPr>
      <w:r>
        <w:t>Product and deployment architecture</w:t>
      </w:r>
    </w:p>
    <w:p w14:paraId="0000000B">
      <w:pPr>
        <w:rPr>
          <w:rFonts w:ascii="Helvetica Neue" w:cs="Helvetica Neue" w:eastAsia="Helvetica Neue" w:hAnsi="Helvetica Neue"/>
        </w:rPr>
      </w:pPr>
      <w:r>
        <w:rPr>
          <w:rtl w:val="0"/>
        </w:rPr>
      </w:r>
    </w:p>
    <w:p w14:paraId="0000000C">
      <w:pPr>
        <w:rPr>
          <w:rFonts w:ascii="Helvetica Neue" w:cs="Helvetica Neue" w:eastAsia="Helvetica Neue" w:hAnsi="Helvetica Neue"/>
        </w:rPr>
      </w:pPr>
      <w:r>
        <w:rPr>
          <w:rtl w:val="0"/>
        </w:rPr>
      </w:r>
    </w:p>
    <w:p w14:paraId="0000000D">
      <w:pPr>
        <w:rPr>
          <w:rFonts w:ascii="Helvetica Neue" w:cs="Helvetica Neue" w:eastAsia="Helvetica Neue" w:hAnsi="Helvetica Neue"/>
        </w:rPr>
      </w:pPr>
      <w:r>
        <w:rPr>
          <w:rtl w:val="0"/>
        </w:rPr>
      </w:r>
    </w:p>
    <w:p w14:paraId="0000000E">
      <w:pPr>
        <w:rPr>
          <w:rFonts w:ascii="Helvetica Neue" w:cs="Helvetica Neue" w:eastAsia="Helvetica Neue" w:hAnsi="Helvetica Neue"/>
        </w:rPr>
      </w:pPr>
      <w:r>
        <w:rPr>
          <w:rtl w:val="0"/>
        </w:rPr>
      </w:r>
    </w:p>
    <w:p w14:paraId="0000000F">
      <w:pPr>
        <w:rPr>
          <w:rFonts w:ascii="Helvetica Neue" w:cs="Helvetica Neue" w:eastAsia="Helvetica Neue" w:hAnsi="Helvetica Neue"/>
        </w:rPr>
      </w:pPr>
      <w:r>
        <w:rPr>
          <w:rtl w:val="0"/>
        </w:rPr>
      </w:r>
    </w:p>
    <w:p w14:paraId="00000010">
      <w:pPr>
        <w:rPr>
          <w:rFonts w:ascii="Helvetica Neue" w:cs="Helvetica Neue" w:eastAsia="Helvetica Neue" w:hAnsi="Helvetica Neue"/>
        </w:rPr>
      </w:pPr>
      <w:r>
        <w:rPr>
          <w:rtl w:val="0"/>
        </w:rPr>
      </w:r>
    </w:p>
    <w:p w14:paraId="00000011">
      <w:pPr>
        <w:rPr>
          <w:rFonts w:ascii="Helvetica Neue" w:cs="Helvetica Neue" w:eastAsia="Helvetica Neue" w:hAnsi="Helvetica Neue"/>
        </w:rPr>
      </w:pPr>
      <w:r>
        <w:rPr>
          <w:rtl w:val="0"/>
        </w:rPr>
      </w:r>
    </w:p>
    <w:p w14:paraId="00000012">
      <w:pPr>
        <w:rPr>
          <w:rFonts w:ascii="Helvetica Neue" w:cs="Helvetica Neue" w:eastAsia="Helvetica Neue" w:hAnsi="Helvetica Neue"/>
        </w:rPr>
      </w:pPr>
      <w:r>
        <w:rPr>
          <w:rtl w:val="0"/>
        </w:rPr>
      </w:r>
    </w:p>
    <w:p w14:paraId="00000013">
      <w:pPr>
        <w:rPr>
          <w:rFonts w:ascii="Helvetica Neue" w:cs="Helvetica Neue" w:eastAsia="Helvetica Neue" w:hAnsi="Helvetica Neue"/>
        </w:rPr>
      </w:pPr>
      <w:r>
        <w:rPr>
          <w:rtl w:val="0"/>
        </w:rPr>
      </w:r>
    </w:p>
    <w:p w14:paraId="00000014">
      <w:pPr>
        <w:rPr>
          <w:rFonts w:ascii="Helvetica Neue" w:cs="Helvetica Neue" w:eastAsia="Helvetica Neue" w:hAnsi="Helvetica Neue"/>
        </w:rPr>
      </w:pPr>
      <w:r>
        <w:rPr>
          <w:rtl w:val="0"/>
        </w:rPr>
      </w:r>
    </w:p>
    <w:tbl>
      <w:tblPr>
        <w:tblStyle w:val="Table1"/>
        <w:tblW w:w="10400.0" w:type="dxa"/>
        <w:jc w:val="center"/>
        <w:tblLayout w:type="fixed"/>
        <w:tblLook w:val="0600"/>
      </w:tblPr>
      <w:tblGrid>
        <w:gridCol w:w="3200"/>
        <w:gridCol w:w="400"/>
        <w:gridCol w:w="3200"/>
        <w:gridCol w:w="400"/>
        <w:gridCol w:w="3200"/>
        <w:tblGridChange w:id="0">
          <w:tblGrid>
            <w:gridCol w:w="3200"/>
            <w:gridCol w:w="400"/>
            <w:gridCol w:w="3200"/>
            <w:gridCol w:w="400"/>
            <w:gridCol w:w="3200"/>
          </w:tblGrid>
        </w:tblGridChange>
      </w:tblGrid>
      <w:tr>
        <w:trPr>
          <w:cantSplit w:val="0"/>
          <w:tblHeader w:val="0"/>
        </w:trPr>
        <w:tc>
          <w:tcPr/>
          <w:p>
            <w:r>
              <w:t>STATUS</w:t>
              <w:br/>
              <w:t>Proposed</w:t>
            </w:r>
          </w:p>
        </w:tc>
        <w:tc>
          <w:tcPr/>
          <w:p>
            <w:r/>
          </w:p>
        </w:tc>
        <w:tc>
          <w:tcPr/>
          <w:p>
            <w:r>
              <w:t>OWNER</w:t>
              <w:br/>
              <w:t>Product + Engineering</w:t>
            </w:r>
          </w:p>
        </w:tc>
        <w:tc>
          <w:tcPr/>
          <w:p>
            <w:r/>
          </w:p>
        </w:tc>
        <w:tc>
          <w:tcPr/>
          <w:p>
            <w:r>
              <w:t>LAST UPDATED</w:t>
              <w:br/>
              <w:t>July 30, 2026</w:t>
            </w:r>
          </w:p>
        </w:tc>
      </w:tr>
    </w:tbl>
    <w:p w14:paraId="0000001D">
      <w:pPr>
        <w:spacing w:after="110" w:line="300" w:lineRule="auto"/>
        <w:rPr>
          <w:rFonts w:ascii="Helvetica Neue" w:cs="Helvetica Neue" w:eastAsia="Helvetica Neue" w:hAnsi="Helvetica Neue"/>
        </w:rPr>
      </w:pPr>
      <w:r>
        <w:rPr>
          <w:rtl w:val="0"/>
        </w:rPr>
      </w:r>
    </w:p>
    <w:tbl>
      <w:tblPr>
        <w:tblStyle w:val="Table2"/>
        <w:tblW w:w="10155.0" w:type="dxa"/>
        <w:jc w:val="center"/>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400"/>
      </w:tblPr>
      <w:tblGrid>
        <w:gridCol w:w="1815"/>
        <w:gridCol w:w="8340"/>
        <w:tblGridChange w:id="0">
          <w:tblGrid>
            <w:gridCol w:w="1815"/>
            <w:gridCol w:w="8340"/>
          </w:tblGrid>
        </w:tblGridChange>
      </w:tblGrid>
      <w:tr>
        <w:trPr>
          <w:cantSplit w:val="1"/>
          <w:tblHeader w:val="0"/>
        </w:trPr>
        <w:tc>
          <w:tcPr>
            <w:shd w:fill="cfe2f3" w:val="clear"/>
            <w:tcMar>
              <w:top w:w="110.0" w:type="dxa"/>
              <w:left w:w="120.0" w:type="dxa"/>
              <w:bottom w:w="110.0" w:type="dxa"/>
              <w:right w:w="120.0" w:type="dxa"/>
            </w:tcMar>
            <w:vAlign w:val="center"/>
          </w:tcPr>
          <w:p>
            <w:r>
              <w:t>Authors</w:t>
            </w:r>
          </w:p>
        </w:tc>
        <w:tc>
          <w:tcPr>
            <w:tcBorders>
              <w:top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r>
              <w:t>Product Owner and Codex</w:t>
            </w:r>
          </w:p>
        </w:tc>
      </w:tr>
      <w:tr>
        <w:trPr>
          <w:cantSplit w:val="1"/>
          <w:trHeight w:val="404.3103027343749" w:hRule="atLeast"/>
          <w:tblHeader w:val="0"/>
        </w:trPr>
        <w:tc>
          <w:tcPr>
            <w:shd w:fill="cfe2f3" w:val="clear"/>
            <w:tcMar>
              <w:top w:w="110.0" w:type="dxa"/>
              <w:left w:w="120.0" w:type="dxa"/>
              <w:bottom w:w="110.0" w:type="dxa"/>
              <w:right w:w="120.0" w:type="dxa"/>
            </w:tcMar>
            <w:vAlign w:val="center"/>
          </w:tcPr>
          <w:p>
            <w:r>
              <w:t>Reviewers</w:t>
            </w:r>
          </w:p>
        </w:tc>
        <w:tc>
          <w:tcPr>
            <w:tcBorders>
              <w:top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r>
              <w:t>Frontend, Backend, Reviewer/Critic, QA</w:t>
            </w:r>
          </w:p>
        </w:tc>
      </w:tr>
      <w:tr>
        <w:trPr>
          <w:cantSplit w:val="1"/>
          <w:tblHeader w:val="0"/>
        </w:trPr>
        <w:tc>
          <w:tcPr>
            <w:shd w:fill="cfe2f3" w:val="clear"/>
            <w:tcMar>
              <w:top w:w="110.0" w:type="dxa"/>
              <w:left w:w="120.0" w:type="dxa"/>
              <w:bottom w:w="110.0" w:type="dxa"/>
              <w:right w:w="120.0" w:type="dxa"/>
            </w:tcMar>
            <w:vAlign w:val="center"/>
          </w:tcPr>
          <w:p>
            <w:r>
              <w:t>Related docs</w:t>
            </w:r>
          </w:p>
        </w:tc>
        <w:tc>
          <w:tcPr>
            <w:tcBorders>
              <w:top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r>
              <w:t>AUTOFLEX_DESIGN_REPORT.docx; README.md; docs/RELEASE_CHECKLIST.md</w:t>
            </w:r>
          </w:p>
        </w:tc>
      </w:tr>
      <w:tr>
        <w:trPr>
          <w:cantSplit w:val="1"/>
          <w:tblHeader w:val="0"/>
        </w:trPr>
        <w:tc>
          <w:tcPr>
            <w:shd w:fill="cfe2f3" w:val="clear"/>
            <w:tcMar>
              <w:top w:w="110.0" w:type="dxa"/>
              <w:left w:w="120.0" w:type="dxa"/>
              <w:bottom w:w="110.0" w:type="dxa"/>
              <w:right w:w="120.0" w:type="dxa"/>
            </w:tcMar>
            <w:vAlign w:val="center"/>
          </w:tcPr>
          <w:p>
            <w:r>
              <w:t>Scope</w:t>
            </w:r>
          </w:p>
        </w:tc>
        <w:tc>
          <w:tcPr>
            <w:tcBorders>
              <w:top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r>
              <w:t>Client experience, local persistence, API boundary, and production deployment path</w:t>
            </w:r>
          </w:p>
        </w:tc>
      </w:tr>
    </w:tbl>
    <w:p w14:paraId="00000026">
      <w:pPr>
        <w:pStyle w:val="Heading1"/>
        <w:pBdr>
          <w:top w:color="2f6b9a" w:space="2" w:sz="0" w:val="none"/>
          <w:left w:color="2f6b9a" w:space="2" w:sz="0" w:val="none"/>
          <w:bottom w:color="2f6b9a" w:space="2" w:sz="0" w:val="none"/>
          <w:right w:color="2f6b9a" w:space="2" w:sz="0" w:val="none"/>
        </w:pBdr>
        <w:spacing w:after="130" w:before="0" w:line="285" w:lineRule="auto"/>
        <w:rPr>
          <w:rFonts w:ascii="Helvetica Neue" w:cs="Helvetica Neue" w:eastAsia="Helvetica Neue" w:hAnsi="Helvetica Neue"/>
          <w:color w:val="000000"/>
        </w:rPr>
      </w:pPr>
      <w:r>
        <w:t>1.  Abstract</w:t>
      </w:r>
    </w:p>
    <w:p w14:paraId="00000027">
      <w:pPr>
        <w:spacing w:after="110" w:line="300" w:lineRule="auto"/>
        <w:jc w:val="both"/>
        <w:rPr>
          <w:rFonts w:ascii="Helvetica Neue" w:cs="Helvetica Neue" w:eastAsia="Helvetica Neue" w:hAnsi="Helvetica Neue"/>
        </w:rPr>
      </w:pPr>
      <w:r>
        <w:t>Autoflex is a responsive React and Vite web application for vehicle ownership, purchase comparison, service records, and owner evidence. The client is intentionally usable without a hosted account and stores current user state in the browser.</w:t>
      </w:r>
    </w:p>
    <w:p w14:paraId="00000028">
      <w:pPr>
        <w:spacing w:after="110" w:line="300" w:lineRule="auto"/>
        <w:jc w:val="both"/>
        <w:rPr>
          <w:rFonts w:ascii="Helvetica Neue" w:cs="Helvetica Neue" w:eastAsia="Helvetica Neue" w:hAnsi="Helvetica Neue"/>
        </w:rPr>
      </w:pPr>
      <w:r>
        <w:t>A TypeScript Fastify API provides health, profile, feedback, and moderation boundaries. JSON persistence is suitable for staging only; a durable production database and authenticated identity remain launch dependencies for hosted synchronization.</w:t>
      </w:r>
    </w:p>
    <w:p w14:paraId="00000029">
      <w:pPr>
        <w:spacing w:after="0" w:line="120" w:lineRule="auto"/>
        <w:jc w:val="both"/>
        <w:rPr>
          <w:rFonts w:ascii="Helvetica Neue" w:cs="Helvetica Neue" w:eastAsia="Helvetica Neue" w:hAnsi="Helvetica Neue"/>
        </w:rPr>
      </w:pPr>
      <w:r>
        <w:rPr>
          <w:rtl w:val="0"/>
        </w:rPr>
      </w:r>
    </w:p>
    <w:p w14:paraId="0000002A">
      <w:pPr>
        <w:pStyle w:val="Heading1"/>
        <w:rPr>
          <w:rFonts w:ascii="Helvetica Neue" w:cs="Helvetica Neue" w:eastAsia="Helvetica Neue" w:hAnsi="Helvetica Neue"/>
        </w:rPr>
      </w:pPr>
      <w:r>
        <w:t>2.  Goals and Non-Goals</w:t>
      </w:r>
    </w:p>
    <w:tbl>
      <w:tblPr>
        <w:tblStyle w:val="Table3"/>
        <w:tblW w:w="10224.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5112"/>
        <w:gridCol w:w="5112"/>
        <w:tblGridChange w:id="0">
          <w:tblGrid>
            <w:gridCol w:w="5112"/>
            <w:gridCol w:w="5112"/>
          </w:tblGrid>
        </w:tblGridChange>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r>
              <w:t>Goals</w:t>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r>
              <w:t>Non-goals</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r>
              <w:t>Understandable four-screen product flow</w:t>
            </w:r>
          </w:p>
        </w:tc>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r>
              <w:t>A broad social network or content publishing platform</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r>
              <w:t>Reliable local-first ownership workflows</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r>
              <w:t>Claiming cross-device sync before it exists</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r>
              <w:t>Typed API boundary with guarded admin routes</w:t>
            </w:r>
          </w:p>
        </w:tc>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r>
              <w:t>Using JSON persistence as a public-scale database</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r>
              <w:t>Repeatable release checks and deployment ownership</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r>
              <w:t>Replacing every legacy Kotlin path in this change</w:t>
            </w:r>
          </w:p>
        </w:tc>
      </w:tr>
    </w:tbl>
    <w:p w14:paraId="00000035">
      <w:pPr>
        <w:pStyle w:val="Heading1"/>
        <w:spacing w:before="0" w:line="216" w:lineRule="auto"/>
        <w:rPr>
          <w:rFonts w:ascii="Helvetica Neue" w:cs="Helvetica Neue" w:eastAsia="Helvetica Neue" w:hAnsi="Helvetica Neue"/>
          <w:color w:val="000000"/>
        </w:rPr>
      </w:pPr>
      <w:r>
        <w:rPr>
          <w:rtl w:val="0"/>
        </w:rPr>
      </w:r>
    </w:p>
    <w:p w14:paraId="00000036">
      <w:pPr>
        <w:pStyle w:val="Heading1"/>
        <w:rPr>
          <w:rFonts w:ascii="Helvetica Neue" w:cs="Helvetica Neue" w:eastAsia="Helvetica Neue" w:hAnsi="Helvetica Neue"/>
        </w:rPr>
      </w:pPr>
      <w:r>
        <w:t>3.  Background and Problem Statement</w:t>
      </w:r>
    </w:p>
    <w:p w14:paraId="00000037">
      <w:pPr>
        <w:spacing w:after="110" w:line="300" w:lineRule="auto"/>
        <w:jc w:val="both"/>
        <w:rPr>
          <w:rFonts w:ascii="Helvetica Neue" w:cs="Helvetica Neue" w:eastAsia="Helvetica Neue" w:hAnsi="Helvetica Neue"/>
        </w:rPr>
      </w:pPr>
      <w:r>
        <w:t>The earlier product exposed multiple useful features in one long page and mixed local data with future hosted capabilities. This made navigation, persistence expectations, and the operational deployment path harder to understand.</w:t>
      </w:r>
    </w:p>
    <w:p w14:paraId="00000038">
      <w:pPr>
        <w:spacing w:after="110" w:line="300" w:lineRule="auto"/>
        <w:jc w:val="both"/>
        <w:rPr>
          <w:rFonts w:ascii="Helvetica Neue" w:cs="Helvetica Neue" w:eastAsia="Helvetica Neue" w:hAnsi="Helvetica Neue"/>
          <w:color w:val="000000"/>
        </w:rPr>
      </w:pPr>
      <w:r>
        <w:t>The system boundary is explicit: the browser owns the current interactive experience and local state; the API owns validated hosted capabilities. UI availability states must reflect whether the API is reachable and must never imply synchronization that has not occurred.</w:t>
      </w:r>
    </w:p>
    <w:p w14:paraId="00000039">
      <w:pPr>
        <w:pStyle w:val="Heading1"/>
        <w:rPr>
          <w:rFonts w:ascii="Helvetica Neue" w:cs="Helvetica Neue" w:eastAsia="Helvetica Neue" w:hAnsi="Helvetica Neue"/>
        </w:rPr>
      </w:pPr>
      <w:r>
        <w:t>4.  Proposed Architecture</w:t>
      </w:r>
    </w:p>
    <w:p w14:paraId="0000003A">
      <w:pPr>
        <w:spacing w:after="0" w:line="144" w:lineRule="auto"/>
        <w:rPr>
          <w:rFonts w:ascii="Helvetica Neue" w:cs="Helvetica Neue" w:eastAsia="Helvetica Neue" w:hAnsi="Helvetica Neue"/>
        </w:rPr>
      </w:pPr>
      <w:r>
        <w:rPr>
          <w:rtl w:val="0"/>
        </w:rPr>
      </w:r>
    </w:p>
    <w:p w14:paraId="0000003B">
      <w:pPr>
        <w:rPr>
          <w:rFonts w:ascii="Helvetica Neue" w:cs="Helvetica Neue" w:eastAsia="Helvetica Neue" w:hAnsi="Helvetica Neue"/>
        </w:rPr>
      </w:pPr>
      <w:r>
        <w:rPr>
          <w:rFonts w:ascii="Helvetica Neue" w:cs="Helvetica Neue" w:eastAsia="Helvetica Neue" w:hAnsi="Helvetica Neue"/>
        </w:rPr>
        <w:drawing>
          <wp:inline distB="0" distT="0" distL="0" distR="0">
            <wp:extent cx="6126480" cy="3139821"/>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6126480" cy="3139821"/>
                    </a:xfrm>
                    <a:prstGeom prst="rect"/>
                    <a:ln/>
                  </pic:spPr>
                </pic:pic>
              </a:graphicData>
            </a:graphic>
          </wp:inline>
        </w:drawing>
      </w:r>
      <w:r>
        <w:rPr>
          <w:rtl w:val="0"/>
        </w:rPr>
      </w:r>
    </w:p>
    <w:p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0" w:lineRule="auto"/>
        <w:ind w:left="0" w:right="0" w:firstLine="0"/>
        <w:jc w:val="left"/>
        <w:rPr>
          <w:rFonts w:ascii="Helvetica Neue" w:cs="Helvetica Neue" w:eastAsia="Helvetica Neue" w:hAnsi="Helvetica Neue"/>
          <w:color w:val="082a4a"/>
        </w:rPr>
      </w:pPr>
      <w:r>
        <w:t>Figure 1. Autoflex product architecture and deployment boundary.</w:t>
      </w:r>
    </w:p>
    <w:p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0" w:lineRule="auto"/>
        <w:ind w:left="0" w:right="0" w:firstLine="0"/>
        <w:jc w:val="left"/>
        <w:rPr>
          <w:rFonts w:ascii="Helvetica Neue" w:cs="Helvetica Neue" w:eastAsia="Helvetica Neue" w:hAnsi="Helvetica Neue"/>
          <w:color w:val="082a4a"/>
        </w:rPr>
      </w:pPr>
      <w:r>
        <w:rPr>
          <w:rtl w:val="0"/>
        </w:rPr>
      </w:r>
    </w:p>
    <w:p w14:paraId="0000003E">
      <w:pPr>
        <w:pStyle w:val="Heading3"/>
        <w:spacing w:after="90" w:line="280" w:lineRule="auto"/>
        <w:rPr/>
      </w:pPr>
      <w:r>
        <w:t>Core components</w:t>
      </w:r>
    </w:p>
    <w:p w14:paraId="0000003F">
      <w:pPr>
        <w:spacing w:after="0" w:before="20" w:line="240" w:lineRule="auto"/>
        <w:rPr>
          <w:rFonts w:ascii="Helvetica Neue" w:cs="Helvetica Neue" w:eastAsia="Helvetica Neue" w:hAnsi="Helvetica Neue"/>
          <w:sz w:val="16"/>
          <w:szCs w:val="16"/>
        </w:rPr>
      </w:pPr>
      <w:r>
        <w:rPr>
          <w:rtl w:val="0"/>
        </w:rPr>
      </w:r>
    </w:p>
    <w:tbl>
      <w:tblPr>
        <w:tblStyle w:val="Table4"/>
        <w:tblW w:w="1044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2268"/>
        <w:gridCol w:w="3164"/>
        <w:gridCol w:w="2374"/>
        <w:gridCol w:w="2634"/>
        <w:tblGridChange w:id="0">
          <w:tblGrid>
            <w:gridCol w:w="2268"/>
            <w:gridCol w:w="3164"/>
            <w:gridCol w:w="2374"/>
            <w:gridCol w:w="2634"/>
          </w:tblGrid>
        </w:tblGridChange>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r>
              <w:t>Component</w:t>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r>
              <w:t>Responsibility</w:t>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r>
              <w:t>Primary storage</w:t>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r>
              <w:t>Failure behavior</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r>
              <w:t>React client</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r>
              <w:t>Screens, forms, accessibility, derived decisions</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r>
              <w:t>Browser memory</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r>
              <w:t>Shows local fallback state</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r>
              <w:t>Domain helpers</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r>
              <w:t>Insights, comparisons, reminders, validation</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r>
              <w:t>Typed records</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r>
              <w:t>Rejects invalid or incomplete input</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r>
              <w:t>Local persistence</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r>
              <w:t>Retain user-owned state across sessions</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r>
              <w:t>localStorage</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r>
              <w:t>Falls back to seeded defaults</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r>
              <w:t>Fastify API</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r>
              <w:t>Health, profile, feedback, moderation boundary</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r>
              <w:t>Memory or JSON bridge</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r>
              <w:t>Normalized errors; admin fails closed</w:t>
            </w:r>
          </w:p>
        </w:tc>
      </w:tr>
      <w:tr>
        <w:trPr>
          <w:cantSplit w:val="1"/>
          <w:trHeight w:val="58" w:hRule="atLeast"/>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r>
              <w:t>Deployment</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r>
              <w:t>Serve client and configured API runtime</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r>
              <w:t>Vercel plus API host</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r>
              <w:t>Status checks block promotion</w:t>
            </w:r>
          </w:p>
        </w:tc>
      </w:tr>
    </w:tbl>
    <w:p w14:paraId="00000058">
      <w:pPr>
        <w:pStyle w:val="Heading1"/>
        <w:spacing w:before="0" w:line="120" w:lineRule="auto"/>
        <w:rPr>
          <w:rFonts w:ascii="Helvetica Neue" w:cs="Helvetica Neue" w:eastAsia="Helvetica Neue" w:hAnsi="Helvetica Neue"/>
          <w:color w:val="000000"/>
        </w:rPr>
      </w:pPr>
      <w:r>
        <w:rPr>
          <w:rtl w:val="0"/>
        </w:rPr>
      </w:r>
    </w:p>
    <w:p w14:paraId="00000059">
      <w:pPr>
        <w:pStyle w:val="Heading1"/>
        <w:spacing w:before="0" w:line="120" w:lineRule="auto"/>
        <w:rPr>
          <w:rFonts w:ascii="Helvetica Neue" w:cs="Helvetica Neue" w:eastAsia="Helvetica Neue" w:hAnsi="Helvetica Neue"/>
          <w:color w:val="000000"/>
        </w:rPr>
      </w:pPr>
      <w:r>
        <w:rPr>
          <w:rtl w:val="0"/>
        </w:rPr>
      </w:r>
    </w:p>
    <w:p w14:paraId="0000005A">
      <w:pPr>
        <w:pStyle w:val="Heading1"/>
        <w:rPr>
          <w:rFonts w:ascii="Helvetica Neue" w:cs="Helvetica Neue" w:eastAsia="Helvetica Neue" w:hAnsi="Helvetica Neue"/>
        </w:rPr>
      </w:pPr>
      <w:r>
        <w:t>5.  Request Lifecycle</w:t>
      </w:r>
    </w:p>
    <w:p w14:paraId="0000005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t>1. The app boots from the Vite bundle and hydrates profile, garage, shortlist, notes, and preference state from browser storage.</w:t>
      </w:r>
    </w:p>
    <w:p w14:paraId="0000005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t>2. Local data is parsed through typed domain models; invalid values fall back to seeded defaults rather than breaking the app shell.</w:t>
      </w:r>
    </w:p>
    <w:p w14:paraId="0000005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t>3. The active workspace derives readouts and next actions from current vehicle, evidence, and reminder state.</w:t>
      </w:r>
    </w:p>
    <w:p w14:paraId="0000005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t>4. A user action updates React state and persists the corresponding local record before the next screen is rendered.</w:t>
      </w:r>
    </w:p>
    <w:p w14:paraId="0000005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t>5. Hosted requests are attempted only for capabilities with an explicit API contract and visible availability state.</w:t>
      </w:r>
    </w:p>
    <w:p w14:paraId="0000006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t>6. The Fastify boundary validates roles and administrative credentials, then normalizes errors without leaking internals.</w:t>
      </w:r>
    </w:p>
    <w:p w14:paraId="0000006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t>7. Release telemetry currently consists of build checks, API health, deployment status, and browser smoke evidence; production observability remains an open launch item.</w:t>
      </w:r>
    </w:p>
    <w:p w14:paraId="00000062">
      <w:pPr>
        <w:pStyle w:val="Heading1"/>
        <w:spacing w:before="0" w:line="168" w:lineRule="auto"/>
        <w:rPr>
          <w:rFonts w:ascii="Helvetica Neue" w:cs="Helvetica Neue" w:eastAsia="Helvetica Neue" w:hAnsi="Helvetica Neue"/>
          <w:color w:val="000000"/>
        </w:rPr>
      </w:pPr>
      <w:r>
        <w:rPr>
          <w:rtl w:val="0"/>
        </w:rPr>
      </w:r>
    </w:p>
    <w:p w14:paraId="00000063">
      <w:pPr>
        <w:pStyle w:val="Heading1"/>
        <w:rPr>
          <w:rFonts w:ascii="Helvetica Neue" w:cs="Helvetica Neue" w:eastAsia="Helvetica Neue" w:hAnsi="Helvetica Neue"/>
        </w:rPr>
      </w:pPr>
      <w:r>
        <w:t>6.  API and Data Contracts</w:t>
      </w:r>
    </w:p>
    <w:p w14:paraId="00000064">
      <w:pPr>
        <w:pStyle w:val="Heading3"/>
        <w:spacing w:after="90" w:line="280" w:lineRule="auto"/>
        <w:rPr/>
      </w:pPr>
      <w:r>
        <w:t>Primary data contract</w:t>
      </w:r>
    </w:p>
    <w:p w14:paraId="00000065">
      <w:pPr>
        <w:spacing w:after="0" w:line="192" w:lineRule="auto"/>
        <w:rPr>
          <w:rFonts w:ascii="Helvetica Neue" w:cs="Helvetica Neue" w:eastAsia="Helvetica Neue" w:hAnsi="Helvetica Neue"/>
          <w:sz w:val="16"/>
          <w:szCs w:val="16"/>
        </w:rPr>
      </w:pPr>
      <w:r>
        <w:rPr>
          <w:rtl w:val="0"/>
        </w:rPr>
      </w:r>
    </w:p>
    <w:tbl>
      <w:tblPr>
        <w:tblStyle w:val="Table5"/>
        <w:tblW w:w="1044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2344"/>
        <w:gridCol w:w="1921"/>
        <w:gridCol w:w="1873"/>
        <w:gridCol w:w="4302"/>
        <w:tblGridChange w:id="0">
          <w:tblGrid>
            <w:gridCol w:w="2344"/>
            <w:gridCol w:w="1921"/>
            <w:gridCol w:w="1873"/>
            <w:gridCol w:w="4302"/>
          </w:tblGrid>
        </w:tblGridChange>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r>
              <w:t>Field</w:t>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r>
              <w:t>Type</w:t>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r>
              <w:t>Required</w:t>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r>
              <w:t>Description</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r>
              <w:t>id</w:t>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Pr>
          <w:p>
            <w:r>
              <w:t>string</w:t>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Pr>
          <w:p>
            <w:r>
              <w:t>Yes</w:t>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Pr>
          <w:p>
            <w:r>
              <w:t>Stable client or server entity identifier</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r>
              <w:t>vehicleId</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r>
              <w:t>string</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r>
              <w:t>By record</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r>
              <w:t>Associates reminders and timeline entries to a vehicle</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r>
              <w:t>profile.role</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r>
              <w:t>enum</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r>
              <w:t>Yes</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r>
              <w:t>Validated owner, buyer, mechanic, or dealer role</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r>
              <w:t>status</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r>
              <w:t>enum</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r>
              <w:t>By entity</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r>
              <w:t>Tracks shortlist or operational state</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r>
              <w:t>createdAt</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r>
              <w:t>ISO timestamp</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r>
              <w:t>For hosted writes</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r>
              <w:t>Supports ordering and future audit</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r>
              <w:t>payload</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r>
              <w:t>typed object</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r>
              <w:t>Yes</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r>
              <w:t>Validated domain-specific record</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r>
              <w:t>schemaVersion</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r>
              <w:t>integer</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r>
              <w:t>For sync</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r>
              <w:t>Enables migration and compatibility checks</w:t>
            </w:r>
          </w:p>
        </w:tc>
      </w:tr>
    </w:tbl>
    <w:p w14:paraId="00000086">
      <w:pPr>
        <w:spacing w:after="0" w:line="192" w:lineRule="auto"/>
        <w:rPr>
          <w:rFonts w:ascii="Helvetica Neue" w:cs="Helvetica Neue" w:eastAsia="Helvetica Neue" w:hAnsi="Helvetica Neue"/>
          <w:sz w:val="16"/>
          <w:szCs w:val="16"/>
        </w:rPr>
      </w:pPr>
      <w:r>
        <w:rPr>
          <w:rtl w:val="0"/>
        </w:rPr>
      </w:r>
    </w:p>
    <w:p w14:paraId="00000087">
      <w:pPr>
        <w:pStyle w:val="Heading3"/>
        <w:spacing w:after="90" w:line="280" w:lineRule="auto"/>
        <w:rPr/>
      </w:pPr>
      <w:r>
        <w:t>Contract guarantees</w:t>
      </w:r>
    </w:p>
    <w:p w14:paraId="00000088">
      <w:pPr>
        <w:spacing w:after="0" w:line="192" w:lineRule="auto"/>
        <w:rPr>
          <w:rFonts w:ascii="Helvetica Neue" w:cs="Helvetica Neue" w:eastAsia="Helvetica Neue" w:hAnsi="Helvetica Neue"/>
          <w:sz w:val="16"/>
          <w:szCs w:val="16"/>
        </w:rPr>
      </w:pPr>
      <w:r>
        <w:rPr>
          <w:rtl w:val="0"/>
        </w:rPr>
      </w:r>
    </w:p>
    <w:p w14:paraId="000000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5" w:before="0" w:line="290" w:lineRule="auto"/>
        <w:ind w:left="720" w:right="0" w:hanging="360"/>
        <w:jc w:val="both"/>
        <w:rPr>
          <w:rFonts w:ascii="Helvetica Neue" w:cs="Helvetica Neue" w:eastAsia="Helvetica Neue" w:hAnsi="Helvetica Neue"/>
        </w:rPr>
      </w:pPr>
      <w:r>
        <w:t>Client-local records remain authoritative until a documented synchronization protocol is introduced.</w:t>
      </w:r>
    </w:p>
    <w:p w14:paraId="000000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5" w:before="0" w:line="290" w:lineRule="auto"/>
        <w:ind w:left="720" w:right="0" w:hanging="360"/>
        <w:jc w:val="both"/>
        <w:rPr>
          <w:rFonts w:ascii="Helvetica Neue" w:cs="Helvetica Neue" w:eastAsia="Helvetica Neue" w:hAnsi="Helvetica Neue"/>
        </w:rPr>
      </w:pPr>
      <w:r>
        <w:t>Identifiers are stable per entity; writes replace or append the matching typed record.</w:t>
      </w:r>
    </w:p>
    <w:p w14:paraId="000000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5" w:before="0" w:line="290" w:lineRule="auto"/>
        <w:ind w:left="720" w:right="0" w:hanging="360"/>
        <w:jc w:val="both"/>
        <w:rPr>
          <w:rFonts w:ascii="Helvetica Neue" w:cs="Helvetica Neue" w:eastAsia="Helvetica Neue" w:hAnsi="Helvetica Neue"/>
        </w:rPr>
      </w:pPr>
      <w:r>
        <w:t>Profile roles are validated at the API boundary and moderation routes require an administrative token.</w:t>
      </w:r>
    </w:p>
    <w:p w14:paraId="000000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5" w:before="0" w:line="290" w:lineRule="auto"/>
        <w:ind w:left="720" w:right="0" w:hanging="360"/>
        <w:jc w:val="both"/>
        <w:rPr>
          <w:rFonts w:ascii="Helvetica Neue" w:cs="Helvetica Neue" w:eastAsia="Helvetica Neue" w:hAnsi="Helvetica Neue"/>
        </w:rPr>
      </w:pPr>
      <w:r>
        <w:t>The staging JSON file is not a public-scale source of truth and must not be represented as one.</w:t>
      </w:r>
    </w:p>
    <w:p w14:paraId="0000008D">
      <w:pPr>
        <w:spacing w:after="110" w:line="300" w:lineRule="auto"/>
        <w:rPr>
          <w:rFonts w:ascii="Helvetica Neue" w:cs="Helvetica Neue" w:eastAsia="Helvetica Neue" w:hAnsi="Helvetica Neue"/>
        </w:rPr>
      </w:pPr>
      <w:r>
        <w:t>The current interface is implemented in server-ts/app.ts and covered by server-ts/app.test.ts.</w:t>
      </w:r>
    </w:p>
    <w:p w14:paraId="0000008E">
      <w:pPr>
        <w:spacing w:after="110" w:line="300" w:lineRule="auto"/>
        <w:rPr>
          <w:rFonts w:ascii="Helvetica Neue" w:cs="Helvetica Neue" w:eastAsia="Helvetica Neue" w:hAnsi="Helvetica Neue"/>
        </w:rPr>
      </w:pPr>
      <w:r>
        <w:t>Any hosted client integration must version its payloads and surface offline, local-only, syncing, and failed states.</w:t>
      </w:r>
    </w:p>
    <w:p w14:paraId="0000008F">
      <w:pPr>
        <w:pStyle w:val="Heading1"/>
        <w:spacing w:before="0" w:line="120" w:lineRule="auto"/>
        <w:rPr>
          <w:rFonts w:ascii="Helvetica Neue" w:cs="Helvetica Neue" w:eastAsia="Helvetica Neue" w:hAnsi="Helvetica Neue"/>
          <w:color w:val="000000"/>
        </w:rPr>
      </w:pPr>
      <w:r>
        <w:rPr>
          <w:rtl w:val="0"/>
        </w:rPr>
      </w:r>
    </w:p>
    <w:p w14:paraId="00000090">
      <w:pPr>
        <w:pStyle w:val="Heading1"/>
        <w:rPr>
          <w:rFonts w:ascii="Helvetica Neue" w:cs="Helvetica Neue" w:eastAsia="Helvetica Neue" w:hAnsi="Helvetica Neue"/>
        </w:rPr>
      </w:pPr>
      <w:r>
        <w:t>7. Consistency, Idempotency, and Replay</w:t>
      </w:r>
    </w:p>
    <w:p w14:paraId="00000091">
      <w:pPr>
        <w:spacing w:after="0" w:line="96" w:lineRule="auto"/>
        <w:rPr>
          <w:rFonts w:ascii="Helvetica Neue" w:cs="Helvetica Neue" w:eastAsia="Helvetica Neue" w:hAnsi="Helvetica Neue"/>
        </w:rPr>
      </w:pPr>
      <w:r>
        <w:rPr>
          <w:rtl w:val="0"/>
        </w:rPr>
      </w:r>
    </w:p>
    <w:p w14:paraId="00000092">
      <w:pPr>
        <w:spacing w:after="110" w:line="300" w:lineRule="auto"/>
        <w:jc w:val="both"/>
        <w:rPr>
          <w:rFonts w:ascii="Helvetica Neue" w:cs="Helvetica Neue" w:eastAsia="Helvetica Neue" w:hAnsi="Helvetica Neue"/>
        </w:rPr>
      </w:pPr>
      <w:r>
        <w:t>Local actions are synchronous from the user’s perspective and persist before confirmation text is shown. Future hosted mutations should use client-generated identifiers and idempotency keys so retries do not duplicate service records, notes, or feedback.</w:t>
      </w:r>
    </w:p>
    <w:tbl>
      <w:tblPr>
        <w:tblStyle w:val="Table6"/>
        <w:tblW w:w="1044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3337"/>
        <w:gridCol w:w="3722"/>
        <w:gridCol w:w="3381"/>
        <w:tblGridChange w:id="0">
          <w:tblGrid>
            <w:gridCol w:w="3337"/>
            <w:gridCol w:w="3722"/>
            <w:gridCol w:w="3381"/>
          </w:tblGrid>
        </w:tblGridChange>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r>
              <w:t>Scenario</w:t>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r>
              <w:t>Expected behavior</w:t>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r>
              <w:t>Reasoning</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r>
              <w:t>Repeated local action</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r>
              <w:t>Stable entity id prevents duplicate replacement</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r>
              <w:t>Keeps the user’s ledger predictable</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r>
              <w:t>Persistence write fails</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r>
              <w:t>Keep current screen usable and surface failure</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r>
              <w:t>Avoids false confirmation</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r>
              <w:t>Hosted API unavailable</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r>
              <w:t>Continue local-only and show availability state</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r>
              <w:t>Preserves core ownership workflows</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r>
              <w:t>Configuration changes</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r>
              <w:t>Current request uses the loaded configuration</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r>
              <w:t>Prevents mid-action behavior changes</w:t>
            </w:r>
          </w:p>
        </w:tc>
      </w:tr>
    </w:tbl>
    <w:p w14:paraId="000000A2">
      <w:pPr>
        <w:pStyle w:val="Heading1"/>
        <w:spacing w:before="0" w:line="269" w:lineRule="auto"/>
        <w:rPr>
          <w:rFonts w:ascii="Helvetica Neue" w:cs="Helvetica Neue" w:eastAsia="Helvetica Neue" w:hAnsi="Helvetica Neue"/>
          <w:color w:val="000000"/>
        </w:rPr>
      </w:pPr>
      <w:r>
        <w:rPr>
          <w:rtl w:val="0"/>
        </w:rPr>
      </w:r>
    </w:p>
    <w:p w14:paraId="000000A3">
      <w:pPr>
        <w:pStyle w:val="Heading1"/>
        <w:rPr>
          <w:rFonts w:ascii="Helvetica Neue" w:cs="Helvetica Neue" w:eastAsia="Helvetica Neue" w:hAnsi="Helvetica Neue"/>
        </w:rPr>
      </w:pPr>
      <w:r>
        <w:t>8. Security and Privacy Considerations</w:t>
      </w:r>
    </w:p>
    <w:p w14:paraId="000000A4">
      <w:pPr>
        <w:spacing w:after="0" w:line="96" w:lineRule="auto"/>
        <w:rPr>
          <w:rFonts w:ascii="Helvetica Neue" w:cs="Helvetica Neue" w:eastAsia="Helvetica Neue" w:hAnsi="Helvetica Neue"/>
        </w:rPr>
      </w:pPr>
      <w:r>
        <w:rPr>
          <w:rtl w:val="0"/>
        </w:rPr>
      </w:r>
    </w:p>
    <w:p w14:paraId="000000A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t>Administrative moderation and feedback-list routes require a non-default server-side token. Ordinary owner profiles must not reveal moderation controls.</w:t>
      </w:r>
    </w:p>
    <w:p w14:paraId="000000A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t>Garage, shortlist, profile, and saved-note data remain on the device unless a user explicitly enables a future hosted sync flow.</w:t>
      </w:r>
    </w:p>
    <w:p w14:paraId="000000A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t>Secrets belong in deployment environment variables and must never be committed, embedded in the Vite bundle, or written to product documentation.</w:t>
      </w:r>
    </w:p>
    <w:p w14:paraId="000000A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t>Hosted failures default to local-only operation for consumer workflows and fail closed for administrative workflows.</w:t>
      </w:r>
    </w:p>
    <w:p w14:paraId="000000A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t>Before broad launch, define retention, deletion, export, account recovery, and audit policies for the selected production database.</w:t>
      </w:r>
    </w:p>
    <w:p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192" w:lineRule="auto"/>
        <w:ind w:left="0" w:right="0" w:firstLine="0"/>
        <w:jc w:val="both"/>
        <w:rPr>
          <w:rFonts w:ascii="Helvetica Neue" w:cs="Helvetica Neue" w:eastAsia="Helvetica Neue" w:hAnsi="Helvetica Neue"/>
          <w:i w:val="0"/>
          <w:iCs w:val="0"/>
          <w:smallCaps w:val="0"/>
          <w:strike w:val="0"/>
          <w:color w:val="1e252e"/>
          <w:sz w:val="20"/>
          <w:szCs w:val="20"/>
          <w:u w:val="none"/>
          <w:shd w:fill="auto" w:val="clear"/>
          <w:vertAlign w:val="baseline"/>
        </w:rPr>
      </w:pPr>
      <w:r>
        <w:rPr>
          <w:rtl w:val="0"/>
        </w:rPr>
      </w:r>
    </w:p>
    <w:p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192" w:lineRule="auto"/>
        <w:ind w:left="0" w:right="0" w:firstLine="0"/>
        <w:jc w:val="both"/>
        <w:rPr>
          <w:rFonts w:ascii="Helvetica Neue" w:cs="Helvetica Neue" w:eastAsia="Helvetica Neue" w:hAnsi="Helvetica Neue"/>
          <w:i w:val="0"/>
          <w:iCs w:val="0"/>
          <w:smallCaps w:val="0"/>
          <w:strike w:val="0"/>
          <w:color w:val="1e252e"/>
          <w:sz w:val="20"/>
          <w:szCs w:val="20"/>
          <w:u w:val="none"/>
          <w:shd w:fill="auto" w:val="clear"/>
          <w:vertAlign w:val="baseline"/>
        </w:rPr>
      </w:pPr>
      <w:r>
        <w:rPr>
          <w:rtl w:val="0"/>
        </w:rPr>
      </w:r>
    </w:p>
    <w:p w14:paraId="000000AC">
      <w:pPr>
        <w:pStyle w:val="Heading1"/>
        <w:rPr>
          <w:rFonts w:ascii="Helvetica Neue" w:cs="Helvetica Neue" w:eastAsia="Helvetica Neue" w:hAnsi="Helvetica Neue"/>
        </w:rPr>
      </w:pPr>
      <w:r>
        <w:t>9.  Operational Readiness</w:t>
      </w:r>
    </w:p>
    <w:tbl>
      <w:tblPr>
        <w:tblStyle w:val="Table7"/>
        <w:tblW w:w="10440.0" w:type="dxa"/>
        <w:jc w:val="center"/>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400"/>
      </w:tblPr>
      <w:tblGrid>
        <w:gridCol w:w="2268"/>
        <w:gridCol w:w="3521"/>
        <w:gridCol w:w="2306"/>
        <w:gridCol w:w="2345"/>
        <w:tblGridChange w:id="0">
          <w:tblGrid>
            <w:gridCol w:w="2268"/>
            <w:gridCol w:w="3521"/>
            <w:gridCol w:w="2306"/>
            <w:gridCol w:w="2345"/>
          </w:tblGrid>
        </w:tblGridChange>
      </w:tblGrid>
      <w:tr>
        <w:trPr>
          <w:cantSplit w:val="1"/>
          <w:tblHeader w:val="1"/>
        </w:trPr>
        <w:tc>
          <w:tcPr>
            <w:tcBorders>
              <w:top w:color="ffffff" w:space="0" w:sz="8" w:val="single"/>
              <w:left w:color="ffffff" w:space="0" w:sz="8" w:val="single"/>
              <w:bottom w:color="ffffff" w:space="0" w:sz="8" w:val="single"/>
              <w:right w:color="ffffff" w:space="0" w:sz="8" w:val="single"/>
            </w:tcBorders>
            <w:shd w:fill="082a4a" w:val="clear"/>
            <w:tcMar>
              <w:top w:w="110.0" w:type="dxa"/>
              <w:left w:w="120.0" w:type="dxa"/>
              <w:bottom w:w="110.0" w:type="dxa"/>
              <w:right w:w="120.0" w:type="dxa"/>
            </w:tcMar>
            <w:vAlign w:val="center"/>
          </w:tcPr>
          <w:p>
            <w:r>
              <w:t>Signal</w:t>
            </w:r>
          </w:p>
        </w:tc>
        <w:tc>
          <w:tcPr>
            <w:tcBorders>
              <w:top w:color="ffffff" w:space="0" w:sz="8" w:val="single"/>
              <w:left w:color="ffffff" w:space="0" w:sz="8" w:val="single"/>
              <w:bottom w:color="ffffff" w:space="0" w:sz="8" w:val="single"/>
              <w:right w:color="ffffff" w:space="0" w:sz="8" w:val="single"/>
            </w:tcBorders>
            <w:shd w:fill="082a4a" w:val="clear"/>
            <w:tcMar>
              <w:top w:w="110.0" w:type="dxa"/>
              <w:left w:w="120.0" w:type="dxa"/>
              <w:bottom w:w="110.0" w:type="dxa"/>
              <w:right w:w="120.0" w:type="dxa"/>
            </w:tcMar>
            <w:vAlign w:val="center"/>
          </w:tcPr>
          <w:p>
            <w:r>
              <w:t>SLO or alert</w:t>
            </w:r>
          </w:p>
        </w:tc>
        <w:tc>
          <w:tcPr>
            <w:tcBorders>
              <w:top w:color="ffffff" w:space="0" w:sz="8" w:val="single"/>
              <w:left w:color="ffffff" w:space="0" w:sz="8" w:val="single"/>
              <w:bottom w:color="ffffff" w:space="0" w:sz="8" w:val="single"/>
              <w:right w:color="ffffff" w:space="0" w:sz="8" w:val="single"/>
            </w:tcBorders>
            <w:shd w:fill="082a4a" w:val="clear"/>
            <w:tcMar>
              <w:top w:w="110.0" w:type="dxa"/>
              <w:left w:w="120.0" w:type="dxa"/>
              <w:bottom w:w="110.0" w:type="dxa"/>
              <w:right w:w="120.0" w:type="dxa"/>
            </w:tcMar>
            <w:vAlign w:val="center"/>
          </w:tcPr>
          <w:p>
            <w:r>
              <w:t>Owner</w:t>
            </w:r>
          </w:p>
        </w:tc>
        <w:tc>
          <w:tcPr>
            <w:tcBorders>
              <w:top w:color="ffffff" w:space="0" w:sz="8" w:val="single"/>
              <w:left w:color="ffffff" w:space="0" w:sz="8" w:val="single"/>
              <w:bottom w:color="ffffff" w:space="0" w:sz="8" w:val="single"/>
              <w:right w:color="ffffff" w:space="0" w:sz="8" w:val="single"/>
            </w:tcBorders>
            <w:shd w:fill="082a4a" w:val="clear"/>
            <w:tcMar>
              <w:top w:w="110.0" w:type="dxa"/>
              <w:left w:w="120.0" w:type="dxa"/>
              <w:bottom w:w="110.0" w:type="dxa"/>
              <w:right w:w="120.0" w:type="dxa"/>
            </w:tcMar>
            <w:vAlign w:val="center"/>
          </w:tcPr>
          <w:p>
            <w:r>
              <w:t>Launch gate</w:t>
            </w:r>
          </w:p>
        </w:tc>
      </w:tr>
      <w:tr>
        <w:trPr>
          <w:cantSplit w:val="1"/>
          <w:tblHeader w:val="0"/>
        </w:trPr>
        <w:tc>
          <w:tcPr>
            <w:tcBorders>
              <w:top w:color="ffffff" w:space="0" w:sz="8" w:val="single"/>
              <w:left w:color="ffffff" w:space="0" w:sz="8" w:val="single"/>
              <w:bottom w:color="ffffff" w:space="0" w:sz="8" w:val="single"/>
              <w:right w:color="ffffff" w:space="0" w:sz="8" w:val="single"/>
            </w:tcBorders>
            <w:shd w:fill="e6f0f8" w:val="clear"/>
            <w:tcMar>
              <w:top w:w="110.0" w:type="dxa"/>
              <w:left w:w="120.0" w:type="dxa"/>
              <w:bottom w:w="110.0" w:type="dxa"/>
              <w:right w:w="120.0" w:type="dxa"/>
            </w:tcMar>
            <w:vAlign w:val="center"/>
          </w:tcPr>
          <w:p>
            <w:r>
              <w:t>Release check</w:t>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r>
              <w:t>All tests and production build pass</w:t>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r>
              <w:t>Engineering</w:t>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r>
              <w:t>Required</w:t>
            </w:r>
          </w:p>
        </w:tc>
      </w:tr>
      <w:tr>
        <w:trPr>
          <w:cantSplit w:val="1"/>
          <w:tblHeader w:val="0"/>
        </w:trPr>
        <w:tc>
          <w:tcPr>
            <w:tcBorders>
              <w:top w:color="ffffff" w:space="0" w:sz="8" w:val="single"/>
              <w:left w:color="ffffff" w:space="0" w:sz="8" w:val="single"/>
              <w:bottom w:color="ffffff" w:space="0" w:sz="8" w:val="single"/>
              <w:right w:color="ffffff" w:space="0" w:sz="8" w:val="single"/>
            </w:tcBorders>
            <w:shd w:fill="e6f0f8" w:val="clear"/>
            <w:tcMar>
              <w:top w:w="110.0" w:type="dxa"/>
              <w:left w:w="120.0" w:type="dxa"/>
              <w:bottom w:w="110.0" w:type="dxa"/>
              <w:right w:w="120.0" w:type="dxa"/>
            </w:tcMar>
            <w:vAlign w:val="center"/>
          </w:tcPr>
          <w:p>
            <w:r>
              <w:t>API health</w:t>
            </w:r>
          </w:p>
        </w:tc>
        <w:tc>
          <w:tcPr>
            <w:tcBorders>
              <w:top w:color="ffffff" w:space="0" w:sz="8" w:val="single"/>
              <w:left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r>
              <w:t>Health endpoint succeeds in staging</w:t>
            </w:r>
          </w:p>
        </w:tc>
        <w:tc>
          <w:tcPr>
            <w:tcBorders>
              <w:top w:color="ffffff" w:space="0" w:sz="8" w:val="single"/>
              <w:left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r>
              <w:t>Backend</w:t>
            </w:r>
          </w:p>
        </w:tc>
        <w:tc>
          <w:tcPr>
            <w:tcBorders>
              <w:top w:color="ffffff" w:space="0" w:sz="8" w:val="single"/>
              <w:left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r>
              <w:t>Required for hosted features</w:t>
            </w:r>
          </w:p>
        </w:tc>
      </w:tr>
      <w:tr>
        <w:trPr>
          <w:cantSplit w:val="1"/>
          <w:tblHeader w:val="0"/>
        </w:trPr>
        <w:tc>
          <w:tcPr>
            <w:tcBorders>
              <w:top w:color="ffffff" w:space="0" w:sz="8" w:val="single"/>
              <w:left w:color="ffffff" w:space="0" w:sz="8" w:val="single"/>
              <w:bottom w:color="ffffff" w:space="0" w:sz="8" w:val="single"/>
              <w:right w:color="ffffff" w:space="0" w:sz="8" w:val="single"/>
            </w:tcBorders>
            <w:shd w:fill="e6f0f8" w:val="clear"/>
            <w:tcMar>
              <w:top w:w="110.0" w:type="dxa"/>
              <w:left w:w="120.0" w:type="dxa"/>
              <w:bottom w:w="110.0" w:type="dxa"/>
              <w:right w:w="120.0" w:type="dxa"/>
            </w:tcMar>
            <w:vAlign w:val="center"/>
          </w:tcPr>
          <w:p>
            <w:r>
              <w:t>Layout integrity</w:t>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r>
              <w:t>No overflow at 390px and 1280px</w:t>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r>
              <w:t>Frontend + QA</w:t>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r>
              <w:t>Required</w:t>
            </w:r>
          </w:p>
        </w:tc>
      </w:tr>
      <w:tr>
        <w:trPr>
          <w:cantSplit w:val="1"/>
          <w:tblHeader w:val="0"/>
        </w:trPr>
        <w:tc>
          <w:tcPr>
            <w:tcBorders>
              <w:top w:color="ffffff" w:space="0" w:sz="8" w:val="single"/>
              <w:left w:color="ffffff" w:space="0" w:sz="8" w:val="single"/>
              <w:bottom w:color="ffffff" w:space="0" w:sz="8" w:val="single"/>
              <w:right w:color="ffffff" w:space="0" w:sz="8" w:val="single"/>
            </w:tcBorders>
            <w:shd w:fill="e6f0f8" w:val="clear"/>
            <w:tcMar>
              <w:top w:w="110.0" w:type="dxa"/>
              <w:left w:w="120.0" w:type="dxa"/>
              <w:bottom w:w="110.0" w:type="dxa"/>
              <w:right w:w="120.0" w:type="dxa"/>
            </w:tcMar>
            <w:vAlign w:val="center"/>
          </w:tcPr>
          <w:p>
            <w:r>
              <w:t>Deployment drift</w:t>
            </w:r>
          </w:p>
        </w:tc>
        <w:tc>
          <w:tcPr>
            <w:tcBorders>
              <w:top w:color="ffffff" w:space="0" w:sz="8" w:val="single"/>
              <w:left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r>
              <w:t>Production branch and latest release agree</w:t>
            </w:r>
          </w:p>
        </w:tc>
        <w:tc>
          <w:tcPr>
            <w:tcBorders>
              <w:top w:color="ffffff" w:space="0" w:sz="8" w:val="single"/>
              <w:left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r>
              <w:t>Product owner</w:t>
            </w:r>
          </w:p>
        </w:tc>
        <w:tc>
          <w:tcPr>
            <w:tcBorders>
              <w:top w:color="ffffff" w:space="0" w:sz="8" w:val="single"/>
              <w:left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r>
              <w:t>Required</w:t>
            </w:r>
          </w:p>
        </w:tc>
      </w:tr>
      <w:tr>
        <w:trPr>
          <w:cantSplit w:val="1"/>
          <w:tblHeader w:val="0"/>
        </w:trPr>
        <w:tc>
          <w:tcPr>
            <w:tcBorders>
              <w:top w:color="ffffff" w:space="0" w:sz="8" w:val="single"/>
              <w:left w:color="ffffff" w:space="0" w:sz="8" w:val="single"/>
              <w:bottom w:color="ffffff" w:space="0" w:sz="8" w:val="single"/>
              <w:right w:color="ffffff" w:space="0" w:sz="8" w:val="single"/>
            </w:tcBorders>
            <w:shd w:fill="e6f0f8" w:val="clear"/>
            <w:tcMar>
              <w:top w:w="110.0" w:type="dxa"/>
              <w:left w:w="120.0" w:type="dxa"/>
              <w:bottom w:w="110.0" w:type="dxa"/>
              <w:right w:w="120.0" w:type="dxa"/>
            </w:tcMar>
            <w:vAlign w:val="center"/>
          </w:tcPr>
          <w:p>
            <w:r>
              <w:t>Restore integrity</w:t>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r>
              <w:t>Documented backup and restore drill</w:t>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r>
              <w:t>Backend + Ops</w:t>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r>
              <w:t>Required before broad launch</w:t>
            </w:r>
          </w:p>
        </w:tc>
      </w:tr>
      <w:tr>
        <w:trPr>
          <w:cantSplit w:val="1"/>
          <w:tblHeader w:val="0"/>
        </w:trPr>
        <w:tc>
          <w:tcPr>
            <w:gridSpan w:val="4"/>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r/>
          </w:p>
        </w:tc>
      </w:tr>
    </w:tbl>
    <w:p w14:paraId="000000C9">
      <w:pPr>
        <w:pStyle w:val="Heading1"/>
        <w:spacing w:before="0" w:lineRule="auto"/>
        <w:rPr>
          <w:rFonts w:ascii="Helvetica Neue" w:cs="Helvetica Neue" w:eastAsia="Helvetica Neue" w:hAnsi="Helvetica Neue"/>
          <w:color w:val="000000"/>
        </w:rPr>
      </w:pPr>
      <w:r>
        <w:rPr>
          <w:rtl w:val="0"/>
        </w:rPr>
      </w:r>
    </w:p>
    <w:p w14:paraId="000000CA">
      <w:pPr>
        <w:pStyle w:val="Heading1"/>
        <w:rPr>
          <w:rFonts w:ascii="Helvetica Neue" w:cs="Helvetica Neue" w:eastAsia="Helvetica Neue" w:hAnsi="Helvetica Neue"/>
        </w:rPr>
      </w:pPr>
      <w:r>
        <w:t>10. Alternatives Considered</w:t>
      </w:r>
    </w:p>
    <w:p w14:paraId="000000CB">
      <w:pPr>
        <w:spacing w:after="0" w:line="14.399999999999999" w:lineRule="auto"/>
        <w:rPr>
          <w:rFonts w:ascii="Helvetica Neue" w:cs="Helvetica Neue" w:eastAsia="Helvetica Neue" w:hAnsi="Helvetica Neue"/>
        </w:rPr>
      </w:pPr>
      <w:r>
        <w:rPr>
          <w:rtl w:val="0"/>
        </w:rPr>
      </w:r>
    </w:p>
    <w:p w14:paraId="000000CC">
      <w:pPr>
        <w:spacing w:after="0" w:line="192" w:lineRule="auto"/>
        <w:rPr>
          <w:rFonts w:ascii="Helvetica Neue" w:cs="Helvetica Neue" w:eastAsia="Helvetica Neue" w:hAnsi="Helvetica Neue"/>
        </w:rPr>
      </w:pPr>
      <w:r>
        <w:rPr>
          <w:rtl w:val="0"/>
        </w:rPr>
      </w:r>
    </w:p>
    <w:tbl>
      <w:tblPr>
        <w:tblStyle w:val="Table8"/>
        <w:tblW w:w="1044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3303"/>
        <w:gridCol w:w="3313"/>
        <w:gridCol w:w="3824"/>
        <w:tblGridChange w:id="0">
          <w:tblGrid>
            <w:gridCol w:w="3303"/>
            <w:gridCol w:w="3313"/>
            <w:gridCol w:w="3824"/>
          </w:tblGrid>
        </w:tblGridChange>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r>
              <w:t>Alternative</w:t>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r>
              <w:t>Why it was considered</w:t>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r>
              <w:t>Why it was not selected</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r>
              <w:t>Single scrolling page</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r>
              <w:t>Simple initial implementation</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r>
              <w:t>Weak task focus and navigation</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r>
              <w:t>Five changing dock actions</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r>
              <w:t>Keeps context actions nearby</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r>
              <w:t>Destination meaning becomes unstable</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r>
              <w:t>Immediate cloud-first rewrite</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r>
              <w:t>Cross-device data from day one</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r>
              <w:t>Identity and durable storage are not approved</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r>
              <w:t>JSON as production database</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r>
              <w:t>Low setup cost</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r>
              <w:t>Insufficient durability and concurrency</w:t>
            </w:r>
          </w:p>
        </w:tc>
      </w:tr>
    </w:tbl>
    <w:p w14:paraId="000000DC">
      <w:pPr>
        <w:pStyle w:val="Heading1"/>
        <w:spacing w:before="0" w:line="269" w:lineRule="auto"/>
        <w:rPr>
          <w:rFonts w:ascii="Helvetica Neue" w:cs="Helvetica Neue" w:eastAsia="Helvetica Neue" w:hAnsi="Helvetica Neue"/>
          <w:color w:val="000000"/>
        </w:rPr>
      </w:pPr>
      <w:r>
        <w:rPr>
          <w:rtl w:val="0"/>
        </w:rPr>
      </w:r>
    </w:p>
    <w:p w14:paraId="000000DD">
      <w:pPr>
        <w:pStyle w:val="Heading1"/>
        <w:rPr>
          <w:rFonts w:ascii="Helvetica Neue" w:cs="Helvetica Neue" w:eastAsia="Helvetica Neue" w:hAnsi="Helvetica Neue"/>
        </w:rPr>
      </w:pPr>
      <w:r>
        <w:t>11. Open Questions</w:t>
      </w:r>
    </w:p>
    <w:p w14:paraId="000000D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t>Which production database and migration path will replace JSON-backed persistence?</w:t>
      </w:r>
    </w:p>
    <w:p w14:paraId="000000D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t>What identity model should connect a local garage to an authenticated account?</w:t>
      </w:r>
    </w:p>
    <w:p w14:paraId="000000E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t>Which hosted records need conflict resolution across devices, and which remain device-local?</w:t>
      </w:r>
    </w:p>
    <w:p w14:paraId="000000E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t>What observability, backup, restore, and incident ownership are required before public launch?</w:t>
      </w:r>
    </w:p>
    <w:p w14:paraId="000000E2">
      <w:pPr>
        <w:pStyle w:val="Heading1"/>
        <w:spacing w:before="0" w:lineRule="auto"/>
        <w:rPr>
          <w:rFonts w:ascii="Helvetica Neue" w:cs="Helvetica Neue" w:eastAsia="Helvetica Neue" w:hAnsi="Helvetica Neue"/>
          <w:color w:val="000000"/>
        </w:rPr>
      </w:pPr>
      <w:r>
        <w:rPr>
          <w:rtl w:val="0"/>
        </w:rPr>
      </w:r>
    </w:p>
    <w:p w14:paraId="000000E3">
      <w:pPr>
        <w:pStyle w:val="Heading1"/>
        <w:rPr>
          <w:rFonts w:ascii="Helvetica Neue" w:cs="Helvetica Neue" w:eastAsia="Helvetica Neue" w:hAnsi="Helvetica Neue"/>
        </w:rPr>
      </w:pPr>
      <w:r>
        <w:t>12. Decision and Next Steps</w:t>
      </w:r>
    </w:p>
    <w:p w14:paraId="000000E4">
      <w:pPr>
        <w:spacing w:after="110" w:line="300" w:lineRule="auto"/>
        <w:jc w:val="both"/>
        <w:rPr>
          <w:rFonts w:ascii="Helvetica Neue" w:cs="Helvetica Neue" w:eastAsia="Helvetica Neue" w:hAnsi="Helvetica Neue"/>
        </w:rPr>
      </w:pPr>
      <w:r>
        <w:t>Approve the redesigned local-first client as the product baseline. Keep the TypeScript API boundary, resolve Vercel production ownership, then add hosted health detection, authenticated identity, durable storage, and progressive synchronization in separate reviewed milestones.</w:t>
      </w:r>
    </w:p>
    <w:tbl>
      <w:tblPr>
        <w:tblStyle w:val="Table9"/>
        <w:tblW w:w="1044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2954"/>
        <w:gridCol w:w="3713"/>
        <w:gridCol w:w="3773"/>
        <w:tblGridChange w:id="0">
          <w:tblGrid>
            <w:gridCol w:w="2954"/>
            <w:gridCol w:w="3713"/>
            <w:gridCol w:w="3773"/>
          </w:tblGrid>
        </w:tblGridChange>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r>
              <w:t>Milestone</w:t>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r>
              <w:t>Deliverable</w:t>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r>
              <w:t>Exit criteria</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r>
              <w:t>M1</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r>
              <w:t>Redesigned local-first client</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r>
              <w:t>Tests, build, accessibility, and responsive QA pass</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r>
              <w:t>M2</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r>
              <w:t>Production deployment ownership</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r>
              <w:t>Vercel branch, permissions, and rollback verified</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r>
              <w:t>M3</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r>
              <w:t>Authenticated durable API</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r>
              <w:t>Database, identity, backup, and API contract approved</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r>
              <w:t>M4</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r>
              <w:t>Progressive hosted synchronization</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r>
              <w:t>Conflict handling, observability, and user consent validated</w:t>
            </w:r>
          </w:p>
        </w:tc>
      </w:tr>
    </w:tbl>
    <w:p w14:paraId="000000F4">
      <w:pPr>
        <w:spacing w:after="120" w:line="269" w:lineRule="auto"/>
        <w:rPr>
          <w:rFonts w:ascii="Helvetica Neue" w:cs="Helvetica Neue" w:eastAsia="Helvetica Neue" w:hAnsi="Helvetica Neue"/>
        </w:rPr>
      </w:pPr>
      <w:r>
        <w:rPr>
          <w:rtl w:val="0"/>
        </w:rPr>
      </w:r>
    </w:p>
    <w:sectPr>
      <w:headerReference r:id="rId10" w:type="default"/>
      <w:headerReference r:id="rId11" w:type="first"/>
      <w:footerReference r:id="rId12" w:type="default"/>
      <w:footerReference r:id="rId13" w:type="first"/>
      <w:pgSz w:h="15840" w:w="12240" w:orient="portrait"/>
      <w:pgMar w:bottom="893" w:top="1008" w:left="1008" w:right="1008"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Helvetica Neue Ligh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7">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60" w:lineRule="auto"/>
      <w:ind w:left="0" w:right="0" w:firstLine="0"/>
      <w:jc w:val="center"/>
      <w:rPr>
        <w:rFonts w:ascii="Arial" w:cs="Arial" w:eastAsia="Arial" w:hAnsi="Arial"/>
        <w:b w:val="0"/>
        <w:bCs w:val="0"/>
        <w:i w:val="0"/>
        <w:iCs w:val="0"/>
        <w:smallCaps w:val="0"/>
        <w:strike w:val="0"/>
        <w:color w:val="5b7085"/>
        <w:sz w:val="20"/>
        <w:szCs w:val="20"/>
        <w:u w:val="none"/>
        <w:shd w:fill="auto" w:val="clear"/>
        <w:vertAlign w:val="baseline"/>
      </w:rPr>
    </w:pPr>
    <w:r>
      <w:rPr>
        <w:rFonts w:ascii="Arial" w:cs="Arial" w:eastAsia="Arial" w:hAnsi="Arial"/>
        <w:b w:val="0"/>
        <w:bCs w:val="0"/>
        <w:i w:val="0"/>
        <w:iCs w:val="0"/>
        <w:smallCaps w:val="0"/>
        <w:strike w:val="0"/>
        <w:color w:val="5b7085"/>
        <w:sz w:val="16"/>
        <w:szCs w:val="16"/>
        <w:u w:val="none"/>
        <w:shd w:fill="auto" w:val="clear"/>
        <w:vertAlign w:val="baseline"/>
        <w:rtl w:val="0"/>
      </w:rPr>
      <w:t xml:space="preserve">Autoflex | System Design</w:t>
    </w:r>
    <w:r>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9">
    <w:pPr>
      <w:rPr/>
    </w:pPr>
    <w:r>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14:paraId="000000F5">
      <w:pPr>
        <w:spacing w:after="0" w:line="270" w:lineRule="auto"/>
        <w:jc w:val="both"/>
        <w:rPr/>
      </w:pPr>
      <w:r>
        <w:rPr>
          <w:rStyle w:val="FootnoteReference"/>
          <w:vertAlign w:val="superscript"/>
        </w:rPr>
        <w:footnoteRef/>
      </w:r>
      <w:r>
        <w:rPr>
          <w:color w:val="233447"/>
          <w:rtl w:val="0"/>
        </w:rPr>
        <w:t xml:space="preserve"> Use footnotes for definitions, assumptions, or terms that need precision without interrupting the main narrative.</w:t>
      </w:r>
      <w:r>
        <w:rPr>
          <w:rtl w:val="0"/>
        </w:rPr>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6">
    <w:pPr>
      <w:rPr/>
    </w:pPr>
    <w:r>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8">
    <w:pPr>
      <w:rPr/>
    </w:pPr>
    <w:r>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lowerLetter"/>
      <w:lvlText w:val="%1."/>
      <w:lvlJc w:val="left"/>
      <w:pPr>
        <w:ind w:left="360" w:hanging="360"/>
      </w:pPr>
      <w:rPr/>
    </w:lvl>
    <w:lvl w:ilvl="1">
      <w:start w:val="1"/>
      <w:numFmt w:val="lowerLetter"/>
      <w:lvlText w:val="%2)"/>
      <w:lvlJc w:val="left"/>
      <w:pPr>
        <w:ind w:left="720" w:hanging="360"/>
      </w:pPr>
      <w:rPr/>
    </w:lvl>
    <w:lvl w:ilvl="2">
      <w:start w:val="1"/>
      <w:numFmt w:val="lowerRoman"/>
      <w:lvlText w:val="%3)"/>
      <w:lvlJc w:val="left"/>
      <w:pPr>
        <w:ind w:left="1080" w:hanging="360"/>
      </w:pPr>
      <w:rPr/>
    </w:lvl>
    <w:lvl w:ilvl="3">
      <w:start w:val="1"/>
      <w:numFmt w:val="decimal"/>
      <w:lvlText w:val="(%4)"/>
      <w:lvlJc w:val="left"/>
      <w:pPr>
        <w:ind w:left="1440" w:hanging="360"/>
      </w:pPr>
      <w:rPr/>
    </w:lvl>
    <w:lvl w:ilvl="4">
      <w:start w:val="1"/>
      <w:numFmt w:val="lowerLetter"/>
      <w:lvlText w:val="(%5)"/>
      <w:lvlJc w:val="left"/>
      <w:pPr>
        <w:ind w:left="180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abstractNum w:abstractNumId="3">
    <w:lvl w:ilvl="0">
      <w:start w:val="1"/>
      <w:numFmt w:val="lowerLetter"/>
      <w:lvlText w:val="%1."/>
      <w:lvlJc w:val="left"/>
      <w:pPr>
        <w:ind w:left="360" w:hanging="360"/>
      </w:pPr>
      <w:rPr/>
    </w:lvl>
    <w:lvl w:ilvl="1">
      <w:start w:val="1"/>
      <w:numFmt w:val="lowerLetter"/>
      <w:lvlText w:val="%2)"/>
      <w:lvlJc w:val="left"/>
      <w:pPr>
        <w:ind w:left="720" w:hanging="360"/>
      </w:pPr>
      <w:rPr/>
    </w:lvl>
    <w:lvl w:ilvl="2">
      <w:start w:val="1"/>
      <w:numFmt w:val="lowerRoman"/>
      <w:lvlText w:val="%3)"/>
      <w:lvlJc w:val="left"/>
      <w:pPr>
        <w:ind w:left="1080" w:hanging="360"/>
      </w:pPr>
      <w:rPr/>
    </w:lvl>
    <w:lvl w:ilvl="3">
      <w:start w:val="1"/>
      <w:numFmt w:val="decimal"/>
      <w:lvlText w:val="(%4)"/>
      <w:lvlJc w:val="left"/>
      <w:pPr>
        <w:ind w:left="1440" w:hanging="360"/>
      </w:pPr>
      <w:rPr/>
    </w:lvl>
    <w:lvl w:ilvl="4">
      <w:start w:val="1"/>
      <w:numFmt w:val="lowerLetter"/>
      <w:lvlText w:val="(%5)"/>
      <w:lvlJc w:val="left"/>
      <w:pPr>
        <w:ind w:left="180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abstractNum w:abstractNumId="4">
    <w:lvl w:ilvl="0">
      <w:start w:val="1"/>
      <w:numFmt w:val="lowerLetter"/>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233447"/>
        <w:lang w:val="en"/>
      </w:rPr>
    </w:rPrDefault>
    <w:pPrDefault>
      <w:pPr>
        <w:spacing w:after="110"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Bdr>
        <w:top w:color="2f6b9a" w:space="2" w:sz="0" w:val="none"/>
        <w:left w:color="2f6b9a" w:space="2" w:sz="0" w:val="none"/>
        <w:bottom w:color="2f6b9a" w:space="2" w:sz="0" w:val="none"/>
        <w:right w:color="2f6b9a" w:space="2" w:sz="0" w:val="none"/>
      </w:pBdr>
      <w:spacing w:after="130" w:line="285" w:lineRule="auto"/>
    </w:pPr>
    <w:rPr>
      <w:b w:val="1"/>
      <w:bCs w:val="1"/>
      <w:color w:val="082a4a"/>
      <w:sz w:val="27"/>
      <w:szCs w:val="27"/>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smallCaps w:val="1"/>
      <w:color w:val="082a4a"/>
      <w:sz w:val="19"/>
      <w:szCs w:val="19"/>
    </w:rPr>
  </w:style>
  <w:style w:type="paragraph" w:styleId="Heading3">
    <w:name w:val="heading 3"/>
    <w:basedOn w:val="Normal"/>
    <w:next w:val="Normal"/>
    <w:pPr>
      <w:keepNext w:val="1"/>
      <w:keepLines w:val="1"/>
    </w:pPr>
    <w:rPr>
      <w:rFonts w:ascii="Helvetica Neue" w:cs="Helvetica Neue" w:eastAsia="Helvetica Neue" w:hAnsi="Helvetica Neue"/>
      <w:b w:val="1"/>
      <w:bCs w:val="1"/>
      <w:color w:val="5b7085"/>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082a4a"/>
    </w:rPr>
  </w:style>
  <w:style w:type="paragraph" w:styleId="Heading5">
    <w:name w:val="heading 5"/>
    <w:basedOn w:val="Normal"/>
    <w:next w:val="Normal"/>
    <w:pPr>
      <w:keepNext w:val="1"/>
      <w:keepLines w:val="1"/>
      <w:spacing w:after="0" w:before="200" w:lineRule="auto"/>
    </w:pPr>
    <w:rPr>
      <w:rFonts w:ascii="Calibri" w:cs="Calibri" w:eastAsia="Calibri" w:hAnsi="Calibri"/>
      <w:color w:val="082a4a"/>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082a4a"/>
    </w:rPr>
  </w:style>
  <w:style w:type="paragraph" w:styleId="Title">
    <w:name w:val="Title"/>
    <w:basedOn w:val="Normal"/>
    <w:next w:val="Normal"/>
    <w:pPr>
      <w:spacing w:after="150" w:lineRule="auto"/>
    </w:pPr>
    <w:rPr>
      <w:b w:val="1"/>
      <w:bCs w:val="1"/>
      <w:color w:val="082a4a"/>
      <w:sz w:val="44"/>
      <w:szCs w:val="44"/>
    </w:rPr>
  </w:style>
  <w:style w:type="paragraph" w:styleId="Subtitle">
    <w:name w:val="Subtitle"/>
    <w:basedOn w:val="Normal"/>
    <w:next w:val="Normal"/>
    <w:pPr/>
    <w:rPr>
      <w:rFonts w:ascii="Calibri" w:cs="Calibri" w:eastAsia="Calibri" w:hAnsi="Calibri"/>
      <w:i w:val="1"/>
      <w:iCs w:val="1"/>
      <w:color w:val="082a4a"/>
      <w:sz w:val="24"/>
      <w:szCs w:val="24"/>
    </w:rPr>
  </w:style>
  <w:style w:type="table" w:styleId="Table1">
    <w:basedOn w:val="TableNormal"/>
    <w:tblPr>
      <w:tblStyleRowBandSize w:val="1"/>
      <w:tblStyleColBandSize w:val="1"/>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1" Type="http://schemas.openxmlformats.org/officeDocument/2006/relationships/header" Target="header2.xml"/><Relationship Id="rId10" Type="http://schemas.openxmlformats.org/officeDocument/2006/relationships/header" Target="header1.xml"/><Relationship Id="rId13" Type="http://schemas.openxmlformats.org/officeDocument/2006/relationships/footer" Target="footer2.xml"/><Relationship Id="rId12"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https://example.com/system-design/contracts" TargetMode="External"/><Relationship Id="rId5" Type="http://schemas.openxmlformats.org/officeDocument/2006/relationships/numbering" Target="numbering.xml"/><Relationship Id="rId6" Type="http://schemas.openxmlformats.org/officeDocument/2006/relationships/styles" Target="styles.xm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 Id="rId5" Type="http://schemas.openxmlformats.org/officeDocument/2006/relationships/font" Target="fonts/HelveticaNeueLight-regular.ttf"/><Relationship Id="rId6" Type="http://schemas.openxmlformats.org/officeDocument/2006/relationships/font" Target="fonts/HelveticaNeueLight-bold.ttf"/><Relationship Id="rId7" Type="http://schemas.openxmlformats.org/officeDocument/2006/relationships/font" Target="fonts/HelveticaNeueLight-italic.ttf"/><Relationship Id="rId8" Type="http://schemas.openxmlformats.org/officeDocument/2006/relationships/font" Target="fonts/HelveticaNeueLigh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