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38850" cy="5824008"/>
            <wp:effectExtent b="0" l="0" r="0" t="0"/>
            <wp:docPr descr="OpenAI_Photography_2026_04" id="1" name="image1.png"/>
            <a:graphic>
              <a:graphicData uri="http://schemas.openxmlformats.org/drawingml/2006/picture">
                <pic:pic>
                  <pic:nvPicPr>
                    <pic:cNvPr descr="OpenAI_Photography_2026_04" id="0" name="image1.png"/>
                    <pic:cNvPicPr preferRelativeResize="0"/>
                  </pic:nvPicPr>
                  <pic:blipFill>
                    <a:blip r:embed="rId7"/>
                    <a:srcRect b="1779" l="0" r="0" t="177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03">
      <w:pPr>
        <w:pStyle w:val="Title"/>
        <w:keepNext w:val="1"/>
        <w:spacing w:after="100" w:line="278.00000000000006" w:lineRule="auto"/>
        <w:rPr/>
      </w:pPr>
      <w:r>
        <w:t>Autoflex redesign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  <w:tblGridChange w:id="0">
          <w:tblGrid>
            <w:gridCol w:w="4305"/>
            <w:gridCol w:w="901.6666666666654"/>
            <w:gridCol w:w="4153.333333333335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>
            <w:r>
              <w:t>A task-led ownership workspace for drivers and active buyers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>
            <w:r/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>
            <w:r>
              <w:t>Product Owner + Codex</w:t>
              <w:br/>
              <w:t>July 2026</w:t>
            </w:r>
          </w:p>
        </w:tc>
      </w:tr>
    </w:tbl>
    <w:p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p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>
        <w:t>Contents</w:t>
      </w:r>
    </w:p>
    <w:p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sz w:val="48"/>
          <w:szCs w:val="48"/>
        </w:rPr>
      </w:pPr>
      <w:r>
        <w:rPr>
          <w:rtl w:val="0"/>
        </w:rPr>
      </w:r>
    </w:p>
    <w:sdt>
      <w:sdtPr>
        <w:id w:val="-2107746825"/>
        <w:docPartObj>
          <w:docPartGallery w:val="Table of Contents"/>
          <w:docPartUnique w:val="1"/>
        </w:docPartObj>
      </w:sdtPr>
      <w:sdtContent>
        <w:p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Executive summary</w:t>
              <w:tab/>
              <w:t xml:space="preserve">2</w:t>
            </w:r>
          </w:hyperlink>
          <w:r>
            <w:rPr>
              <w:rtl w:val="0"/>
            </w:rPr>
          </w:r>
        </w:p>
        <w:p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a glance</w:t>
              <w:tab/>
              <w:t xml:space="preserve">2</w:t>
            </w:r>
          </w:hyperlink>
          <w:r>
            <w:rPr>
              <w:rtl w:val="0"/>
            </w:rPr>
          </w:r>
        </w:p>
        <w:p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</w:t>
              <w:tab/>
              <w:t xml:space="preserve">2</w:t>
            </w:r>
          </w:hyperlink>
          <w:r>
            <w:rPr>
              <w:rtl w:val="0"/>
            </w:rPr>
          </w:r>
        </w:p>
        <w:p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findings</w:t>
              <w:tab/>
              <w:t xml:space="preserve">3</w:t>
            </w:r>
          </w:hyperlink>
          <w:r>
            <w:rPr>
              <w:rtl w:val="0"/>
            </w:rPr>
          </w:r>
        </w:p>
        <w:p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 and conditions</w:t>
              <w:tab/>
              <w:t xml:space="preserve">3</w:t>
            </w:r>
          </w:hyperlink>
          <w:r>
            <w:rPr>
              <w:rtl w:val="0"/>
            </w:rPr>
          </w:r>
        </w:p>
        <w:p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Patterns in the evidence</w:t>
              <w:tab/>
              <w:t xml:space="preserve">3</w:t>
            </w:r>
          </w:hyperlink>
          <w:r>
            <w:rPr>
              <w:rtl w:val="0"/>
            </w:rPr>
          </w:r>
        </w:p>
        <w:p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Implications</w:t>
              <w:tab/>
              <w:t xml:space="preserve">3</w:t>
            </w:r>
          </w:hyperlink>
          <w:r>
            <w:rPr>
              <w:rtl w:val="0"/>
            </w:rPr>
          </w:r>
        </w:p>
        <w:p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Recommendations</w:t>
              <w:tab/>
              <w:t xml:space="preserve">4</w:t>
            </w:r>
          </w:hyperlink>
          <w:r>
            <w:rPr>
              <w:rtl w:val="0"/>
            </w:rPr>
          </w:r>
        </w:p>
        <w:p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</w:t>
              <w:tab/>
              <w:t xml:space="preserve">4</w:t>
            </w:r>
          </w:hyperlink>
          <w:r>
            <w:rPr>
              <w:rtl w:val="0"/>
            </w:rPr>
          </w:r>
        </w:p>
        <w:p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</w:t>
              <w:tab/>
              <w:t xml:space="preserve">5</w:t>
            </w:r>
          </w:hyperlink>
          <w:r>
            <w:rPr>
              <w:rtl w:val="0"/>
            </w:rPr>
          </w:r>
        </w:p>
        <w:p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</w:t>
              <w:tab/>
              <w:t xml:space="preserve">5</w:t>
            </w:r>
          </w:hyperlink>
          <w:r>
            <w:rPr>
              <w:rtl w:val="0"/>
            </w:rPr>
          </w:r>
        </w:p>
        <w:p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 placeholders</w:t>
              <w:tab/>
              <w:t xml:space="preserve">5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bookmarkStart w:colFirst="0" w:colLast="0" w:name="bookmark=id.i23wo83gyh7m" w:id="1"/>
    <w:bookmarkEnd w:id="1"/>
    <w:p w14:paraId="00000017">
      <w:pPr>
        <w:pStyle w:val="Heading1"/>
        <w:pageBreakBefore w:val="1"/>
        <w:rPr/>
      </w:pPr>
      <w:r>
        <w:t>Executive summary</w:t>
      </w:r>
    </w:p>
    <w:p w14:paraId="00000018">
      <w:pPr>
        <w:rPr/>
      </w:pPr>
      <w:r>
        <w:t>Autoflex has been redesigned as a focused vehicle ownership workspace rather than a scrolling content site. Four stable destinations now support the jobs users return for: Today, Shortlist, Garage, and Community.</w:t>
      </w:r>
    </w:p>
    <w:p w14:paraId="00000019">
      <w:pPr>
        <w:rPr/>
      </w:pPr>
      <w:r>
        <w:t>The system pairs a restrained workshop visual language with explicit actions, persistent navigation, realistic vehicle imagery, and honest local-first data behavior. The result is faster to understand on first use and remains efficient for repeat visits.</w:t>
      </w:r>
    </w:p>
    <w:bookmarkStart w:colFirst="0" w:colLast="0" w:name="bookmark=id.1sqjewf8afxt" w:id="2"/>
    <w:bookmarkEnd w:id="2"/>
    <w:p w14:paraId="0000001A">
      <w:pPr>
        <w:pStyle w:val="Heading2"/>
        <w:rPr/>
      </w:pPr>
      <w:r>
        <w:t>At a glance</w:t>
      </w:r>
    </w:p>
    <w:p w14:paraId="0000001B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Stable information architecture: four destinations keep the same order and meaning on mobile and desktop.</w:t>
      </w:r>
    </w:p>
    <w:p w14:paraId="0000001C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Task-led screens: every screen presents one dominant next action and keeps supporting controls visually quieter.</w:t>
      </w:r>
    </w:p>
    <w:p w14:paraId="0000001D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Responsive confidence: 390px and 1280px flows preserve gutters, dock clearance, focus visibility, and zero horizontal overflow.</w:t>
      </w:r>
    </w:p>
    <w:bookmarkStart w:colFirst="0" w:colLast="0" w:name="bookmark=id.4t4jj91ycfx" w:id="3"/>
    <w:bookmarkEnd w:id="3"/>
    <w:p w14:paraId="0000001E">
      <w:pPr>
        <w:pStyle w:val="Heading2"/>
        <w:rPr/>
      </w:pPr>
      <w:r>
        <w:t>Design objective</w:t>
      </w:r>
    </w:p>
    <w:p w14:paraId="0000001F">
      <w:pPr>
        <w:rPr/>
      </w:pPr>
      <w:r>
        <w:t>Make ownership decisions feel concrete. The interface should help someone act on a service need, compare a candidate, record a cost, or learn from another owner without first decoding the product.</w:t>
      </w:r>
    </w:p>
    <w:p w14:paraId="00000020">
      <w:pPr>
        <w:rPr/>
      </w:pPr>
      <w:r>
        <w:t>The redesign deliberately avoids marketing-style heroes, duplicate app maps, nested cards, shifting navigation labels, and status messages that compete with the user’s task.</w:t>
      </w:r>
    </w:p>
    <w:bookmarkStart w:colFirst="0" w:colLast="0" w:name="bookmark=id.xx7bxdemqiq" w:id="4"/>
    <w:bookmarkEnd w:id="4"/>
    <w:p w14:paraId="00000021">
      <w:pPr>
        <w:pStyle w:val="Heading1"/>
        <w:pageBreakBefore w:val="1"/>
        <w:rPr/>
      </w:pPr>
      <w:r>
        <w:t>Key findings</w:t>
      </w:r>
    </w:p>
    <w:p w14:paraId="00000022">
      <w:pPr>
        <w:rPr/>
      </w:pPr>
      <w:r>
        <w:t>The original experience exposed useful capabilities but grouped them as a long editorial page. Repeated introductions, ambiguous utility menus, and uniform boxes made separate workflows feel like one undifferentiated surface.</w:t>
      </w:r>
    </w:p>
    <w:p w14:paraId="00000023">
      <w:pPr>
        <w:pStyle w:val="Heading2"/>
        <w:rPr/>
      </w:pPr>
      <w:r>
        <w:t>Context and conditions</w:t>
      </w:r>
    </w:p>
    <w:p w14:paraId="00000024">
      <w:pPr>
        <w:rPr/>
      </w:pPr>
      <w:r>
        <w:t>Autoflex serves both vehicle owners and active buyers. Mobile use is expected during short, practical moments: checking what is due, recording a bill, comparing a car, or looking up a known issue.</w:t>
      </w:r>
    </w:p>
    <w:p w14:paraId="00000025">
      <w:pPr>
        <w:pStyle w:val="Heading2"/>
        <w:rPr/>
      </w:pPr>
      <w:r>
        <w:t>Patterns in the evidence</w:t>
      </w:r>
    </w:p>
    <w:p w14:paraId="00000026">
      <w:pPr>
        <w:rPr/>
      </w:pPr>
      <w:r>
        <w:t>Users need stable navigation, concrete labels, visible next steps, and strong state continuity. They do not need a manual, a second navigation overlay, or decorative containers around every block.</w:t>
      </w:r>
    </w:p>
    <w:p w14:paraId="00000027">
      <w:pPr>
        <w:rPr/>
      </w:pPr>
      <w:r>
        <w:rPr>
          <w:rtl w:val="0"/>
        </w:rPr>
      </w:r>
    </w:p>
    <w:p w14:paraId="00000028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/>
      </w:pPr>
      <w:r>
        <w:t>Key takeaway. The product earns trust when the interface describes the user’s real task, preserves context, and makes the next useful action obvious.</w:t>
      </w:r>
    </w:p>
    <w:p w14:paraId="00000029">
      <w:pPr>
        <w:pStyle w:val="Heading2"/>
        <w:rPr/>
      </w:pPr>
      <w:r>
        <w:rPr>
          <w:rtl w:val="0"/>
        </w:rPr>
      </w:r>
    </w:p>
    <w:bookmarkStart w:colFirst="0" w:colLast="0" w:name="bookmark=id.suv0vlq0gz4r" w:id="5"/>
    <w:bookmarkEnd w:id="5"/>
    <w:p w14:paraId="0000002A">
      <w:pPr>
        <w:pStyle w:val="Heading2"/>
        <w:rPr/>
      </w:pPr>
      <w:r>
        <w:t>Implications</w:t>
      </w:r>
    </w:p>
    <w:p w14:paraId="0000002B">
      <w:pPr>
        <w:rPr/>
      </w:pPr>
      <w:r>
        <w:t>Navigation must remain stable while screen actions stay contextual. Entity cards are useful for vehicles, candidates, and owner notes; page sections and utility lists should remain flat. Motion should explain a transient menu, never delay navigation.</w:t>
      </w:r>
    </w:p>
    <w:tbl>
      <w:tblPr>
        <w:tblStyle w:val="Table2"/>
        <w:tblW w:w="9120.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00"/>
        <w:gridCol w:w="3300"/>
        <w:gridCol w:w="4020"/>
        <w:tblGridChange w:id="0">
          <w:tblGrid>
            <w:gridCol w:w="1800"/>
            <w:gridCol w:w="3300"/>
            <w:gridCol w:w="40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>
            <w:r>
              <w:t>Theme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>
            <w:r>
              <w:t>Observation</w:t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>
            <w:r>
              <w:t>Implication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Navigation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Destinations changed meaning or appeared twice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Keep four stable destinations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Hierarchy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Most surfaces competed as similar boxes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Use flat sections and entity cards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Trust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Persistence cues were unclear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State local-first behavior plainly</w:t>
            </w:r>
          </w:p>
        </w:tc>
      </w:tr>
    </w:tbl>
    <w:bookmarkStart w:colFirst="0" w:colLast="0" w:name="bookmark=id.vvr4bduzzdc0" w:id="6"/>
    <w:bookmarkEnd w:id="6"/>
    <w:p w14:paraId="00000038">
      <w:pPr>
        <w:pStyle w:val="Heading1"/>
        <w:pageBreakBefore w:val="1"/>
        <w:rPr/>
      </w:pPr>
      <w:r>
        <w:t>Recommendations</w:t>
      </w:r>
    </w:p>
    <w:p w14:paraId="00000039">
      <w:pPr>
        <w:rPr/>
      </w:pPr>
      <w:r>
        <w:t>Keep the current foundation and measure real usage before adding more destinations. Improve depth inside the four workspaces instead of growing the primary navigation.</w:t>
      </w:r>
    </w:p>
    <w:p w14:paraId="0000003A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t>Protect the hierarchy. Maintain one dominant action per screen and use explicit outcome labels such as Add vehicle, Add candidate, Add service record, and Write a note.</w:t>
      </w:r>
    </w:p>
    <w:p w14:paraId="0000003B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t>Connect progressively. Detect hosted API availability first, then add explicit sync states. Do not imply cloud persistence while garage, shortlist, and profile data remain browser-local.</w:t>
      </w:r>
    </w:p>
    <w:p w14:paraId="0000003C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t>Validate continuously. Preserve mobile gutters, dock clearance, keyboard access, reduced-motion behavior, and complete decision-lane rendering in release checks.</w:t>
      </w:r>
    </w:p>
    <w:bookmarkStart w:colFirst="0" w:colLast="0" w:name="bookmark=id.rl3o3rp5qmnq" w:id="7"/>
    <w:bookmarkEnd w:id="7"/>
    <w:p w14:paraId="0000003D">
      <w:pPr>
        <w:pStyle w:val="Heading2"/>
        <w:rPr/>
      </w:pPr>
      <w:r>
        <w:t>Conclusion</w:t>
      </w:r>
    </w:p>
    <w:p w14:paraId="0000003E">
      <w:pPr>
        <w:rPr/>
      </w:pPr>
      <w:r>
        <w:t>The redesign gives Autoflex a recognizable product identity: precise, practical, and evidence-led. It looks distinct without becoming unfamiliar, and it supports both quick checks and deeper ownership decisions.</w:t>
      </w:r>
    </w:p>
    <w:p w14:paraId="0000003F">
      <w:pPr>
        <w:rPr/>
      </w:pPr>
      <w:r>
        <w:t>The next product step is operational rather than cosmetic: production database selection, hosted identity, API integration, and real usage feedback.</w:t>
      </w:r>
    </w:p>
    <w:bookmarkStart w:colFirst="0" w:colLast="0" w:name="bookmark=id.cf45595vup8a" w:id="8"/>
    <w:bookmarkEnd w:id="8"/>
    <w:p w14:paraId="00000040">
      <w:pPr>
        <w:pStyle w:val="Heading1"/>
        <w:pageBreakBefore w:val="1"/>
        <w:rPr/>
      </w:pPr>
      <w:r>
        <w:t>Appendix</w:t>
      </w:r>
    </w:p>
    <w:bookmarkStart w:colFirst="0" w:colLast="0" w:name="bookmark=id.ptrg31dozyqs" w:id="9"/>
    <w:bookmarkEnd w:id="9"/>
    <w:p w14:paraId="00000041">
      <w:pPr>
        <w:pStyle w:val="Heading2"/>
        <w:rPr/>
      </w:pPr>
      <w:r>
        <w:t>Acceptance evidence</w:t>
      </w:r>
    </w:p>
    <w:p w14:paraId="00000042">
      <w:pPr>
        <w:rPr/>
      </w:pPr>
      <w:r>
        <w:t>Release checks cover unit tests, TypeScript compilation, production build output, generated offline assets, a server-disconnected reload, keyboard behavior, screen switching, state retention, 390px mobile layout, 1280px desktop layout, and horizontal overflow.</w:t>
      </w:r>
    </w:p>
    <w:p w14:paraId="00000043">
      <w:pPr>
        <w:rPr/>
      </w:pPr>
      <w:r>
        <w:t>The delivered shell uses Archivo for display hierarchy, Manrope for interface text, petrol teal for primary actions, signal yellow for due attention, and cool neutrals for sustained reading.</w:t>
      </w:r>
    </w:p>
    <w:bookmarkStart w:colFirst="0" w:colLast="0" w:name="bookmark=id.nnk1eebni0ji" w:id="10"/>
    <w:bookmarkEnd w:id="10"/>
    <w:p w14:paraId="00000044">
      <w:pPr>
        <w:pStyle w:val="Heading2"/>
        <w:rPr/>
      </w:pPr>
      <w:r>
        <w:t>Product boundaries</w:t>
      </w:r>
    </w:p>
    <w:p w14:paraId="0000004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Primary workspaces: Today, Shortlist, Garage, Community.</w:t>
      </w:r>
    </w:p>
    <w:p w14:paraId="0000004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Account utilities: Profile, Saved notes, Following, Notifications, Settings and privacy.</w:t>
      </w:r>
    </w:p>
    <w:p w14:paraId="0000004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Persistence: browser-local by default; optional Fastify API capabilities are presented only when available.</w:t>
      </w:r>
    </w:p>
    <w:p w14:paraId="0000004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Deployment: Vite client on Vercel; TypeScript Fastify API as a separately configured service.</w:t>
      </w:r>
    </w:p>
    <w:p w14:paraId="0000004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/>
      </w:pPr>
      <w:r>
        <w:rPr>
          <w:rtl w:val="0"/>
        </w:rPr>
      </w:r>
    </w:p>
    <w:p w14:paraId="0000004A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t>Document note. This report records the product rationale implemented in the redesign branch and should be updated when hosted identity or durable production storage is approved.</w:t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Autoflex redesign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July 2026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