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HelveticaNeueLight-bold.ttf" ContentType="application/x-font-ttf"/>
  <Override PartName="/word/fonts/HelveticaNeueLight-boldItalic.ttf" ContentType="application/x-font-ttf"/>
  <Override PartName="/word/fonts/HelveticaNeueLight-italic.ttf" ContentType="application/x-font-ttf"/>
  <Override PartName="/word/fonts/HelveticaNeueLight-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0" w:line="270" w:lineRule="auto"/>
        <w:ind w:left="0" w:right="0" w:firstLine="0"/>
        <w:jc w:val="left"/>
        <w:rPr>
          <w:rFonts w:ascii="Helvetica Neue" w:cs="Helvetica Neue" w:eastAsia="Helvetica Neue" w:hAnsi="Helvetica Neue"/>
          <w:b w:val="1"/>
          <w:bCs w:val="1"/>
          <w:smallCaps w:val="1"/>
          <w:color w:val="5b7085"/>
        </w:rPr>
      </w:pPr>
      <w:r>
        <w:rPr>
          <w:rtl w:val="0"/>
        </w:rPr>
      </w:r>
    </w:p>
    <w:p w14:paraId="00000008">
      <w:pPr>
        <w:spacing w:after="0" w:before="0" w:line="20" w:lineRule="auto"/>
        <w:rPr>
          <w:rFonts w:ascii="Helvetica Neue" w:cs="Helvetica Neue" w:eastAsia="Helvetica Neue" w:hAnsi="Helvetica Neue"/>
          <w:color w:val="000000"/>
        </w:rPr>
      </w:pPr>
      <w:r>
        <w:rPr>
          <w:rtl w:val="0"/>
        </w:rPr>
      </w:r>
    </w:p>
    <w:p w14:paraId="00000009">
      <w:pPr>
        <w:pStyle w:val="Title"/>
        <w:spacing w:line="240" w:lineRule="auto"/>
        <w:rPr>
          <w:rFonts w:ascii="Helvetica Neue Light" w:cs="Helvetica Neue Light" w:eastAsia="Helvetica Neue Light" w:hAnsi="Helvetica Neue Light"/>
          <w:b w:val="0"/>
          <w:bCs w:val="0"/>
          <w:color w:val="5b7085"/>
          <w:sz w:val="72"/>
          <w:szCs w:val="72"/>
        </w:rPr>
      </w:pPr>
      <w:r>
        <w:t>Autoflex</w:t>
      </w:r>
    </w:p>
    <w:p w14:paraId="0000000A">
      <w:pPr>
        <w:pStyle w:val="Title"/>
        <w:spacing w:line="240" w:lineRule="auto"/>
        <w:rPr>
          <w:rFonts w:ascii="Helvetica Neue" w:cs="Helvetica Neue" w:eastAsia="Helvetica Neue" w:hAnsi="Helvetica Neue"/>
          <w:sz w:val="72"/>
          <w:szCs w:val="72"/>
        </w:rPr>
      </w:pPr>
      <w:r>
        <w:t>Product and deployment architecture</w:t>
      </w:r>
    </w:p>
    <w:p w14:paraId="0000000B">
      <w:pPr>
        <w:rPr>
          <w:rFonts w:ascii="Helvetica Neue" w:cs="Helvetica Neue" w:eastAsia="Helvetica Neue" w:hAnsi="Helvetica Neue"/>
        </w:rPr>
      </w:pPr>
      <w:r>
        <w:rPr>
          <w:rtl w:val="0"/>
        </w:rPr>
      </w:r>
    </w:p>
    <w:p w14:paraId="0000000C">
      <w:pPr>
        <w:rPr>
          <w:rFonts w:ascii="Helvetica Neue" w:cs="Helvetica Neue" w:eastAsia="Helvetica Neue" w:hAnsi="Helvetica Neue"/>
        </w:rPr>
      </w:pPr>
      <w:r>
        <w:rPr>
          <w:rtl w:val="0"/>
        </w:rPr>
      </w:r>
    </w:p>
    <w:p w14:paraId="0000000D">
      <w:pPr>
        <w:rPr>
          <w:rFonts w:ascii="Helvetica Neue" w:cs="Helvetica Neue" w:eastAsia="Helvetica Neue" w:hAnsi="Helvetica Neue"/>
        </w:rPr>
      </w:pPr>
      <w:r>
        <w:rPr>
          <w:rtl w:val="0"/>
        </w:rPr>
      </w:r>
    </w:p>
    <w:p w14:paraId="0000000E">
      <w:pPr>
        <w:rPr>
          <w:rFonts w:ascii="Helvetica Neue" w:cs="Helvetica Neue" w:eastAsia="Helvetica Neue" w:hAnsi="Helvetica Neue"/>
        </w:rPr>
      </w:pPr>
      <w:r>
        <w:rPr>
          <w:rtl w:val="0"/>
        </w:rPr>
      </w:r>
    </w:p>
    <w:p w14:paraId="0000000F">
      <w:pPr>
        <w:rPr>
          <w:rFonts w:ascii="Helvetica Neue" w:cs="Helvetica Neue" w:eastAsia="Helvetica Neue" w:hAnsi="Helvetica Neue"/>
        </w:rPr>
      </w:pPr>
      <w:r>
        <w:rPr>
          <w:rtl w:val="0"/>
        </w:rPr>
      </w:r>
    </w:p>
    <w:p w14:paraId="00000010">
      <w:pPr>
        <w:rPr>
          <w:rFonts w:ascii="Helvetica Neue" w:cs="Helvetica Neue" w:eastAsia="Helvetica Neue" w:hAnsi="Helvetica Neue"/>
        </w:rPr>
      </w:pPr>
      <w:r>
        <w:rPr>
          <w:rtl w:val="0"/>
        </w:rPr>
      </w:r>
    </w:p>
    <w:p w14:paraId="00000011">
      <w:pPr>
        <w:rPr>
          <w:rFonts w:ascii="Helvetica Neue" w:cs="Helvetica Neue" w:eastAsia="Helvetica Neue" w:hAnsi="Helvetica Neue"/>
        </w:rPr>
      </w:pPr>
      <w:r>
        <w:rPr>
          <w:rtl w:val="0"/>
        </w:rPr>
      </w:r>
    </w:p>
    <w:p w14:paraId="00000012">
      <w:pPr>
        <w:rPr>
          <w:rFonts w:ascii="Helvetica Neue" w:cs="Helvetica Neue" w:eastAsia="Helvetica Neue" w:hAnsi="Helvetica Neue"/>
        </w:rPr>
      </w:pPr>
      <w:r>
        <w:rPr>
          <w:rtl w:val="0"/>
        </w:rPr>
      </w:r>
    </w:p>
    <w:p w14:paraId="00000013">
      <w:pPr>
        <w:rPr>
          <w:rFonts w:ascii="Helvetica Neue" w:cs="Helvetica Neue" w:eastAsia="Helvetica Neue" w:hAnsi="Helvetica Neue"/>
        </w:rPr>
      </w:pPr>
      <w:r>
        <w:rPr>
          <w:rtl w:val="0"/>
        </w:rPr>
      </w:r>
    </w:p>
    <w:p w14:paraId="00000014">
      <w:pPr>
        <w:rPr>
          <w:rFonts w:ascii="Helvetica Neue" w:cs="Helvetica Neue" w:eastAsia="Helvetica Neue" w:hAnsi="Helvetica Neue"/>
        </w:rPr>
      </w:pPr>
      <w:r>
        <w:rPr>
          <w:rtl w:val="0"/>
        </w:rPr>
      </w:r>
    </w:p>
    <w:tbl>
      <w:tblPr>
        <w:tblStyle w:val="Table1"/>
        <w:tblW w:w="10400.0" w:type="dxa"/>
        <w:jc w:val="center"/>
        <w:tblLayout w:type="fixed"/>
        <w:tblLook w:val="0600"/>
      </w:tblPr>
      <w:tblGrid>
        <w:gridCol w:w="3200"/>
        <w:gridCol w:w="400"/>
        <w:gridCol w:w="3200"/>
        <w:gridCol w:w="400"/>
        <w:gridCol w:w="3200"/>
        <w:tblGridChange w:id="0">
          <w:tblGrid>
            <w:gridCol w:w="3200"/>
            <w:gridCol w:w="400"/>
            <w:gridCol w:w="3200"/>
            <w:gridCol w:w="400"/>
            <w:gridCol w:w="3200"/>
          </w:tblGrid>
        </w:tblGridChange>
      </w:tblGrid>
      <w:tr>
        <w:trPr>
          <w:cantSplit w:val="0"/>
          <w:tblHeader w:val="0"/>
        </w:trPr>
        <w:tc>
          <w:tcPr/>
          <w:p>
            <w:r>
              <w:t>STATUS</w:t>
              <w:br/>
              <w:t>Proposed</w:t>
            </w:r>
          </w:p>
        </w:tc>
        <w:tc>
          <w:tcPr/>
          <w:p>
            <w:r/>
          </w:p>
        </w:tc>
        <w:tc>
          <w:tcPr/>
          <w:p>
            <w:r>
              <w:t>OWNER</w:t>
              <w:br/>
              <w:t>Product + Engineering</w:t>
            </w:r>
          </w:p>
        </w:tc>
        <w:tc>
          <w:tcPr/>
          <w:p>
            <w:r/>
          </w:p>
        </w:tc>
        <w:tc>
          <w:tcPr/>
          <w:p>
            <w:r>
              <w:t>LAST UPDATED</w:t>
              <w:br/>
              <w:t>July 30, 2026</w:t>
            </w:r>
          </w:p>
        </w:tc>
      </w:tr>
    </w:tbl>
    <w:p w14:paraId="0000001D">
      <w:pPr>
        <w:spacing w:after="110" w:line="300" w:lineRule="auto"/>
        <w:rPr>
          <w:rFonts w:ascii="Helvetica Neue" w:cs="Helvetica Neue" w:eastAsia="Helvetica Neue" w:hAnsi="Helvetica Neue"/>
        </w:rPr>
      </w:pPr>
      <w:r>
        <w:rPr>
          <w:rtl w:val="0"/>
        </w:rPr>
      </w:r>
    </w:p>
    <w:tbl>
      <w:tblPr>
        <w:tblStyle w:val="Table2"/>
        <w:tblW w:w="10155.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1815"/>
        <w:gridCol w:w="8340"/>
        <w:tblGridChange w:id="0">
          <w:tblGrid>
            <w:gridCol w:w="1815"/>
            <w:gridCol w:w="8340"/>
          </w:tblGrid>
        </w:tblGridChange>
      </w:tblGrid>
      <w:tr>
        <w:trPr>
          <w:cantSplit w:val="1"/>
          <w:tblHeader w:val="0"/>
        </w:trPr>
        <w:tc>
          <w:tcPr>
            <w:shd w:fill="cfe2f3" w:val="clear"/>
            <w:tcMar>
              <w:top w:w="110.0" w:type="dxa"/>
              <w:left w:w="120.0" w:type="dxa"/>
              <w:bottom w:w="110.0" w:type="dxa"/>
              <w:right w:w="120.0" w:type="dxa"/>
            </w:tcMar>
            <w:vAlign w:val="center"/>
          </w:tcPr>
          <w:p>
            <w:r>
              <w:t>Authors</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Product Owner and Codex</w:t>
            </w:r>
          </w:p>
        </w:tc>
      </w:tr>
      <w:tr>
        <w:trPr>
          <w:cantSplit w:val="1"/>
          <w:trHeight w:val="404.3103027343749" w:hRule="atLeast"/>
          <w:tblHeader w:val="0"/>
        </w:trPr>
        <w:tc>
          <w:tcPr>
            <w:shd w:fill="cfe2f3" w:val="clear"/>
            <w:tcMar>
              <w:top w:w="110.0" w:type="dxa"/>
              <w:left w:w="120.0" w:type="dxa"/>
              <w:bottom w:w="110.0" w:type="dxa"/>
              <w:right w:w="120.0" w:type="dxa"/>
            </w:tcMar>
            <w:vAlign w:val="center"/>
          </w:tcPr>
          <w:p>
            <w:r>
              <w:t>Reviewers</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Frontend, Backend, Reviewer/Critic, QA</w:t>
            </w:r>
          </w:p>
        </w:tc>
      </w:tr>
      <w:tr>
        <w:trPr>
          <w:cantSplit w:val="1"/>
          <w:tblHeader w:val="0"/>
        </w:trPr>
        <w:tc>
          <w:tcPr>
            <w:shd w:fill="cfe2f3" w:val="clear"/>
            <w:tcMar>
              <w:top w:w="110.0" w:type="dxa"/>
              <w:left w:w="120.0" w:type="dxa"/>
              <w:bottom w:w="110.0" w:type="dxa"/>
              <w:right w:w="120.0" w:type="dxa"/>
            </w:tcMar>
            <w:vAlign w:val="center"/>
          </w:tcPr>
          <w:p>
            <w:r>
              <w:t>Related docs</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AUTOFLEX_DESIGN_REPORT.docx; README.md; docs/RELEASE_CHECKLIST.md</w:t>
            </w:r>
          </w:p>
        </w:tc>
      </w:tr>
      <w:tr>
        <w:trPr>
          <w:cantSplit w:val="1"/>
          <w:tblHeader w:val="0"/>
        </w:trPr>
        <w:tc>
          <w:tcPr>
            <w:shd w:fill="cfe2f3" w:val="clear"/>
            <w:tcMar>
              <w:top w:w="110.0" w:type="dxa"/>
              <w:left w:w="120.0" w:type="dxa"/>
              <w:bottom w:w="110.0" w:type="dxa"/>
              <w:right w:w="120.0" w:type="dxa"/>
            </w:tcMar>
            <w:vAlign w:val="center"/>
          </w:tcPr>
          <w:p>
            <w:r>
              <w:t>Scope</w:t>
            </w:r>
          </w:p>
        </w:tc>
        <w:tc>
          <w:tcPr>
            <w:tcBorders>
              <w:top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Client experience, local persistence, API boundary, and production deployment path</w:t>
            </w:r>
          </w:p>
        </w:tc>
      </w:tr>
    </w:tbl>
    <w:p w14:paraId="00000026">
      <w:pPr>
        <w:pStyle w:val="Heading1"/>
        <w:pBdr>
          <w:top w:color="2f6b9a" w:space="2" w:sz="0" w:val="none"/>
          <w:left w:color="2f6b9a" w:space="2" w:sz="0" w:val="none"/>
          <w:bottom w:color="2f6b9a" w:space="2" w:sz="0" w:val="none"/>
          <w:right w:color="2f6b9a" w:space="2" w:sz="0" w:val="none"/>
        </w:pBdr>
        <w:spacing w:after="130" w:before="0" w:line="285" w:lineRule="auto"/>
        <w:rPr>
          <w:rFonts w:ascii="Helvetica Neue" w:cs="Helvetica Neue" w:eastAsia="Helvetica Neue" w:hAnsi="Helvetica Neue"/>
          <w:color w:val="000000"/>
        </w:rPr>
      </w:pPr>
      <w:r>
        <w:t>1.  Abstract</w:t>
      </w:r>
    </w:p>
    <w:p w14:paraId="00000027">
      <w:pPr>
        <w:spacing w:after="110" w:line="300" w:lineRule="auto"/>
        <w:jc w:val="both"/>
        <w:rPr>
          <w:rFonts w:ascii="Helvetica Neue" w:cs="Helvetica Neue" w:eastAsia="Helvetica Neue" w:hAnsi="Helvetica Neue"/>
        </w:rPr>
      </w:pPr>
      <w:r>
        <w:t>Autoflex is a responsive React and Vite web application for vehicle ownership, purchase comparison, service records, and owner evidence. The client is intentionally usable without a hosted account, stores current user state in the browser, and ships a generated service worker that precaches the exact production app shell.</w:t>
      </w:r>
    </w:p>
    <w:p w14:paraId="00000028">
      <w:pPr>
        <w:spacing w:after="110" w:line="300" w:lineRule="auto"/>
        <w:jc w:val="both"/>
        <w:rPr>
          <w:rFonts w:ascii="Helvetica Neue" w:cs="Helvetica Neue" w:eastAsia="Helvetica Neue" w:hAnsi="Helvetica Neue"/>
        </w:rPr>
      </w:pPr>
      <w:r>
        <w:t>A TypeScript Fastify API provides health, profile, feedback, and moderation boundaries. JSON persistence is suitable for staging only; a durable production database and authenticated identity remain launch dependencies for hosted synchronization.</w:t>
      </w:r>
    </w:p>
    <w:p w14:paraId="00000029">
      <w:pPr>
        <w:spacing w:after="0" w:line="120" w:lineRule="auto"/>
        <w:jc w:val="both"/>
        <w:rPr>
          <w:rFonts w:ascii="Helvetica Neue" w:cs="Helvetica Neue" w:eastAsia="Helvetica Neue" w:hAnsi="Helvetica Neue"/>
        </w:rPr>
      </w:pPr>
      <w:r>
        <w:rPr>
          <w:rtl w:val="0"/>
        </w:rPr>
      </w:r>
    </w:p>
    <w:p w14:paraId="0000002A">
      <w:pPr>
        <w:pStyle w:val="Heading1"/>
        <w:rPr>
          <w:rFonts w:ascii="Helvetica Neue" w:cs="Helvetica Neue" w:eastAsia="Helvetica Neue" w:hAnsi="Helvetica Neue"/>
        </w:rPr>
      </w:pPr>
      <w:r>
        <w:t>2.  Goals and Non-Goals</w:t>
      </w:r>
    </w:p>
    <w:tbl>
      <w:tblPr>
        <w:tblStyle w:val="Table3"/>
        <w:tblW w:w="10224.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5112"/>
        <w:gridCol w:w="5112"/>
        <w:tblGridChange w:id="0">
          <w:tblGrid>
            <w:gridCol w:w="5112"/>
            <w:gridCol w:w="5112"/>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Goals</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Non-goals</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Understandable four-screen product flow</w:t>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A broad social network or content publishing platform</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Reliable local-first ownership workflows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Claiming cross-device sync before it exists</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Typed API boundary with guarded admin routes</w:t>
            </w:r>
          </w:p>
        </w:tc>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Using JSON persistence as a public-scale database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Repeatable release checks and deployment ownership</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Replacing every legacy Kotlin path in this change</w:t>
            </w:r>
          </w:p>
        </w:tc>
      </w:tr>
    </w:tbl>
    <w:p w14:paraId="00000035">
      <w:pPr>
        <w:pStyle w:val="Heading1"/>
        <w:spacing w:before="0" w:line="216" w:lineRule="auto"/>
        <w:rPr>
          <w:rFonts w:ascii="Helvetica Neue" w:cs="Helvetica Neue" w:eastAsia="Helvetica Neue" w:hAnsi="Helvetica Neue"/>
          <w:color w:val="000000"/>
        </w:rPr>
      </w:pPr>
      <w:r>
        <w:rPr>
          <w:rtl w:val="0"/>
        </w:rPr>
      </w:r>
    </w:p>
    <w:p w14:paraId="00000036">
      <w:pPr>
        <w:pStyle w:val="Heading1"/>
        <w:rPr>
          <w:rFonts w:ascii="Helvetica Neue" w:cs="Helvetica Neue" w:eastAsia="Helvetica Neue" w:hAnsi="Helvetica Neue"/>
        </w:rPr>
      </w:pPr>
      <w:r>
        <w:t>3.  Background and Problem Statement</w:t>
      </w:r>
    </w:p>
    <w:p w14:paraId="00000037">
      <w:pPr>
        <w:spacing w:after="110" w:line="300" w:lineRule="auto"/>
        <w:jc w:val="both"/>
        <w:rPr>
          <w:rFonts w:ascii="Helvetica Neue" w:cs="Helvetica Neue" w:eastAsia="Helvetica Neue" w:hAnsi="Helvetica Neue"/>
        </w:rPr>
      </w:pPr>
      <w:r>
        <w:t>The earlier product exposed multiple useful features in one long page and mixed local data with future hosted capabilities. This made navigation, persistence expectations, and the operational deployment path harder to understand.</w:t>
      </w:r>
    </w:p>
    <w:p w14:paraId="00000038">
      <w:pPr>
        <w:spacing w:after="110" w:line="300" w:lineRule="auto"/>
        <w:jc w:val="both"/>
        <w:rPr>
          <w:rFonts w:ascii="Helvetica Neue" w:cs="Helvetica Neue" w:eastAsia="Helvetica Neue" w:hAnsi="Helvetica Neue"/>
          <w:color w:val="000000"/>
        </w:rPr>
      </w:pPr>
      <w:r>
        <w:t>The system boundary is explicit: the browser owns the current interactive experience and local state; the API owns validated hosted capabilities. UI availability states must reflect whether the API is reachable and must never imply synchronization that has not occurred.</w:t>
      </w:r>
    </w:p>
    <w:p w14:paraId="00000039">
      <w:pPr>
        <w:pStyle w:val="Heading1"/>
        <w:rPr>
          <w:rFonts w:ascii="Helvetica Neue" w:cs="Helvetica Neue" w:eastAsia="Helvetica Neue" w:hAnsi="Helvetica Neue"/>
        </w:rPr>
      </w:pPr>
      <w:r>
        <w:t>4.  Proposed Architecture</w:t>
      </w:r>
    </w:p>
    <w:p w14:paraId="0000003A">
      <w:pPr>
        <w:spacing w:after="0" w:line="144" w:lineRule="auto"/>
        <w:rPr>
          <w:rFonts w:ascii="Helvetica Neue" w:cs="Helvetica Neue" w:eastAsia="Helvetica Neue" w:hAnsi="Helvetica Neue"/>
        </w:rPr>
      </w:pPr>
      <w:r>
        <w:rPr>
          <w:rtl w:val="0"/>
        </w:rPr>
      </w:r>
    </w:p>
    <w:p w14:paraId="0000003B">
      <w:pPr>
        <w:rPr>
          <w:rFonts w:ascii="Helvetica Neue" w:cs="Helvetica Neue" w:eastAsia="Helvetica Neue" w:hAnsi="Helvetica Neue"/>
        </w:rPr>
      </w:pPr>
      <w:r>
        <w:rPr>
          <w:rFonts w:ascii="Helvetica Neue" w:cs="Helvetica Neue" w:eastAsia="Helvetica Neue" w:hAnsi="Helvetica Neue"/>
        </w:rPr>
        <w:drawing>
          <wp:inline distB="0" distT="0" distL="0" distR="0">
            <wp:extent cx="6126480" cy="3139821"/>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126480" cy="3139821"/>
                    </a:xfrm>
                    <a:prstGeom prst="rect"/>
                    <a:ln/>
                  </pic:spPr>
                </pic:pic>
              </a:graphicData>
            </a:graphic>
          </wp:inline>
        </w:drawing>
      </w:r>
      <w:r>
        <w:rPr>
          <w:rtl w:val="0"/>
        </w:rPr>
      </w:r>
    </w:p>
    <w:p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0" w:lineRule="auto"/>
        <w:ind w:left="0" w:right="0" w:firstLine="0"/>
        <w:jc w:val="left"/>
        <w:rPr>
          <w:rFonts w:ascii="Helvetica Neue" w:cs="Helvetica Neue" w:eastAsia="Helvetica Neue" w:hAnsi="Helvetica Neue"/>
          <w:color w:val="082a4a"/>
        </w:rPr>
      </w:pPr>
      <w:r>
        <w:t>Figure 1. Autoflex product architecture and deployment boundary.</w:t>
      </w:r>
    </w:p>
    <w:p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70" w:lineRule="auto"/>
        <w:ind w:left="0" w:right="0" w:firstLine="0"/>
        <w:jc w:val="left"/>
        <w:rPr>
          <w:rFonts w:ascii="Helvetica Neue" w:cs="Helvetica Neue" w:eastAsia="Helvetica Neue" w:hAnsi="Helvetica Neue"/>
          <w:color w:val="082a4a"/>
        </w:rPr>
      </w:pPr>
      <w:r>
        <w:rPr>
          <w:rtl w:val="0"/>
        </w:rPr>
      </w:r>
    </w:p>
    <w:p w14:paraId="0000003E">
      <w:pPr>
        <w:pStyle w:val="Heading3"/>
        <w:spacing w:after="90" w:line="280" w:lineRule="auto"/>
        <w:rPr/>
      </w:pPr>
      <w:r>
        <w:t>Core components</w:t>
      </w:r>
    </w:p>
    <w:p w14:paraId="0000003F">
      <w:pPr>
        <w:spacing w:after="0" w:before="20" w:line="240" w:lineRule="auto"/>
        <w:rPr>
          <w:rFonts w:ascii="Helvetica Neue" w:cs="Helvetica Neue" w:eastAsia="Helvetica Neue" w:hAnsi="Helvetica Neue"/>
          <w:sz w:val="16"/>
          <w:szCs w:val="16"/>
        </w:rPr>
      </w:pPr>
      <w:r>
        <w:rPr>
          <w:rtl w:val="0"/>
        </w:rPr>
      </w:r>
    </w:p>
    <w:tbl>
      <w:tblPr>
        <w:tblStyle w:val="Table4"/>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268"/>
        <w:gridCol w:w="3164"/>
        <w:gridCol w:w="2374"/>
        <w:gridCol w:w="2634"/>
        <w:tblGridChange w:id="0">
          <w:tblGrid>
            <w:gridCol w:w="2268"/>
            <w:gridCol w:w="3164"/>
            <w:gridCol w:w="2374"/>
            <w:gridCol w:w="2634"/>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Component</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Responsibility</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Primary storage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Failure behavior</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React client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Screens, forms, accessibility, derived decisions</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Browser memory</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Shows local fallback state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Domain helpers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Insights, comparisons, reminders, validation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Typed records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Rejects invalid or incomplete input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Local persistence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Retain user-owned state across sessions</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localStorage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Falls back to seeded defaults</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Fastify API</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Health, profile, feedback, moderation boundary</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Memory or JSON bridge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Normalized errors; admin fails closed</w:t>
            </w:r>
          </w:p>
        </w:tc>
      </w:tr>
      <w:tr>
        <w:trPr>
          <w:cantSplit w:val="1"/>
          <w:trHeight w:val="58" w:hRule="atLeast"/>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Deployment + offline shell</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Serve client, headers, and versioned cache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Vercel plus browser Cache API</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Last valid shell remains available offline</w:t>
            </w:r>
          </w:p>
        </w:tc>
      </w:tr>
    </w:tbl>
    <w:p w14:paraId="00000058">
      <w:pPr>
        <w:pStyle w:val="Heading1"/>
        <w:spacing w:before="0" w:line="120" w:lineRule="auto"/>
        <w:rPr>
          <w:rFonts w:ascii="Helvetica Neue" w:cs="Helvetica Neue" w:eastAsia="Helvetica Neue" w:hAnsi="Helvetica Neue"/>
          <w:color w:val="000000"/>
        </w:rPr>
      </w:pPr>
      <w:r>
        <w:rPr>
          <w:rtl w:val="0"/>
        </w:rPr>
      </w:r>
    </w:p>
    <w:p w14:paraId="00000059">
      <w:pPr>
        <w:pStyle w:val="Heading1"/>
        <w:spacing w:before="0" w:line="120" w:lineRule="auto"/>
        <w:rPr>
          <w:rFonts w:ascii="Helvetica Neue" w:cs="Helvetica Neue" w:eastAsia="Helvetica Neue" w:hAnsi="Helvetica Neue"/>
          <w:color w:val="000000"/>
        </w:rPr>
      </w:pPr>
      <w:r>
        <w:rPr>
          <w:rtl w:val="0"/>
        </w:rPr>
      </w:r>
    </w:p>
    <w:p w14:paraId="0000005A">
      <w:pPr>
        <w:pStyle w:val="Heading1"/>
        <w:rPr>
          <w:rFonts w:ascii="Helvetica Neue" w:cs="Helvetica Neue" w:eastAsia="Helvetica Neue" w:hAnsi="Helvetica Neue"/>
        </w:rPr>
      </w:pPr>
      <w:r>
        <w:t>5.  Request Lifecycle</w:t>
      </w:r>
    </w:p>
    <w:p w14:paraId="000000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1. The generated service worker serves the versioned app shell when available; the Vite bundle then hydrates profile, garage, shortlist, notes, and preference state from browser storage.</w:t>
      </w:r>
    </w:p>
    <w:p w14:paraId="0000005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2. Local data is parsed through typed domain models; invalid values fall back to seeded defaults rather than breaking the app shell.</w:t>
      </w:r>
    </w:p>
    <w:p w14:paraId="0000005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3. The active workspace derives readouts and next actions from current vehicle, evidence, and reminder state.</w:t>
      </w:r>
    </w:p>
    <w:p w14:paraId="0000005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4. A user action updates React state and persists the corresponding local record before the next screen is rendered.</w:t>
      </w:r>
    </w:p>
    <w:p w14:paraId="0000005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5. Hosted requests are attempted only for capabilities with an explicit API contract and visible availability state.</w:t>
      </w:r>
    </w:p>
    <w:p w14:paraId="0000006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6. The Fastify boundary validates roles and administrative credentials, then normalizes errors without leaking internals.</w:t>
      </w:r>
    </w:p>
    <w:p w14:paraId="0000006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7. Release telemetry currently consists of build checks, API health, deployment status, and browser smoke evidence; production observability remains an open launch item.</w:t>
      </w:r>
    </w:p>
    <w:p w14:paraId="00000062">
      <w:pPr>
        <w:pStyle w:val="Heading1"/>
        <w:spacing w:before="0" w:line="168" w:lineRule="auto"/>
        <w:rPr>
          <w:rFonts w:ascii="Helvetica Neue" w:cs="Helvetica Neue" w:eastAsia="Helvetica Neue" w:hAnsi="Helvetica Neue"/>
          <w:color w:val="000000"/>
        </w:rPr>
      </w:pPr>
      <w:r>
        <w:rPr>
          <w:rtl w:val="0"/>
        </w:rPr>
      </w:r>
    </w:p>
    <w:p w14:paraId="00000063">
      <w:pPr>
        <w:pStyle w:val="Heading1"/>
        <w:rPr>
          <w:rFonts w:ascii="Helvetica Neue" w:cs="Helvetica Neue" w:eastAsia="Helvetica Neue" w:hAnsi="Helvetica Neue"/>
        </w:rPr>
      </w:pPr>
      <w:r>
        <w:t>6.  API and Data Contracts</w:t>
      </w:r>
    </w:p>
    <w:p w14:paraId="00000064">
      <w:pPr>
        <w:pStyle w:val="Heading3"/>
        <w:spacing w:after="90" w:line="280" w:lineRule="auto"/>
        <w:rPr/>
      </w:pPr>
      <w:r>
        <w:t>Primary data contract</w:t>
      </w:r>
    </w:p>
    <w:p w14:paraId="00000065">
      <w:pPr>
        <w:spacing w:after="0" w:line="192" w:lineRule="auto"/>
        <w:rPr>
          <w:rFonts w:ascii="Helvetica Neue" w:cs="Helvetica Neue" w:eastAsia="Helvetica Neue" w:hAnsi="Helvetica Neue"/>
          <w:sz w:val="16"/>
          <w:szCs w:val="16"/>
        </w:rPr>
      </w:pPr>
      <w:r>
        <w:rPr>
          <w:rtl w:val="0"/>
        </w:rPr>
      </w:r>
    </w:p>
    <w:tbl>
      <w:tblPr>
        <w:tblStyle w:val="Table5"/>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344"/>
        <w:gridCol w:w="1921"/>
        <w:gridCol w:w="1873"/>
        <w:gridCol w:w="4302"/>
        <w:tblGridChange w:id="0">
          <w:tblGrid>
            <w:gridCol w:w="2344"/>
            <w:gridCol w:w="1921"/>
            <w:gridCol w:w="1873"/>
            <w:gridCol w:w="4302"/>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Field</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Type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Required</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Description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id</w:t>
            </w:r>
          </w:p>
        </w:tc>
        <w:tc>
          <w:tcPr>
            <w:tcBorders>
              <w:top w:color="ffffff" w:space="0" w:sz="6" w:val="single"/>
              <w:left w:color="ffffff" w:space="0" w:sz="6" w:val="single"/>
              <w:bottom w:color="ffffff" w:space="0" w:sz="6" w:val="single"/>
              <w:right w:color="ffffff" w:space="0" w:sz="6" w:val="single"/>
            </w:tcBorders>
            <w:tcMar>
              <w:top w:w="110.0" w:type="dxa"/>
              <w:left w:w="120.0" w:type="dxa"/>
              <w:bottom w:w="110.0" w:type="dxa"/>
              <w:right w:w="120.0" w:type="dxa"/>
            </w:tcMar>
            <w:vAlign w:val="center"/>
          </w:tcPr>
          <w:p>
            <w:r>
              <w:t>string</w:t>
            </w:r>
          </w:p>
        </w:tc>
        <w:tc>
          <w:tcPr>
            <w:tcBorders>
              <w:top w:color="ffffff" w:space="0" w:sz="6" w:val="single"/>
              <w:left w:color="ffffff" w:space="0" w:sz="6" w:val="single"/>
              <w:bottom w:color="ffffff" w:space="0" w:sz="6" w:val="single"/>
              <w:right w:color="ffffff" w:space="0" w:sz="6" w:val="single"/>
            </w:tcBorders>
            <w:tcMar>
              <w:top w:w="110.0" w:type="dxa"/>
              <w:left w:w="120.0" w:type="dxa"/>
              <w:bottom w:w="110.0" w:type="dxa"/>
              <w:right w:w="120.0" w:type="dxa"/>
            </w:tcMar>
            <w:vAlign w:val="center"/>
          </w:tcPr>
          <w:p>
            <w:r>
              <w:t>Yes</w:t>
            </w:r>
          </w:p>
        </w:tc>
        <w:tc>
          <w:tcPr>
            <w:tcBorders>
              <w:top w:color="ffffff" w:space="0" w:sz="6" w:val="single"/>
              <w:left w:color="ffffff" w:space="0" w:sz="6" w:val="single"/>
              <w:bottom w:color="ffffff" w:space="0" w:sz="6" w:val="single"/>
              <w:right w:color="ffffff" w:space="0" w:sz="6" w:val="single"/>
            </w:tcBorders>
            <w:tcMar>
              <w:top w:w="110.0" w:type="dxa"/>
              <w:left w:w="120.0" w:type="dxa"/>
              <w:bottom w:w="110.0" w:type="dxa"/>
              <w:right w:w="120.0" w:type="dxa"/>
            </w:tcMar>
            <w:vAlign w:val="center"/>
          </w:tcPr>
          <w:p>
            <w:r>
              <w:t>Stable client or server entity identifier</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vehicleId</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string</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By record</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Associates reminders and timeline entries to a vehicle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profile.role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enum</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Yes</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Validated owner, buyer, mechanic, or dealer role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status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enum</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By entity</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Tracks shortlist or operational state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createdAt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ISO timestamp</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For hosted writes</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Supports ordering and future audit</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payload</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typed object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Yes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Validated domain-specific record</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schemaVersion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integer</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For sync</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Enables migration and compatibility checks</w:t>
            </w:r>
          </w:p>
        </w:tc>
      </w:tr>
    </w:tbl>
    <w:p w14:paraId="00000086">
      <w:pPr>
        <w:spacing w:after="0" w:line="192" w:lineRule="auto"/>
        <w:rPr>
          <w:rFonts w:ascii="Helvetica Neue" w:cs="Helvetica Neue" w:eastAsia="Helvetica Neue" w:hAnsi="Helvetica Neue"/>
          <w:sz w:val="16"/>
          <w:szCs w:val="16"/>
        </w:rPr>
      </w:pPr>
      <w:r>
        <w:rPr>
          <w:rtl w:val="0"/>
        </w:rPr>
      </w:r>
    </w:p>
    <w:p w14:paraId="00000087">
      <w:pPr>
        <w:pStyle w:val="Heading3"/>
        <w:spacing w:after="90" w:line="280" w:lineRule="auto"/>
        <w:rPr/>
      </w:pPr>
      <w:r>
        <w:t>Contract guarantees</w:t>
      </w:r>
    </w:p>
    <w:p w14:paraId="00000088">
      <w:pPr>
        <w:spacing w:after="0" w:line="192" w:lineRule="auto"/>
        <w:rPr>
          <w:rFonts w:ascii="Helvetica Neue" w:cs="Helvetica Neue" w:eastAsia="Helvetica Neue" w:hAnsi="Helvetica Neue"/>
          <w:sz w:val="16"/>
          <w:szCs w:val="16"/>
        </w:rPr>
      </w:pPr>
      <w:r>
        <w:rPr>
          <w:rtl w:val="0"/>
        </w:rPr>
      </w:r>
    </w:p>
    <w:p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5" w:before="0" w:line="290" w:lineRule="auto"/>
        <w:ind w:left="720" w:right="0" w:hanging="360"/>
        <w:jc w:val="both"/>
        <w:rPr>
          <w:rFonts w:ascii="Helvetica Neue" w:cs="Helvetica Neue" w:eastAsia="Helvetica Neue" w:hAnsi="Helvetica Neue"/>
        </w:rPr>
      </w:pPr>
      <w:r>
        <w:t>Client-local records remain authoritative until a documented synchronization protocol is introduced.</w:t>
      </w:r>
    </w:p>
    <w:p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5" w:before="0" w:line="290" w:lineRule="auto"/>
        <w:ind w:left="720" w:right="0" w:hanging="360"/>
        <w:jc w:val="both"/>
        <w:rPr>
          <w:rFonts w:ascii="Helvetica Neue" w:cs="Helvetica Neue" w:eastAsia="Helvetica Neue" w:hAnsi="Helvetica Neue"/>
        </w:rPr>
      </w:pPr>
      <w:r>
        <w:t>Identifiers are stable per entity; writes replace or append the matching typed record.</w:t>
      </w:r>
    </w:p>
    <w:p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5" w:before="0" w:line="290" w:lineRule="auto"/>
        <w:ind w:left="720" w:right="0" w:hanging="360"/>
        <w:jc w:val="both"/>
        <w:rPr>
          <w:rFonts w:ascii="Helvetica Neue" w:cs="Helvetica Neue" w:eastAsia="Helvetica Neue" w:hAnsi="Helvetica Neue"/>
        </w:rPr>
      </w:pPr>
      <w:r>
        <w:t>Profile roles are validated at the API boundary and moderation routes require an administrative token.</w:t>
      </w:r>
    </w:p>
    <w:p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5" w:before="0" w:line="290" w:lineRule="auto"/>
        <w:ind w:left="720" w:right="0" w:hanging="360"/>
        <w:jc w:val="both"/>
        <w:rPr>
          <w:rFonts w:ascii="Helvetica Neue" w:cs="Helvetica Neue" w:eastAsia="Helvetica Neue" w:hAnsi="Helvetica Neue"/>
        </w:rPr>
      </w:pPr>
      <w:r>
        <w:t>The staging JSON file is not a public-scale source of truth and must not be represented as one.</w:t>
      </w:r>
    </w:p>
    <w:p w14:paraId="0000008D">
      <w:pPr>
        <w:spacing w:after="110" w:line="300" w:lineRule="auto"/>
        <w:rPr>
          <w:rFonts w:ascii="Helvetica Neue" w:cs="Helvetica Neue" w:eastAsia="Helvetica Neue" w:hAnsi="Helvetica Neue"/>
        </w:rPr>
      </w:pPr>
      <w:r>
        <w:t>The current interface is implemented in server-ts/app.ts and covered by server-ts/app.test.ts.</w:t>
      </w:r>
    </w:p>
    <w:p w14:paraId="0000008E">
      <w:pPr>
        <w:spacing w:after="110" w:line="300" w:lineRule="auto"/>
        <w:rPr>
          <w:rFonts w:ascii="Helvetica Neue" w:cs="Helvetica Neue" w:eastAsia="Helvetica Neue" w:hAnsi="Helvetica Neue"/>
        </w:rPr>
      </w:pPr>
      <w:r>
        <w:t>Any hosted client integration must version its payloads and surface offline, local-only, syncing, and failed states.</w:t>
      </w:r>
    </w:p>
    <w:p w14:paraId="0000008F">
      <w:pPr>
        <w:pStyle w:val="Heading1"/>
        <w:spacing w:before="0" w:line="120" w:lineRule="auto"/>
        <w:rPr>
          <w:rFonts w:ascii="Helvetica Neue" w:cs="Helvetica Neue" w:eastAsia="Helvetica Neue" w:hAnsi="Helvetica Neue"/>
          <w:color w:val="000000"/>
        </w:rPr>
      </w:pPr>
      <w:r>
        <w:rPr>
          <w:rtl w:val="0"/>
        </w:rPr>
      </w:r>
    </w:p>
    <w:p w14:paraId="00000090">
      <w:pPr>
        <w:pStyle w:val="Heading1"/>
        <w:rPr>
          <w:rFonts w:ascii="Helvetica Neue" w:cs="Helvetica Neue" w:eastAsia="Helvetica Neue" w:hAnsi="Helvetica Neue"/>
        </w:rPr>
      </w:pPr>
      <w:r>
        <w:t>7. Consistency, Idempotency, and Replay</w:t>
      </w:r>
    </w:p>
    <w:p w14:paraId="00000091">
      <w:pPr>
        <w:spacing w:after="0" w:line="96" w:lineRule="auto"/>
        <w:rPr>
          <w:rFonts w:ascii="Helvetica Neue" w:cs="Helvetica Neue" w:eastAsia="Helvetica Neue" w:hAnsi="Helvetica Neue"/>
        </w:rPr>
      </w:pPr>
      <w:r>
        <w:rPr>
          <w:rtl w:val="0"/>
        </w:rPr>
      </w:r>
    </w:p>
    <w:p w14:paraId="00000092">
      <w:pPr>
        <w:spacing w:after="110" w:line="300" w:lineRule="auto"/>
        <w:jc w:val="both"/>
        <w:rPr>
          <w:rFonts w:ascii="Helvetica Neue" w:cs="Helvetica Neue" w:eastAsia="Helvetica Neue" w:hAnsi="Helvetica Neue"/>
        </w:rPr>
      </w:pPr>
      <w:r>
        <w:t>Local actions are synchronous from the user’s perspective and persist before confirmation text is shown. Future hosted mutations should use client-generated identifiers and idempotency keys so retries do not duplicate service records, notes, or feedback.</w:t>
      </w:r>
    </w:p>
    <w:tbl>
      <w:tblPr>
        <w:tblStyle w:val="Table6"/>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37"/>
        <w:gridCol w:w="3722"/>
        <w:gridCol w:w="3381"/>
        <w:tblGridChange w:id="0">
          <w:tblGrid>
            <w:gridCol w:w="3337"/>
            <w:gridCol w:w="3722"/>
            <w:gridCol w:w="3381"/>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Scenario</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Expected behavior</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Reasoning</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Repeated local action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Stable entity id prevents duplicate replacement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Keeps the user’s ledger predictable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Persistence write fails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Keep current screen usable and surface failure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Avoids false confirmation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Hosted API unavailable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Continue local-only and show availability state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Preserves core ownership workflows</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Configuration changes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Current request uses the loaded configuration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Prevents mid-action behavior changes</w:t>
            </w:r>
          </w:p>
        </w:tc>
      </w:tr>
    </w:tbl>
    <w:p w14:paraId="000000A2">
      <w:pPr>
        <w:pStyle w:val="Heading1"/>
        <w:spacing w:before="0" w:line="269" w:lineRule="auto"/>
        <w:rPr>
          <w:rFonts w:ascii="Helvetica Neue" w:cs="Helvetica Neue" w:eastAsia="Helvetica Neue" w:hAnsi="Helvetica Neue"/>
          <w:color w:val="000000"/>
        </w:rPr>
      </w:pPr>
      <w:r>
        <w:rPr>
          <w:rtl w:val="0"/>
        </w:rPr>
      </w:r>
    </w:p>
    <w:p w14:paraId="000000A3">
      <w:pPr>
        <w:pStyle w:val="Heading1"/>
        <w:rPr>
          <w:rFonts w:ascii="Helvetica Neue" w:cs="Helvetica Neue" w:eastAsia="Helvetica Neue" w:hAnsi="Helvetica Neue"/>
        </w:rPr>
      </w:pPr>
      <w:r>
        <w:t>8. Security and Privacy Considerations</w:t>
      </w:r>
    </w:p>
    <w:p w14:paraId="000000A4">
      <w:pPr>
        <w:spacing w:after="0" w:line="96" w:lineRule="auto"/>
        <w:rPr>
          <w:rFonts w:ascii="Helvetica Neue" w:cs="Helvetica Neue" w:eastAsia="Helvetica Neue" w:hAnsi="Helvetica Neue"/>
        </w:rPr>
      </w:pPr>
      <w:r>
        <w:rPr>
          <w:rtl w:val="0"/>
        </w:rPr>
      </w:r>
    </w:p>
    <w:p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Administrative moderation and feedback-list routes require a non-default server-side token. Ordinary owner profiles must not reveal moderation controls.</w:t>
      </w:r>
    </w:p>
    <w:p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Garage, shortlist, profile, and saved-note data remain on the device unless a user explicitly enables a future hosted sync flow.</w:t>
      </w:r>
    </w:p>
    <w:p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Secrets belong in deployment environment variables and must never be committed, embedded in the Vite bundle, or written to product documentation. Vercel headers restrict framing, origins, capabilities, and executable content.</w:t>
      </w:r>
    </w:p>
    <w:p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Hosted failures default to local-only operation for consumer workflows and fail closed for administrative workflows.</w:t>
      </w:r>
    </w:p>
    <w:p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Before broad launch, define retention, deletion, export, account recovery, and audit policies for the selected production database.</w:t>
      </w:r>
    </w:p>
    <w:p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2" w:lineRule="auto"/>
        <w:ind w:left="0" w:right="0" w:firstLine="0"/>
        <w:jc w:val="both"/>
        <w:rPr>
          <w:rFonts w:ascii="Helvetica Neue" w:cs="Helvetica Neue" w:eastAsia="Helvetica Neue" w:hAnsi="Helvetica Neue"/>
          <w:i w:val="0"/>
          <w:iCs w:val="0"/>
          <w:smallCaps w:val="0"/>
          <w:strike w:val="0"/>
          <w:color w:val="1e252e"/>
          <w:sz w:val="20"/>
          <w:szCs w:val="20"/>
          <w:u w:val="none"/>
          <w:shd w:fill="auto" w:val="clear"/>
          <w:vertAlign w:val="baseline"/>
        </w:rPr>
      </w:pPr>
      <w:r>
        <w:rPr>
          <w:rtl w:val="0"/>
        </w:rPr>
      </w:r>
    </w:p>
    <w:p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2" w:lineRule="auto"/>
        <w:ind w:left="0" w:right="0" w:firstLine="0"/>
        <w:jc w:val="both"/>
        <w:rPr>
          <w:rFonts w:ascii="Helvetica Neue" w:cs="Helvetica Neue" w:eastAsia="Helvetica Neue" w:hAnsi="Helvetica Neue"/>
          <w:i w:val="0"/>
          <w:iCs w:val="0"/>
          <w:smallCaps w:val="0"/>
          <w:strike w:val="0"/>
          <w:color w:val="1e252e"/>
          <w:sz w:val="20"/>
          <w:szCs w:val="20"/>
          <w:u w:val="none"/>
          <w:shd w:fill="auto" w:val="clear"/>
          <w:vertAlign w:val="baseline"/>
        </w:rPr>
      </w:pPr>
      <w:r>
        <w:rPr>
          <w:rtl w:val="0"/>
        </w:rPr>
      </w:r>
    </w:p>
    <w:p w14:paraId="000000AC">
      <w:pPr>
        <w:pStyle w:val="Heading1"/>
        <w:rPr>
          <w:rFonts w:ascii="Helvetica Neue" w:cs="Helvetica Neue" w:eastAsia="Helvetica Neue" w:hAnsi="Helvetica Neue"/>
        </w:rPr>
      </w:pPr>
      <w:r>
        <w:t>9.  Operational Readiness</w:t>
      </w:r>
    </w:p>
    <w:tbl>
      <w:tblPr>
        <w:tblStyle w:val="Table7"/>
        <w:tblW w:w="10440.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00"/>
      </w:tblPr>
      <w:tblGrid>
        <w:gridCol w:w="2268"/>
        <w:gridCol w:w="3521"/>
        <w:gridCol w:w="2306"/>
        <w:gridCol w:w="2345"/>
        <w:tblGridChange w:id="0">
          <w:tblGrid>
            <w:gridCol w:w="2268"/>
            <w:gridCol w:w="3521"/>
            <w:gridCol w:w="2306"/>
            <w:gridCol w:w="2345"/>
          </w:tblGrid>
        </w:tblGridChange>
      </w:tblGrid>
      <w:tr>
        <w:trPr>
          <w:cantSplit w:val="1"/>
          <w:tblHeader w:val="1"/>
        </w:trPr>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r>
              <w:t>Signal</w:t>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r>
              <w:t>SLO or alert</w:t>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r>
              <w:t>Owner</w:t>
            </w:r>
          </w:p>
        </w:tc>
        <w:tc>
          <w:tcPr>
            <w:tcBorders>
              <w:top w:color="ffffff" w:space="0" w:sz="8" w:val="single"/>
              <w:left w:color="ffffff" w:space="0" w:sz="8" w:val="single"/>
              <w:bottom w:color="ffffff" w:space="0" w:sz="8" w:val="single"/>
              <w:right w:color="ffffff" w:space="0" w:sz="8" w:val="single"/>
            </w:tcBorders>
            <w:shd w:fill="082a4a" w:val="clear"/>
            <w:tcMar>
              <w:top w:w="110.0" w:type="dxa"/>
              <w:left w:w="120.0" w:type="dxa"/>
              <w:bottom w:w="110.0" w:type="dxa"/>
              <w:right w:w="120.0" w:type="dxa"/>
            </w:tcMar>
            <w:vAlign w:val="center"/>
          </w:tcPr>
          <w:p>
            <w:r>
              <w:t>Launch gate</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r>
              <w:t>Release check</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Tests, build, and server-offline reload pass</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Engineering</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Required</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r>
              <w:t>API health</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Health endpoint succeeds in staging</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Backend</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Required for hosted features</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r>
              <w:t>Layout integrity</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No overflow at 390px and 1280px</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Frontend + QA</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Required</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r>
              <w:t>Deployment drift</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Production branch and latest release agree</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Product owner</w:t>
            </w:r>
          </w:p>
        </w:tc>
        <w:tc>
          <w:tcPr>
            <w:tcBorders>
              <w:top w:color="ffffff" w:space="0" w:sz="8" w:val="single"/>
              <w:left w:color="ffffff" w:space="0" w:sz="8" w:val="single"/>
              <w:bottom w:color="ffffff" w:space="0" w:sz="8" w:val="single"/>
              <w:right w:color="ffffff" w:space="0" w:sz="8" w:val="single"/>
            </w:tcBorders>
            <w:shd w:fill="f6f9fc" w:val="clear"/>
            <w:tcMar>
              <w:top w:w="110.0" w:type="dxa"/>
              <w:left w:w="120.0" w:type="dxa"/>
              <w:bottom w:w="110.0" w:type="dxa"/>
              <w:right w:w="120.0" w:type="dxa"/>
            </w:tcMar>
            <w:vAlign w:val="center"/>
          </w:tcPr>
          <w:p>
            <w:r>
              <w:t>Required</w:t>
            </w:r>
          </w:p>
        </w:tc>
      </w:tr>
      <w:tr>
        <w:trPr>
          <w:cantSplit w:val="1"/>
          <w:tblHeader w:val="0"/>
        </w:trPr>
        <w:tc>
          <w:tcPr>
            <w:tcBorders>
              <w:top w:color="ffffff" w:space="0" w:sz="8" w:val="single"/>
              <w:left w:color="ffffff" w:space="0" w:sz="8" w:val="single"/>
              <w:bottom w:color="ffffff" w:space="0" w:sz="8" w:val="single"/>
              <w:right w:color="ffffff" w:space="0" w:sz="8" w:val="single"/>
            </w:tcBorders>
            <w:shd w:fill="e6f0f8" w:val="clear"/>
            <w:tcMar>
              <w:top w:w="110.0" w:type="dxa"/>
              <w:left w:w="120.0" w:type="dxa"/>
              <w:bottom w:w="110.0" w:type="dxa"/>
              <w:right w:w="120.0" w:type="dxa"/>
            </w:tcMar>
            <w:vAlign w:val="center"/>
          </w:tcPr>
          <w:p>
            <w:r>
              <w:t>Restore integrity</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Documented backup and restore drill</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Backend + Ops</w:t>
            </w:r>
          </w:p>
        </w:tc>
        <w:tc>
          <w:tcPr>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t>Required before broad launch</w:t>
            </w:r>
          </w:p>
        </w:tc>
      </w:tr>
      <w:tr>
        <w:trPr>
          <w:cantSplit w:val="1"/>
          <w:tblHeader w:val="0"/>
        </w:trPr>
        <w:tc>
          <w:tcPr>
            <w:gridSpan w:val="4"/>
            <w:tcBorders>
              <w:top w:color="ffffff" w:space="0" w:sz="8" w:val="single"/>
              <w:left w:color="ffffff" w:space="0" w:sz="8" w:val="single"/>
              <w:bottom w:color="ffffff" w:space="0" w:sz="8" w:val="single"/>
              <w:right w:color="ffffff" w:space="0" w:sz="8" w:val="single"/>
            </w:tcBorders>
            <w:shd w:fill="ffffff" w:val="clear"/>
            <w:tcMar>
              <w:top w:w="110.0" w:type="dxa"/>
              <w:left w:w="120.0" w:type="dxa"/>
              <w:bottom w:w="110.0" w:type="dxa"/>
              <w:right w:w="120.0" w:type="dxa"/>
            </w:tcMar>
            <w:vAlign w:val="center"/>
          </w:tcPr>
          <w:p>
            <w:r/>
          </w:p>
        </w:tc>
      </w:tr>
    </w:tbl>
    <w:p w14:paraId="000000C9">
      <w:pPr>
        <w:pStyle w:val="Heading1"/>
        <w:spacing w:before="0" w:lineRule="auto"/>
        <w:rPr>
          <w:rFonts w:ascii="Helvetica Neue" w:cs="Helvetica Neue" w:eastAsia="Helvetica Neue" w:hAnsi="Helvetica Neue"/>
          <w:color w:val="000000"/>
        </w:rPr>
      </w:pPr>
      <w:r>
        <w:rPr>
          <w:rtl w:val="0"/>
        </w:rPr>
      </w:r>
    </w:p>
    <w:p w14:paraId="000000CA">
      <w:pPr>
        <w:pStyle w:val="Heading1"/>
        <w:rPr>
          <w:rFonts w:ascii="Helvetica Neue" w:cs="Helvetica Neue" w:eastAsia="Helvetica Neue" w:hAnsi="Helvetica Neue"/>
        </w:rPr>
      </w:pPr>
      <w:r>
        <w:t>10. Alternatives Considered</w:t>
      </w:r>
    </w:p>
    <w:p w14:paraId="000000CB">
      <w:pPr>
        <w:spacing w:after="0" w:line="14.399999999999999" w:lineRule="auto"/>
        <w:rPr>
          <w:rFonts w:ascii="Helvetica Neue" w:cs="Helvetica Neue" w:eastAsia="Helvetica Neue" w:hAnsi="Helvetica Neue"/>
        </w:rPr>
      </w:pPr>
      <w:r>
        <w:rPr>
          <w:rtl w:val="0"/>
        </w:rPr>
      </w:r>
    </w:p>
    <w:p w14:paraId="000000CC">
      <w:pPr>
        <w:spacing w:after="0" w:line="192" w:lineRule="auto"/>
        <w:rPr>
          <w:rFonts w:ascii="Helvetica Neue" w:cs="Helvetica Neue" w:eastAsia="Helvetica Neue" w:hAnsi="Helvetica Neue"/>
        </w:rPr>
      </w:pPr>
      <w:r>
        <w:rPr>
          <w:rtl w:val="0"/>
        </w:rPr>
      </w:r>
    </w:p>
    <w:tbl>
      <w:tblPr>
        <w:tblStyle w:val="Table8"/>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3303"/>
        <w:gridCol w:w="3313"/>
        <w:gridCol w:w="3824"/>
        <w:tblGridChange w:id="0">
          <w:tblGrid>
            <w:gridCol w:w="3303"/>
            <w:gridCol w:w="3313"/>
            <w:gridCol w:w="3824"/>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Alternative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Why it was considered</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Why it was not selected</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Single scrolling page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Simple initial implementation</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Weak task focus and navigation</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Five changing dock actions</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Keeps context actions nearby</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Destination meaning becomes unstable</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Immediate cloud-first rewrite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Cross-device data from day one</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Identity and durable storage are not approved</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JSON as production database</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Low setup cost</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Insufficient durability and concurrency</w:t>
            </w:r>
          </w:p>
        </w:tc>
      </w:tr>
    </w:tbl>
    <w:p w14:paraId="000000DC">
      <w:pPr>
        <w:pStyle w:val="Heading1"/>
        <w:spacing w:before="0" w:line="269" w:lineRule="auto"/>
        <w:rPr>
          <w:rFonts w:ascii="Helvetica Neue" w:cs="Helvetica Neue" w:eastAsia="Helvetica Neue" w:hAnsi="Helvetica Neue"/>
          <w:color w:val="000000"/>
        </w:rPr>
      </w:pPr>
      <w:r>
        <w:rPr>
          <w:rtl w:val="0"/>
        </w:rPr>
      </w:r>
    </w:p>
    <w:p w14:paraId="000000DD">
      <w:pPr>
        <w:pStyle w:val="Heading1"/>
        <w:rPr>
          <w:rFonts w:ascii="Helvetica Neue" w:cs="Helvetica Neue" w:eastAsia="Helvetica Neue" w:hAnsi="Helvetica Neue"/>
        </w:rPr>
      </w:pPr>
      <w:r>
        <w:t>11. Open Questions</w:t>
      </w:r>
    </w:p>
    <w:p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Which production database and migration path will replace JSON-backed persistence?</w:t>
      </w:r>
    </w:p>
    <w:p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What identity model should connect a local garage to an authenticated account?</w:t>
      </w:r>
    </w:p>
    <w:p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Which hosted records need conflict resolution across devices, and which remain device-local?</w:t>
      </w:r>
    </w:p>
    <w:p w14:paraId="000000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45" w:before="0" w:line="290" w:lineRule="auto"/>
        <w:ind w:left="360" w:right="0" w:hanging="360"/>
        <w:jc w:val="both"/>
        <w:rPr>
          <w:rFonts w:ascii="Helvetica Neue" w:cs="Helvetica Neue" w:eastAsia="Helvetica Neue" w:hAnsi="Helvetica Neue"/>
        </w:rPr>
      </w:pPr>
      <w:r>
        <w:t>What observability, backup, restore, and incident ownership are required before public launch?</w:t>
      </w:r>
    </w:p>
    <w:p w14:paraId="000000E2">
      <w:pPr>
        <w:pStyle w:val="Heading1"/>
        <w:spacing w:before="0" w:lineRule="auto"/>
        <w:rPr>
          <w:rFonts w:ascii="Helvetica Neue" w:cs="Helvetica Neue" w:eastAsia="Helvetica Neue" w:hAnsi="Helvetica Neue"/>
          <w:color w:val="000000"/>
        </w:rPr>
      </w:pPr>
      <w:r>
        <w:rPr>
          <w:rtl w:val="0"/>
        </w:rPr>
      </w:r>
    </w:p>
    <w:p w14:paraId="000000E3">
      <w:pPr>
        <w:pStyle w:val="Heading1"/>
        <w:rPr>
          <w:rFonts w:ascii="Helvetica Neue" w:cs="Helvetica Neue" w:eastAsia="Helvetica Neue" w:hAnsi="Helvetica Neue"/>
        </w:rPr>
      </w:pPr>
      <w:r>
        <w:t>12. Decision and Next Steps</w:t>
      </w:r>
    </w:p>
    <w:p w14:paraId="000000E4">
      <w:pPr>
        <w:spacing w:after="110" w:line="300" w:lineRule="auto"/>
        <w:jc w:val="both"/>
        <w:rPr>
          <w:rFonts w:ascii="Helvetica Neue" w:cs="Helvetica Neue" w:eastAsia="Helvetica Neue" w:hAnsi="Helvetica Neue"/>
        </w:rPr>
      </w:pPr>
      <w:r>
        <w:t>Approve the redesigned local-first client as the product baseline. Keep the TypeScript API boundary, resolve Vercel production ownership, then add hosted health detection, authenticated identity, durable storage, and progressive synchronization in separate reviewed milestones.</w:t>
      </w:r>
    </w:p>
    <w:tbl>
      <w:tblPr>
        <w:tblStyle w:val="Table9"/>
        <w:tblW w:w="1044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00"/>
      </w:tblPr>
      <w:tblGrid>
        <w:gridCol w:w="2954"/>
        <w:gridCol w:w="3713"/>
        <w:gridCol w:w="3773"/>
        <w:tblGridChange w:id="0">
          <w:tblGrid>
            <w:gridCol w:w="2954"/>
            <w:gridCol w:w="3713"/>
            <w:gridCol w:w="3773"/>
          </w:tblGrid>
        </w:tblGridChange>
      </w:tblGrid>
      <w:tr>
        <w:trPr>
          <w:cantSplit w:val="1"/>
          <w:tblHeader w:val="1"/>
        </w:trPr>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Milestone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Deliverable</w:t>
            </w:r>
          </w:p>
        </w:tc>
        <w:tc>
          <w:tcPr>
            <w:tcBorders>
              <w:top w:color="ffffff" w:space="0" w:sz="6" w:val="single"/>
              <w:left w:color="ffffff" w:space="0" w:sz="6" w:val="single"/>
              <w:bottom w:color="ffffff" w:space="0" w:sz="6" w:val="single"/>
              <w:right w:color="ffffff" w:space="0" w:sz="6" w:val="single"/>
            </w:tcBorders>
            <w:shd w:fill="082a4a" w:val="clear"/>
            <w:tcMar>
              <w:top w:w="110.0" w:type="dxa"/>
              <w:left w:w="120.0" w:type="dxa"/>
              <w:bottom w:w="110.0" w:type="dxa"/>
              <w:right w:w="120.0" w:type="dxa"/>
            </w:tcMar>
            <w:vAlign w:val="center"/>
          </w:tcPr>
          <w:p>
            <w:r>
              <w:t>Exit criteria</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M1</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Redesigned local-first client</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Tests, build, offline reload, accessibility, and responsive QA pass</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M2</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Production deployment ownership</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Vercel branch, permissions, and rollback verified</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M3</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Authenticated durable API</w:t>
            </w:r>
          </w:p>
        </w:tc>
        <w:tc>
          <w:tcPr>
            <w:tcBorders>
              <w:top w:color="ffffff" w:space="0" w:sz="6" w:val="single"/>
              <w:left w:color="ffffff" w:space="0" w:sz="6" w:val="single"/>
              <w:bottom w:color="ffffff" w:space="0" w:sz="6" w:val="single"/>
              <w:right w:color="ffffff" w:space="0" w:sz="6" w:val="single"/>
            </w:tcBorders>
            <w:shd w:fill="ffffff" w:val="clear"/>
            <w:tcMar>
              <w:top w:w="110.0" w:type="dxa"/>
              <w:left w:w="120.0" w:type="dxa"/>
              <w:bottom w:w="110.0" w:type="dxa"/>
              <w:right w:w="120.0" w:type="dxa"/>
            </w:tcMar>
            <w:vAlign w:val="center"/>
          </w:tcPr>
          <w:p>
            <w:r>
              <w:t>Database, identity, backup, and API contract approved</w:t>
            </w:r>
          </w:p>
        </w:tc>
      </w:tr>
      <w:tr>
        <w:trPr>
          <w:cantSplit w:val="1"/>
          <w:tblHeader w:val="0"/>
        </w:trPr>
        <w:tc>
          <w:tcPr>
            <w:tcBorders>
              <w:top w:color="ffffff" w:space="0" w:sz="6" w:val="single"/>
              <w:left w:color="ffffff" w:space="0" w:sz="6" w:val="single"/>
              <w:bottom w:color="ffffff" w:space="0" w:sz="6" w:val="single"/>
              <w:right w:color="ffffff" w:space="0" w:sz="6" w:val="single"/>
            </w:tcBorders>
            <w:shd w:fill="e6f0f8" w:val="clear"/>
            <w:tcMar>
              <w:top w:w="110.0" w:type="dxa"/>
              <w:left w:w="120.0" w:type="dxa"/>
              <w:bottom w:w="110.0" w:type="dxa"/>
              <w:right w:w="120.0" w:type="dxa"/>
            </w:tcMar>
            <w:vAlign w:val="center"/>
          </w:tcPr>
          <w:p>
            <w:r>
              <w:t>M4</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Progressive hosted synchronization</w:t>
            </w:r>
          </w:p>
        </w:tc>
        <w:tc>
          <w:tcPr>
            <w:tcBorders>
              <w:top w:color="ffffff" w:space="0" w:sz="6" w:val="single"/>
              <w:left w:color="ffffff" w:space="0" w:sz="6" w:val="single"/>
              <w:bottom w:color="ffffff" w:space="0" w:sz="6" w:val="single"/>
              <w:right w:color="ffffff" w:space="0" w:sz="6" w:val="single"/>
            </w:tcBorders>
            <w:shd w:fill="f6f9fc" w:val="clear"/>
            <w:tcMar>
              <w:top w:w="110.0" w:type="dxa"/>
              <w:left w:w="120.0" w:type="dxa"/>
              <w:bottom w:w="110.0" w:type="dxa"/>
              <w:right w:w="120.0" w:type="dxa"/>
            </w:tcMar>
            <w:vAlign w:val="center"/>
          </w:tcPr>
          <w:p>
            <w:r>
              <w:t>Conflict handling, observability, and user consent validated</w:t>
            </w:r>
          </w:p>
        </w:tc>
      </w:tr>
    </w:tbl>
    <w:p w14:paraId="000000F4">
      <w:pPr>
        <w:spacing w:after="120" w:line="269" w:lineRule="auto"/>
        <w:rPr>
          <w:rFonts w:ascii="Helvetica Neue" w:cs="Helvetica Neue" w:eastAsia="Helvetica Neue" w:hAnsi="Helvetica Neue"/>
        </w:rPr>
      </w:pPr>
      <w:r>
        <w:rPr>
          <w:rtl w:val="0"/>
        </w:rPr>
      </w:r>
    </w:p>
    <w:sectPr>
      <w:headerReference r:id="rId10" w:type="default"/>
      <w:headerReference r:id="rId11" w:type="first"/>
      <w:footerReference r:id="rId12" w:type="default"/>
      <w:footerReference r:id="rId13" w:type="first"/>
      <w:pgSz w:h="15840" w:w="12240" w:orient="portrait"/>
      <w:pgMar w:bottom="893" w:top="1008" w:left="1008" w:right="100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60" w:lineRule="auto"/>
      <w:ind w:left="0" w:right="0" w:firstLine="0"/>
      <w:jc w:val="center"/>
      <w:rPr>
        <w:rFonts w:ascii="Arial" w:cs="Arial" w:eastAsia="Arial" w:hAnsi="Arial"/>
        <w:b w:val="0"/>
        <w:bCs w:val="0"/>
        <w:i w:val="0"/>
        <w:iCs w:val="0"/>
        <w:smallCaps w:val="0"/>
        <w:strike w:val="0"/>
        <w:color w:val="5b7085"/>
        <w:sz w:val="20"/>
        <w:szCs w:val="20"/>
        <w:u w:val="none"/>
        <w:shd w:fill="auto" w:val="clear"/>
        <w:vertAlign w:val="baseline"/>
      </w:rPr>
    </w:pPr>
    <w:r>
      <w:rPr>
        <w:rFonts w:ascii="Arial" w:cs="Arial" w:eastAsia="Arial" w:hAnsi="Arial"/>
        <w:b w:val="0"/>
        <w:bCs w:val="0"/>
        <w:i w:val="0"/>
        <w:iCs w:val="0"/>
        <w:smallCaps w:val="0"/>
        <w:strike w:val="0"/>
        <w:color w:val="5b7085"/>
        <w:sz w:val="16"/>
        <w:szCs w:val="16"/>
        <w:u w:val="none"/>
        <w:shd w:fill="auto" w:val="clear"/>
        <w:vertAlign w:val="baseline"/>
        <w:rtl w:val="0"/>
      </w:rPr>
      <w:t xml:space="preserve">Autoflex | System Design</w:t>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9">
    <w:pPr>
      <w:rPr/>
    </w:pPr>
    <w:r>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14:paraId="000000F5">
      <w:pPr>
        <w:spacing w:after="0" w:line="270" w:lineRule="auto"/>
        <w:jc w:val="both"/>
        <w:rPr/>
      </w:pPr>
      <w:r>
        <w:rPr>
          <w:rStyle w:val="FootnoteReference"/>
          <w:vertAlign w:val="superscript"/>
        </w:rPr>
        <w:footnoteRef/>
      </w:r>
      <w:r>
        <w:rPr>
          <w:color w:val="233447"/>
          <w:rtl w:val="0"/>
        </w:rPr>
        <w:t xml:space="preserve"> Use footnotes for definitions, assumptions, or terms that need precision without interrupting the main narrative.</w:t>
      </w:r>
      <w:r>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6">
    <w:pPr>
      <w:rPr/>
    </w:pPr>
    <w:r>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F8">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3">
    <w:lvl w:ilvl="0">
      <w:start w:val="1"/>
      <w:numFmt w:val="lowerLetter"/>
      <w:lvlText w:val="%1."/>
      <w:lvlJc w:val="left"/>
      <w:pPr>
        <w:ind w:left="360" w:hanging="360"/>
      </w:pPr>
      <w:rPr/>
    </w:lvl>
    <w:lvl w:ilvl="1">
      <w:start w:val="1"/>
      <w:numFmt w:val="lowerLetter"/>
      <w:lvlText w:val="%2)"/>
      <w:lvlJc w:val="left"/>
      <w:pPr>
        <w:ind w:left="720" w:hanging="360"/>
      </w:pPr>
      <w:rPr/>
    </w:lvl>
    <w:lvl w:ilvl="2">
      <w:start w:val="1"/>
      <w:numFmt w:val="lowerRoman"/>
      <w:lvlText w:val="%3)"/>
      <w:lvlJc w:val="left"/>
      <w:pPr>
        <w:ind w:left="1080" w:hanging="360"/>
      </w:pPr>
      <w:rPr/>
    </w:lvl>
    <w:lvl w:ilvl="3">
      <w:start w:val="1"/>
      <w:numFmt w:val="decimal"/>
      <w:lvlText w:val="(%4)"/>
      <w:lvlJc w:val="left"/>
      <w:pPr>
        <w:ind w:left="1440" w:hanging="360"/>
      </w:pPr>
      <w:rPr/>
    </w:lvl>
    <w:lvl w:ilvl="4">
      <w:start w:val="1"/>
      <w:numFmt w:val="lowerLetter"/>
      <w:lvlText w:val="(%5)"/>
      <w:lvlJc w:val="left"/>
      <w:pPr>
        <w:ind w:left="1800" w:hanging="360"/>
      </w:pPr>
      <w:rPr/>
    </w:lvl>
    <w:lvl w:ilvl="5">
      <w:start w:val="1"/>
      <w:numFmt w:val="lowerRoman"/>
      <w:lvlText w:val="(%6)"/>
      <w:lvlJc w:val="left"/>
      <w:pPr>
        <w:ind w:left="2160" w:hanging="360"/>
      </w:pPr>
      <w:rPr/>
    </w:lvl>
    <w:lvl w:ilvl="6">
      <w:start w:val="1"/>
      <w:numFmt w:val="decimal"/>
      <w:lvlText w:val="%7."/>
      <w:lvlJc w:val="left"/>
      <w:pPr>
        <w:ind w:left="2520" w:hanging="360"/>
      </w:pPr>
      <w:rPr/>
    </w:lvl>
    <w:lvl w:ilvl="7">
      <w:start w:val="1"/>
      <w:numFmt w:val="lowerLetter"/>
      <w:lvlText w:val="%8."/>
      <w:lvlJc w:val="left"/>
      <w:pPr>
        <w:ind w:left="2880" w:hanging="360"/>
      </w:pPr>
      <w:rPr/>
    </w:lvl>
    <w:lvl w:ilvl="8">
      <w:start w:val="1"/>
      <w:numFmt w:val="lowerRoman"/>
      <w:lvlText w:val="%9."/>
      <w:lvlJc w:val="left"/>
      <w:pPr>
        <w:ind w:left="3240" w:hanging="360"/>
      </w:pPr>
      <w:rPr/>
    </w:lvl>
  </w:abstractNum>
  <w:abstractNum w:abstractNumId="4">
    <w:lvl w:ilvl="0">
      <w:start w:val="1"/>
      <w:numFmt w:val="lowerLetter"/>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33447"/>
        <w:lang w:val="en"/>
      </w:rPr>
    </w:rPrDefault>
    <w:pPrDefault>
      <w:pPr>
        <w:spacing w:after="11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2f6b9a" w:space="2" w:sz="0" w:val="none"/>
        <w:left w:color="2f6b9a" w:space="2" w:sz="0" w:val="none"/>
        <w:bottom w:color="2f6b9a" w:space="2" w:sz="0" w:val="none"/>
        <w:right w:color="2f6b9a" w:space="2" w:sz="0" w:val="none"/>
      </w:pBdr>
      <w:spacing w:after="130" w:line="285" w:lineRule="auto"/>
    </w:pPr>
    <w:rPr>
      <w:b w:val="1"/>
      <w:bCs w:val="1"/>
      <w:color w:val="082a4a"/>
      <w:sz w:val="27"/>
      <w:szCs w:val="27"/>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smallCaps w:val="1"/>
      <w:color w:val="082a4a"/>
      <w:sz w:val="19"/>
      <w:szCs w:val="19"/>
    </w:rPr>
  </w:style>
  <w:style w:type="paragraph" w:styleId="Heading3">
    <w:name w:val="heading 3"/>
    <w:basedOn w:val="Normal"/>
    <w:next w:val="Normal"/>
    <w:pPr>
      <w:keepNext w:val="1"/>
      <w:keepLines w:val="1"/>
    </w:pPr>
    <w:rPr>
      <w:rFonts w:ascii="Helvetica Neue" w:cs="Helvetica Neue" w:eastAsia="Helvetica Neue" w:hAnsi="Helvetica Neue"/>
      <w:b w:val="1"/>
      <w:bCs w:val="1"/>
      <w:color w:val="5b708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082a4a"/>
    </w:rPr>
  </w:style>
  <w:style w:type="paragraph" w:styleId="Heading5">
    <w:name w:val="heading 5"/>
    <w:basedOn w:val="Normal"/>
    <w:next w:val="Normal"/>
    <w:pPr>
      <w:keepNext w:val="1"/>
      <w:keepLines w:val="1"/>
      <w:spacing w:after="0" w:before="200" w:lineRule="auto"/>
    </w:pPr>
    <w:rPr>
      <w:rFonts w:ascii="Calibri" w:cs="Calibri" w:eastAsia="Calibri" w:hAnsi="Calibri"/>
      <w:color w:val="082a4a"/>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082a4a"/>
    </w:rPr>
  </w:style>
  <w:style w:type="paragraph" w:styleId="Title">
    <w:name w:val="Title"/>
    <w:basedOn w:val="Normal"/>
    <w:next w:val="Normal"/>
    <w:pPr>
      <w:spacing w:after="150" w:lineRule="auto"/>
    </w:pPr>
    <w:rPr>
      <w:b w:val="1"/>
      <w:bCs w:val="1"/>
      <w:color w:val="082a4a"/>
      <w:sz w:val="44"/>
      <w:szCs w:val="44"/>
    </w:rPr>
  </w:style>
  <w:style w:type="paragraph" w:styleId="Subtitle">
    <w:name w:val="Subtitle"/>
    <w:basedOn w:val="Normal"/>
    <w:next w:val="Normal"/>
    <w:pPr/>
    <w:rPr>
      <w:rFonts w:ascii="Calibri" w:cs="Calibri" w:eastAsia="Calibri" w:hAnsi="Calibri"/>
      <w:i w:val="1"/>
      <w:iCs w:val="1"/>
      <w:color w:val="082a4a"/>
      <w:sz w:val="24"/>
      <w:szCs w:val="24"/>
    </w:r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example.com/system-design/contracts" TargetMode="Externa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HelveticaNeueLight-regular.ttf"/><Relationship Id="rId6" Type="http://schemas.openxmlformats.org/officeDocument/2006/relationships/font" Target="fonts/HelveticaNeueLight-bold.ttf"/><Relationship Id="rId7" Type="http://schemas.openxmlformats.org/officeDocument/2006/relationships/font" Target="fonts/HelveticaNeueLight-italic.ttf"/><Relationship Id="rId8" Type="http://schemas.openxmlformats.org/officeDocument/2006/relationships/font" Target="fonts/HelveticaNeue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