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ayout w:type="fixed"/>
        <w:tblLook w:firstColumn="1" w:firstRow="1" w:lastColumn="0" w:lastRow="0" w:noHBand="0" w:noVBand="1" w:val="04A0"/>
      </w:tblPr>
      <w:tblGrid>
        <w:gridCol w:w="11906"/>
      </w:tblGrid>
      <w:tr>
        <w:trPr>
          <w:trHeight w:val="16838" w:hRule="exact"/>
        </w:trPr>
        <w:tc>
          <w:tcPr>
            <w:tcW w:type="pct" w:w="5000"/>
            <w:vAlign w:val="top"/>
            <w:shd w:fill="0B1533"/>
            <w:tcMar>
              <w:top w:w="0" w:type="dxa"/>
              <w:start w:w="0" w:type="dxa"/>
              <w:bottom w:w="0" w:type="dxa"/>
              <w:end w:w="0" w:type="dxa"/>
            </w:tcMar>
          </w:tcPr>
          <w:p>
            <w:pPr>
              <w:spacing w:before="1700" w:after="0"/>
              <w:ind w:left="1417" w:right="1417"/>
              <w:jc w:val="left"/>
            </w:pPr>
            <w:r>
              <w:drawing>
                <wp:inline xmlns:a="http://schemas.openxmlformats.org/drawingml/2006/main" xmlns:pic="http://schemas.openxmlformats.org/drawingml/2006/picture">
                  <wp:extent cx="1655999" cy="332255"/>
                  <wp:docPr id="1" name="Picture 1"/>
                  <wp:cNvGraphicFramePr>
                    <a:graphicFrameLocks noChangeAspect="1"/>
                  </wp:cNvGraphicFramePr>
                  <a:graphic>
                    <a:graphicData uri="http://schemas.openxmlformats.org/drawingml/2006/picture">
                      <pic:pic>
                        <pic:nvPicPr>
                          <pic:cNvPr id="0" name="logo_aptaworks_wide_white.png"/>
                          <pic:cNvPicPr/>
                        </pic:nvPicPr>
                        <pic:blipFill>
                          <a:blip r:embed="rId9"/>
                          <a:stretch>
                            <a:fillRect/>
                          </a:stretch>
                        </pic:blipFill>
                        <pic:spPr>
                          <a:xfrm>
                            <a:off x="0" y="0"/>
                            <a:ext cx="1655999" cy="332255"/>
                          </a:xfrm>
                          <a:prstGeom prst="rect"/>
                        </pic:spPr>
                      </pic:pic>
                    </a:graphicData>
                  </a:graphic>
                </wp:inline>
              </w:drawing>
            </w:r>
          </w:p>
          <w:p>
            <w:pPr>
              <w:spacing w:before="1400" w:after="240"/>
              <w:ind w:left="1417" w:right="1417"/>
              <w:jc w:val="left"/>
            </w:pPr>
            <w:r>
              <w:rPr>
                <w:rFonts w:ascii="Consolas" w:hAnsi="Consolas" w:eastAsia="Consolas" w:cs="Consolas"/>
                <w:color w:val="EF7636"/>
                <w:sz w:val="21"/>
              </w:rPr>
              <w:t>PROPOSAL</w:t>
            </w:r>
          </w:p>
          <w:p>
            <w:pPr>
              <w:spacing w:before="0" w:after="360" w:line="252" w:lineRule="auto"/>
              <w:ind w:left="1417" w:right="1417"/>
              <w:jc w:val="left"/>
            </w:pPr>
            <w:r>
              <w:rPr>
                <w:rFonts w:ascii="Georgia" w:hAnsi="Georgia" w:eastAsia="Georgia" w:cs="Georgia"/>
                <w:b/>
                <w:color w:val="FFFFFF"/>
                <w:sz w:val="64"/>
              </w:rPr>
              <w:t>Operational Reporting Modernization</w:t>
            </w:r>
          </w:p>
          <w:p>
            <w:pPr>
              <w:spacing w:before="0" w:after="360"/>
              <w:ind w:left="1417" w:right="1417"/>
              <w:jc w:val="left"/>
            </w:pPr>
            <w:r>
              <w:rPr>
                <w:rFonts w:ascii="Lato" w:hAnsi="Lato" w:eastAsia="Lato" w:cs="Lato"/>
                <w:color w:val="C9D2DF"/>
                <w:sz w:val="27"/>
              </w:rPr>
              <w:t>A phased proposal for consistent data, dependable reporting, and practical adoption.</w:t>
            </w:r>
          </w:p>
          <w:p>
            <w:pPr>
              <w:spacing w:before="240" w:after="80"/>
              <w:ind w:left="1417" w:right="1417"/>
              <w:jc w:val="left"/>
            </w:pPr>
            <w:r>
              <w:rPr>
                <w:rFonts w:ascii="Consolas" w:hAnsi="Consolas" w:eastAsia="Consolas" w:cs="Consolas"/>
                <w:color w:val="96A0B9"/>
                <w:sz w:val="17"/>
              </w:rPr>
              <w:t>PREPARED FOR</w:t>
            </w:r>
          </w:p>
          <w:tbl>
            <w:tblPr>
              <w:tblW w:type="dxa" w:w="2900"/>
              <w:jc w:val="left"/>
              <w:tblLayout w:type="fixed"/>
              <w:tblLook w:firstColumn="1" w:firstRow="1" w:lastColumn="0" w:lastRow="0" w:noHBand="0" w:noVBand="1" w:val="04A0"/>
              <w:tblInd w:w="1417" w:type="dxa"/>
            </w:tblPr>
            <w:tblGrid>
              <w:gridCol w:w="2900"/>
            </w:tblGrid>
            <w:tr>
              <w:tc>
                <w:tcPr>
                  <w:tcW w:type="dxa" w:w="2900"/>
                  <w:shd w:fill="FFFFFF"/>
                  <w:tcMar>
                    <w:top w:w="150" w:type="dxa"/>
                    <w:start w:w="220" w:type="dxa"/>
                    <w:bottom w:w="150" w:type="dxa"/>
                    <w:end w:w="220" w:type="dxa"/>
                  </w:tcMar>
                </w:tcPr>
                <w:p>
                  <w:pPr>
                    <w:spacing w:after="0"/>
                  </w:pPr>
                  <w:r>
                    <w:rPr>
                      <w:rFonts w:ascii="Lato" w:hAnsi="Lato" w:eastAsia="Lato" w:cs="Lato"/>
                      <w:b/>
                      <w:color w:val="17234E"/>
                      <w:sz w:val="22"/>
                    </w:rPr>
                    <w:t>Contoso (Example)</w:t>
                  </w:r>
                </w:p>
              </w:tc>
            </w:tr>
          </w:tbl>
          <w:p>
            <w:pPr>
              <w:spacing w:before="0" w:after="0"/>
              <w:ind w:left="1417" w:right="1417"/>
              <w:jc w:val="left"/>
            </w:pPr>
          </w:p>
          <w:p>
            <w:pPr>
              <w:spacing w:before="1840" w:after="0"/>
              <w:ind w:left="1417" w:right="1417"/>
              <w:jc w:val="left"/>
            </w:pPr>
          </w:p>
          <w:p>
            <w:pPr>
              <w:spacing w:before="0" w:after="800"/>
              <w:ind w:left="1417" w:right="1417"/>
              <w:jc w:val="right"/>
            </w:pPr>
            <w:r>
              <w:rPr>
                <w:rFonts w:ascii="Georgia" w:hAnsi="Georgia" w:eastAsia="Georgia" w:cs="Georgia"/>
                <w:i/>
                <w:color w:val="1E294B"/>
                <w:sz w:val="180"/>
              </w:rPr>
              <w:t>APTA</w:t>
            </w:r>
          </w:p>
          <w:p>
            <w:pPr>
              <w:spacing w:before="240" w:after="0"/>
              <w:ind w:left="1417" w:right="1417"/>
              <w:jc w:val="right"/>
            </w:pPr>
            <w:r>
              <w:rPr>
                <w:rFonts w:ascii="Consolas" w:hAnsi="Consolas" w:eastAsia="Consolas" w:cs="Consolas"/>
                <w:color w:val="96A0B9"/>
                <w:sz w:val="18"/>
              </w:rPr>
              <w:t>Author: Aptaworks Team</w:t>
              <w:br/>
              <w:t>Date: 20 October 2026 (v1.0)</w:t>
            </w:r>
          </w:p>
        </w:tc>
      </w:tr>
    </w:tbl>
    <w:p>
      <w:pPr>
        <w:sectPr>
          <w:pgSz w:w="11906" w:h="16838"/>
          <w:pgMar w:top="0" w:right="0" w:bottom="0" w:left="0" w:header="0" w:footer="0" w:gutter="0"/>
          <w:cols w:space="720"/>
          <w:docGrid w:linePitch="360"/>
        </w:sectPr>
      </w:pPr>
    </w:p>
    <w:p>
      <w:pPr>
        <w:spacing w:before="120" w:after="160"/>
        <w:jc w:val="left"/>
        <w:pBdr>
          <w:bottom w:val="single" w:sz="8" w:space="4" w:color="EF7636"/>
        </w:pBdr>
      </w:pPr>
      <w:r>
        <w:rPr>
          <w:rFonts w:ascii="Georgia" w:hAnsi="Georgia" w:eastAsia="Georgia" w:cs="Georgia"/>
          <w:b/>
          <w:color w:val="17234E"/>
          <w:sz w:val="36"/>
        </w:rPr>
        <w:t>CONTENTS</w:t>
      </w:r>
    </w:p>
    <w:p>
      <w:pPr>
        <w:spacing w:after="0"/>
      </w:pPr>
      <w:r>
        <w:fldChar w:fldCharType="begin"/>
        <w:instrText xml:space="preserve"> TOC \o "1-3" \h \z \u </w:instrText>
        <w:fldChar w:fldCharType="separate"/>
      </w:r>
    </w:p>
    <w:p>
      <w:pPr>
        <w:pStyle w:val="TOC1"/>
        <w:tabs>
          <w:tab w:pos="9071" w:val="right" w:leader="dot"/>
        </w:tabs>
        <w:spacing w:before="160" w:after="60"/>
        <w:ind w:left="0"/>
      </w:pPr>
      <w:hyperlink w:anchor="_TocApta1" w:history="1">
        <w:r>
          <w:rPr>
            <w:rFonts w:ascii="Lato" w:hAnsi="Lato" w:eastAsia="Lato" w:cs="Lato"/>
            <w:b/>
            <w:color w:val="17234E"/>
            <w:sz w:val="22"/>
          </w:rPr>
          <w:t>1. Executive Summary</w:t>
        </w:r>
        <w:r>
          <w:tab/>
        </w:r>
        <w:r>
          <w:rPr>
            <w:rFonts w:ascii="Lato" w:hAnsi="Lato" w:eastAsia="Lato" w:cs="Lato"/>
            <w:color w:val="5E6B82"/>
            <w:sz w:val="22"/>
          </w:rPr>
          <w:fldChar w:fldCharType="begin"/>
          <w:instrText xml:space="preserve"> PAGEREF _TocApta1 \h </w:instrText>
          <w:fldChar w:fldCharType="separate"/>
          <w:t/>
          <w:fldChar w:fldCharType="end"/>
        </w:r>
      </w:hyperlink>
    </w:p>
    <w:p>
      <w:pPr>
        <w:pStyle w:val="TOC2"/>
        <w:tabs>
          <w:tab w:pos="9071" w:val="right" w:leader="dot"/>
        </w:tabs>
        <w:spacing w:before="80" w:after="60"/>
        <w:ind w:left="227"/>
      </w:pPr>
      <w:hyperlink w:anchor="_TocApta2" w:history="1">
        <w:r>
          <w:rPr>
            <w:rFonts w:ascii="Lato" w:hAnsi="Lato" w:eastAsia="Lato" w:cs="Lato"/>
            <w:b w:val="0"/>
            <w:color w:val="17234E"/>
            <w:sz w:val="20"/>
          </w:rPr>
          <w:t>1.1. Target Outcomes</w:t>
        </w:r>
        <w:r>
          <w:tab/>
        </w:r>
        <w:r>
          <w:rPr>
            <w:rFonts w:ascii="Lato" w:hAnsi="Lato" w:eastAsia="Lato" w:cs="Lato"/>
            <w:color w:val="5E6B82"/>
            <w:sz w:val="20"/>
          </w:rPr>
          <w:fldChar w:fldCharType="begin"/>
          <w:instrText xml:space="preserve"> PAGEREF _TocApta2 \h </w:instrText>
          <w:fldChar w:fldCharType="separate"/>
          <w:t/>
          <w:fldChar w:fldCharType="end"/>
        </w:r>
      </w:hyperlink>
    </w:p>
    <w:p>
      <w:pPr>
        <w:pStyle w:val="TOC3"/>
        <w:tabs>
          <w:tab w:pos="9071" w:val="right" w:leader="dot"/>
        </w:tabs>
        <w:spacing w:before="80" w:after="60"/>
        <w:ind w:left="454"/>
      </w:pPr>
      <w:hyperlink w:anchor="_TocApta3" w:history="1">
        <w:r>
          <w:rPr>
            <w:rFonts w:ascii="Lato" w:hAnsi="Lato" w:eastAsia="Lato" w:cs="Lato"/>
            <w:b w:val="0"/>
            <w:color w:val="17234E"/>
            <w:sz w:val="20"/>
          </w:rPr>
          <w:t>1.1.1. Pilot Acceptance Criteria</w:t>
        </w:r>
        <w:r>
          <w:tab/>
        </w:r>
        <w:r>
          <w:rPr>
            <w:rFonts w:ascii="Lato" w:hAnsi="Lato" w:eastAsia="Lato" w:cs="Lato"/>
            <w:color w:val="5E6B82"/>
            <w:sz w:val="20"/>
          </w:rPr>
          <w:fldChar w:fldCharType="begin"/>
          <w:instrText xml:space="preserve"> PAGEREF _TocApta3 \h </w:instrText>
          <w:fldChar w:fldCharType="separate"/>
          <w:t/>
          <w:fldChar w:fldCharType="end"/>
        </w:r>
      </w:hyperlink>
    </w:p>
    <w:p>
      <w:pPr>
        <w:pStyle w:val="TOC2"/>
        <w:tabs>
          <w:tab w:pos="9071" w:val="right" w:leader="dot"/>
        </w:tabs>
        <w:spacing w:before="80" w:after="60"/>
        <w:ind w:left="227"/>
      </w:pPr>
      <w:hyperlink w:anchor="_TocApta4" w:history="1">
        <w:r>
          <w:rPr>
            <w:rFonts w:ascii="Lato" w:hAnsi="Lato" w:eastAsia="Lato" w:cs="Lato"/>
            <w:b w:val="0"/>
            <w:color w:val="17234E"/>
            <w:sz w:val="20"/>
          </w:rPr>
          <w:t>1.2. Delivery Workplan</w:t>
        </w:r>
        <w:r>
          <w:tab/>
        </w:r>
        <w:r>
          <w:rPr>
            <w:rFonts w:ascii="Lato" w:hAnsi="Lato" w:eastAsia="Lato" w:cs="Lato"/>
            <w:color w:val="5E6B82"/>
            <w:sz w:val="20"/>
          </w:rPr>
          <w:fldChar w:fldCharType="begin"/>
          <w:instrText xml:space="preserve"> PAGEREF _TocApta4 \h </w:instrText>
          <w:fldChar w:fldCharType="separate"/>
          <w:t/>
          <w:fldChar w:fldCharType="end"/>
        </w:r>
      </w:hyperlink>
    </w:p>
    <w:p>
      <w:pPr>
        <w:pStyle w:val="TOC2"/>
        <w:tabs>
          <w:tab w:pos="9071" w:val="right" w:leader="dot"/>
        </w:tabs>
        <w:spacing w:before="80" w:after="60"/>
        <w:ind w:left="227"/>
      </w:pPr>
      <w:hyperlink w:anchor="_TocApta5" w:history="1">
        <w:r>
          <w:rPr>
            <w:rFonts w:ascii="Lato" w:hAnsi="Lato" w:eastAsia="Lato" w:cs="Lato"/>
            <w:b w:val="0"/>
            <w:color w:val="17234E"/>
            <w:sz w:val="20"/>
          </w:rPr>
          <w:t>1.3. Delivery Principles</w:t>
        </w:r>
        <w:r>
          <w:tab/>
        </w:r>
        <w:r>
          <w:rPr>
            <w:rFonts w:ascii="Lato" w:hAnsi="Lato" w:eastAsia="Lato" w:cs="Lato"/>
            <w:color w:val="5E6B82"/>
            <w:sz w:val="20"/>
          </w:rPr>
          <w:fldChar w:fldCharType="begin"/>
          <w:instrText xml:space="preserve"> PAGEREF _TocApta5 \h </w:instrText>
          <w:fldChar w:fldCharType="separate"/>
          <w:t/>
          <w:fldChar w:fldCharType="end"/>
        </w:r>
      </w:hyperlink>
    </w:p>
    <w:p>
      <w:pPr>
        <w:pStyle w:val="TOC2"/>
        <w:tabs>
          <w:tab w:pos="9071" w:val="right" w:leader="dot"/>
        </w:tabs>
        <w:spacing w:before="80" w:after="60"/>
        <w:ind w:left="227"/>
      </w:pPr>
      <w:hyperlink w:anchor="_TocApta6" w:history="1">
        <w:r>
          <w:rPr>
            <w:rFonts w:ascii="Lato" w:hAnsi="Lato" w:eastAsia="Lato" w:cs="Lato"/>
            <w:b w:val="0"/>
            <w:color w:val="17234E"/>
            <w:sz w:val="20"/>
          </w:rPr>
          <w:t>1.4. Next Steps</w:t>
        </w:r>
        <w:r>
          <w:tab/>
        </w:r>
        <w:r>
          <w:rPr>
            <w:rFonts w:ascii="Lato" w:hAnsi="Lato" w:eastAsia="Lato" w:cs="Lato"/>
            <w:color w:val="5E6B82"/>
            <w:sz w:val="20"/>
          </w:rPr>
          <w:fldChar w:fldCharType="begin"/>
          <w:instrText xml:space="preserve"> PAGEREF _TocApta6 \h </w:instrText>
          <w:fldChar w:fldCharType="separate"/>
          <w:t/>
          <w:fldChar w:fldCharType="end"/>
        </w:r>
      </w:hyperlink>
      <w:r>
        <w:fldChar w:fldCharType="end"/>
      </w:r>
    </w:p>
    <w:p>
      <w:r>
        <w:br w:type="page"/>
      </w:r>
    </w:p>
    <w:p>
      <w:pPr>
        <w:pStyle w:val="Heading1"/>
      </w:pPr>
      <w:bookmarkStart w:id="1" w:name="_TocApta1"/>
      <w:r>
        <w:t>1. Executive Summary</w:t>
      </w:r>
      <w:bookmarkEnd w:id="1"/>
    </w:p>
    <w:p>
      <w:pPr>
        <w:jc w:val="both"/>
      </w:pPr>
      <w:r>
        <w:t>This illustrative proposal shows how Aptaworks structures a reporting modernization project. Contoso is a fictional client used to demonstrate the document format. The scope, milestones, and acceptance criteria below are examples for discussion.</w:t>
      </w:r>
    </w:p>
    <w:p>
      <w:pPr>
        <w:ind w:left="255" w:right="142"/>
        <w:jc w:val="both"/>
        <w:shd w:fill="F7F5EE"/>
      </w:pPr>
      <w:r>
        <w:rPr>
          <w:color w:val="17234E"/>
        </w:rPr>
        <w:br/>
      </w:r>
      <w:r>
        <w:rPr>
          <w:b/>
          <w:i w:val="0"/>
          <w:color w:val="17234E"/>
        </w:rPr>
        <w:t>Recommendation:  start with one reporting domain, validate the results with its business owner, and use the agreed approach for subsequent domains.</w:t>
      </w:r>
      <w:r>
        <w:rPr>
          <w:color w:val="17234E"/>
        </w:rPr>
        <w:br/>
      </w:r>
    </w:p>
    <w:p>
      <w:pPr>
        <w:pStyle w:val="Heading2"/>
      </w:pPr>
      <w:bookmarkStart w:id="2" w:name="_TocApta2"/>
      <w:r>
        <w:t>1.1. Target Outcomes</w:t>
      </w:r>
      <w:bookmarkEnd w:id="2"/>
    </w:p>
    <w:p>
      <w:pPr>
        <w:pStyle w:val="ListBullet"/>
        <w:keepNext/>
        <w:jc w:val="left"/>
      </w:pPr>
      <w:r>
        <w:t>A shared definition for the selected operational metrics.</w:t>
      </w:r>
    </w:p>
    <w:p>
      <w:pPr>
        <w:pStyle w:val="ListBullet"/>
        <w:keepNext/>
        <w:jc w:val="left"/>
      </w:pPr>
      <w:r>
        <w:t>A repeatable reporting workflow with documented ownership.</w:t>
      </w:r>
    </w:p>
    <w:p>
      <w:pPr>
        <w:pStyle w:val="ListBullet"/>
        <w:keepNext/>
        <w:jc w:val="left"/>
      </w:pPr>
      <w:r>
        <w:t>Quality checks that make discrepancies visible before publication.</w:t>
      </w:r>
    </w:p>
    <w:p>
      <w:pPr>
        <w:pStyle w:val="ListBullet"/>
        <w:keepNext w:val="0"/>
        <w:jc w:val="left"/>
      </w:pPr>
      <w:r>
        <w:t>Practical guidance that helps the team operate the workflow independently.</w:t>
      </w:r>
    </w:p>
    <w:p>
      <w:pPr>
        <w:pStyle w:val="Heading3"/>
      </w:pPr>
      <w:bookmarkStart w:id="3" w:name="_TocApta3"/>
      <w:r>
        <w:t>1.1.1. Pilot Acceptance Criteria</w:t>
      </w:r>
      <w:bookmarkEnd w:id="3"/>
    </w:p>
    <w:p>
      <w:pPr>
        <w:jc w:val="both"/>
      </w:pPr>
      <w:r>
        <w:t>The pilot is accepted when the agreed source data is reconciled, the report matches the approved metric definitions, and the business owner signs off on the operating procedure. Targets and baselines will be confirmed during discovery.</w:t>
      </w:r>
    </w:p>
    <w:p>
      <w:pPr>
        <w:pStyle w:val="Heading2"/>
      </w:pPr>
      <w:bookmarkStart w:id="4" w:name="_TocApta4"/>
      <w:r>
        <w:t>1.2. Delivery Workplan</w:t>
      </w:r>
      <w:bookmarkEnd w:id="4"/>
    </w:p>
    <w:tbl>
      <w:tblPr>
        <w:tblStyle w:val="TableGrid"/>
        <w:tblW w:type="dxa" w:w="9072"/>
        <w:tblLayout w:type="fixed"/>
        <w:tblLook w:firstColumn="1" w:firstRow="1" w:lastColumn="0" w:lastRow="0" w:noHBand="0" w:noVBand="1" w:val="04A0"/>
        <w:tblInd w:w="120" w:type="dxa"/>
      </w:tblPr>
      <w:tblGrid>
        <w:gridCol w:w="2982"/>
        <w:gridCol w:w="2982"/>
        <w:gridCol w:w="3108"/>
      </w:tblGrid>
      <w:tr>
        <w:trPr>
          <w:tblHeader/>
        </w:trPr>
        <w:tc>
          <w:tcPr>
            <w:tcW w:type="dxa" w:w="2982"/>
            <w:vAlign w:val="center"/>
            <w:tcMar>
              <w:top w:w="120" w:type="dxa"/>
              <w:start w:w="140" w:type="dxa"/>
              <w:bottom w:w="120" w:type="dxa"/>
              <w:end w:w="140" w:type="dxa"/>
            </w:tcMar>
            <w:shd w:fill="17234E"/>
          </w:tcPr>
          <w:p>
            <w:pPr>
              <w:spacing w:after="0"/>
              <w:jc w:val="left"/>
            </w:pPr>
            <w:r>
              <w:rPr>
                <w:b/>
                <w:color w:val="FFFFFF"/>
                <w:sz w:val="20"/>
              </w:rPr>
              <w:t>Phase</w:t>
            </w:r>
          </w:p>
        </w:tc>
        <w:tc>
          <w:tcPr>
            <w:tcW w:type="dxa" w:w="2982"/>
            <w:vAlign w:val="center"/>
            <w:tcMar>
              <w:top w:w="120" w:type="dxa"/>
              <w:start w:w="140" w:type="dxa"/>
              <w:bottom w:w="120" w:type="dxa"/>
              <w:end w:w="140" w:type="dxa"/>
            </w:tcMar>
            <w:shd w:fill="17234E"/>
          </w:tcPr>
          <w:p>
            <w:pPr>
              <w:spacing w:after="0"/>
              <w:jc w:val="left"/>
            </w:pPr>
            <w:r>
              <w:rPr>
                <w:b/>
                <w:color w:val="FFFFFF"/>
                <w:sz w:val="20"/>
              </w:rPr>
              <w:t>Focus</w:t>
            </w:r>
          </w:p>
        </w:tc>
        <w:tc>
          <w:tcPr>
            <w:tcW w:type="dxa" w:w="3108"/>
            <w:vAlign w:val="center"/>
            <w:tcMar>
              <w:top w:w="120" w:type="dxa"/>
              <w:start w:w="140" w:type="dxa"/>
              <w:bottom w:w="120" w:type="dxa"/>
              <w:end w:w="140" w:type="dxa"/>
            </w:tcMar>
            <w:shd w:fill="17234E"/>
          </w:tcPr>
          <w:p>
            <w:pPr>
              <w:spacing w:after="0"/>
              <w:jc w:val="left"/>
            </w:pPr>
            <w:r>
              <w:rPr>
                <w:b/>
                <w:color w:val="FFFFFF"/>
                <w:sz w:val="20"/>
              </w:rPr>
              <w:t>Deliverable</w:t>
            </w:r>
          </w:p>
        </w:tc>
      </w:tr>
      <w:tr>
        <w:tc>
          <w:tcPr>
            <w:tcW w:type="dxa" w:w="2982"/>
            <w:vAlign w:val="center"/>
            <w:tcMar>
              <w:top w:w="120" w:type="dxa"/>
              <w:start w:w="140" w:type="dxa"/>
              <w:bottom w:w="120" w:type="dxa"/>
              <w:end w:w="140" w:type="dxa"/>
            </w:tcMar>
          </w:tcPr>
          <w:p>
            <w:pPr>
              <w:spacing w:after="0"/>
              <w:jc w:val="left"/>
            </w:pPr>
            <w:r>
              <w:rPr>
                <w:sz w:val="20"/>
              </w:rPr>
              <w:t>Discovery</w:t>
            </w:r>
          </w:p>
        </w:tc>
        <w:tc>
          <w:tcPr>
            <w:tcW w:type="dxa" w:w="2982"/>
            <w:vAlign w:val="center"/>
            <w:tcMar>
              <w:top w:w="120" w:type="dxa"/>
              <w:start w:w="140" w:type="dxa"/>
              <w:bottom w:w="120" w:type="dxa"/>
              <w:end w:w="140" w:type="dxa"/>
            </w:tcMar>
          </w:tcPr>
          <w:p>
            <w:pPr>
              <w:spacing w:after="0"/>
              <w:jc w:val="left"/>
            </w:pPr>
            <w:r>
              <w:rPr>
                <w:sz w:val="20"/>
              </w:rPr>
              <w:t>Confirm users, sources, and definitions</w:t>
            </w:r>
          </w:p>
        </w:tc>
        <w:tc>
          <w:tcPr>
            <w:tcW w:type="dxa" w:w="3108"/>
            <w:vAlign w:val="center"/>
            <w:tcMar>
              <w:top w:w="120" w:type="dxa"/>
              <w:start w:w="140" w:type="dxa"/>
              <w:bottom w:w="120" w:type="dxa"/>
              <w:end w:w="140" w:type="dxa"/>
            </w:tcMar>
          </w:tcPr>
          <w:p>
            <w:pPr>
              <w:spacing w:after="0"/>
              <w:jc w:val="left"/>
            </w:pPr>
            <w:r>
              <w:rPr>
                <w:sz w:val="20"/>
              </w:rPr>
              <w:t>Approved scope and acceptance criteria</w:t>
            </w:r>
          </w:p>
        </w:tc>
      </w:tr>
      <w:tr>
        <w:tc>
          <w:tcPr>
            <w:tcW w:type="dxa" w:w="2982"/>
            <w:vAlign w:val="center"/>
            <w:tcMar>
              <w:top w:w="120" w:type="dxa"/>
              <w:start w:w="140" w:type="dxa"/>
              <w:bottom w:w="120" w:type="dxa"/>
              <w:end w:w="140" w:type="dxa"/>
            </w:tcMar>
          </w:tcPr>
          <w:p>
            <w:pPr>
              <w:spacing w:after="0"/>
              <w:jc w:val="left"/>
            </w:pPr>
            <w:r>
              <w:rPr>
                <w:sz w:val="20"/>
              </w:rPr>
              <w:t>Pilot</w:t>
            </w:r>
          </w:p>
        </w:tc>
        <w:tc>
          <w:tcPr>
            <w:tcW w:type="dxa" w:w="2982"/>
            <w:vAlign w:val="center"/>
            <w:tcMar>
              <w:top w:w="120" w:type="dxa"/>
              <w:start w:w="140" w:type="dxa"/>
              <w:bottom w:w="120" w:type="dxa"/>
              <w:end w:w="140" w:type="dxa"/>
            </w:tcMar>
          </w:tcPr>
          <w:p>
            <w:pPr>
              <w:spacing w:after="0"/>
              <w:jc w:val="left"/>
            </w:pPr>
            <w:r>
              <w:rPr>
                <w:sz w:val="20"/>
              </w:rPr>
              <w:t>Build and validate one reporting workflow</w:t>
            </w:r>
          </w:p>
        </w:tc>
        <w:tc>
          <w:tcPr>
            <w:tcW w:type="dxa" w:w="3108"/>
            <w:vAlign w:val="center"/>
            <w:tcMar>
              <w:top w:w="120" w:type="dxa"/>
              <w:start w:w="140" w:type="dxa"/>
              <w:bottom w:w="120" w:type="dxa"/>
              <w:end w:w="140" w:type="dxa"/>
            </w:tcMar>
          </w:tcPr>
          <w:p>
            <w:pPr>
              <w:spacing w:after="0"/>
              <w:jc w:val="left"/>
            </w:pPr>
            <w:r>
              <w:rPr>
                <w:sz w:val="20"/>
              </w:rPr>
              <w:t>Tested pipeline and reviewed report</w:t>
            </w:r>
          </w:p>
        </w:tc>
      </w:tr>
      <w:tr>
        <w:tc>
          <w:tcPr>
            <w:tcW w:type="dxa" w:w="2982"/>
            <w:vAlign w:val="center"/>
            <w:tcMar>
              <w:top w:w="120" w:type="dxa"/>
              <w:start w:w="140" w:type="dxa"/>
              <w:bottom w:w="120" w:type="dxa"/>
              <w:end w:w="140" w:type="dxa"/>
            </w:tcMar>
          </w:tcPr>
          <w:p>
            <w:pPr>
              <w:spacing w:after="0"/>
              <w:jc w:val="left"/>
            </w:pPr>
            <w:r>
              <w:rPr>
                <w:sz w:val="20"/>
              </w:rPr>
              <w:t>Adoption</w:t>
            </w:r>
          </w:p>
        </w:tc>
        <w:tc>
          <w:tcPr>
            <w:tcW w:type="dxa" w:w="2982"/>
            <w:vAlign w:val="center"/>
            <w:tcMar>
              <w:top w:w="120" w:type="dxa"/>
              <w:start w:w="140" w:type="dxa"/>
              <w:bottom w:w="120" w:type="dxa"/>
              <w:end w:w="140" w:type="dxa"/>
            </w:tcMar>
          </w:tcPr>
          <w:p>
            <w:pPr>
              <w:spacing w:after="0"/>
              <w:jc w:val="left"/>
            </w:pPr>
            <w:r>
              <w:rPr>
                <w:sz w:val="20"/>
              </w:rPr>
              <w:t>Transfer ownership and document operation</w:t>
            </w:r>
          </w:p>
        </w:tc>
        <w:tc>
          <w:tcPr>
            <w:tcW w:type="dxa" w:w="3108"/>
            <w:vAlign w:val="center"/>
            <w:tcMar>
              <w:top w:w="120" w:type="dxa"/>
              <w:start w:w="140" w:type="dxa"/>
              <w:bottom w:w="120" w:type="dxa"/>
              <w:end w:w="140" w:type="dxa"/>
            </w:tcMar>
          </w:tcPr>
          <w:p>
            <w:pPr>
              <w:spacing w:after="0"/>
              <w:jc w:val="left"/>
            </w:pPr>
            <w:r>
              <w:rPr>
                <w:sz w:val="20"/>
              </w:rPr>
              <w:t>Runbook and team walkthrough</w:t>
            </w:r>
          </w:p>
        </w:tc>
      </w:tr>
    </w:tbl>
    <w:p>
      <w:pPr>
        <w:pStyle w:val="Heading2"/>
      </w:pPr>
      <w:bookmarkStart w:id="5" w:name="_TocApta5"/>
      <w:r>
        <w:t>1.3. Delivery Principles</w:t>
      </w:r>
      <w:bookmarkEnd w:id="5"/>
    </w:p>
    <w:p>
      <w:pPr>
        <w:pStyle w:val="ListNumber"/>
        <w:keepNext/>
        <w:jc w:val="left"/>
      </w:pPr>
      <w:r>
        <w:t>Keep source data and business definitions traceable.</w:t>
      </w:r>
    </w:p>
    <w:p>
      <w:pPr>
        <w:pStyle w:val="ListNumber"/>
        <w:keepNext/>
        <w:jc w:val="left"/>
      </w:pPr>
      <w:r>
        <w:t>Test quality at each handoff in the workflow.</w:t>
      </w:r>
    </w:p>
    <w:p>
      <w:pPr>
        <w:pStyle w:val="ListNumber"/>
        <w:keepNext w:val="0"/>
        <w:jc w:val="left"/>
      </w:pPr>
      <w:r>
        <w:t>Record assumptions and decisions as they are made.</w:t>
      </w:r>
    </w:p>
    <w:p>
      <w:pPr>
        <w:pStyle w:val="AptaCode"/>
        <w:shd w:fill="F1F5F9"/>
      </w:pPr>
      <w:r>
        <w:t>Source -&gt; Validation -&gt; Transformation -&gt; Reporting -&gt; Review</w:t>
        <w:br/>
      </w:r>
    </w:p>
    <w:p>
      <w:pPr>
        <w:pStyle w:val="Heading2"/>
      </w:pPr>
      <w:bookmarkStart w:id="6" w:name="_TocApta6"/>
      <w:r>
        <w:t>1.4. Next Steps</w:t>
      </w:r>
      <w:bookmarkEnd w:id="6"/>
    </w:p>
    <w:p>
      <w:pPr>
        <w:jc w:val="both"/>
      </w:pPr>
      <w:r>
        <w:t>Schedule a discovery session to confirm the pilot domain, decision owner, available data, and acceptance criteria. Review the workplan and commercial scope after those inputs have been agreed.</w:t>
      </w:r>
    </w:p>
    <w:sectPr w:rsidR="00FC693F" w:rsidRPr="0006063C" w:rsidSect="00034616">
      <w:headerReference w:type="default" r:id="rId10"/>
      <w:footerReference w:type="default" r:id="rId11"/>
      <w:pgSz w:w="11906" w:h="16838"/>
      <w:pgMar w:top="1701" w:right="1417" w:bottom="1701"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82"/>
        <w:sz w:val="16"/>
      </w:rPr>
      <w:t xml:space="preserve">Aptaworks Team  |  Page </w:t>
    </w:r>
    <w:r>
      <w:rPr>
        <w:color w:val="5E6B8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8901" w:val="right"/>
      </w:tabs>
      <w:pBdr>
        <w:bottom w:val="single" w:sz="6" w:space="4" w:color="EF7636"/>
      </w:pBdr>
    </w:pPr>
    <w:r>
      <w:rPr>
        <w:b/>
        <w:color w:val="5E6B82"/>
        <w:sz w:val="16"/>
      </w:rPr>
      <w:t>Illustrative proposal - Operational Reporting Modernization</w:t>
    </w:r>
    <w:r>
      <w:rPr>
        <w:color w:val="5E6B82"/>
        <w:sz w:val="16"/>
      </w:rPr>
      <w:tab/>
    </w:r>
    <w:r>
      <w:rPr>
        <w:color w:val="5E6B82"/>
        <w:sz w:val="16"/>
      </w:rPr>
      <w:drawing>
        <wp:inline xmlns:a="http://schemas.openxmlformats.org/drawingml/2006/main" xmlns:pic="http://schemas.openxmlformats.org/drawingml/2006/picture">
          <wp:extent cx="1260000" cy="252803"/>
          <wp:docPr id="1" name="Picture 1"/>
          <wp:cNvGraphicFramePr>
            <a:graphicFrameLocks noChangeAspect="1"/>
          </wp:cNvGraphicFramePr>
          <a:graphic>
            <a:graphicData uri="http://schemas.openxmlformats.org/drawingml/2006/picture">
              <pic:pic>
                <pic:nvPicPr>
                  <pic:cNvPr id="0" name="logo_aptaworks_wide_navy.png"/>
                  <pic:cNvPicPr/>
                </pic:nvPicPr>
                <pic:blipFill>
                  <a:blip r:embed="rId1"/>
                  <a:stretch>
                    <a:fillRect/>
                  </a:stretch>
                </pic:blipFill>
                <pic:spPr>
                  <a:xfrm>
                    <a:off x="0" y="0"/>
                    <a:ext cx="1260000" cy="25280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jc w:val="both"/>
    </w:pPr>
    <w:rPr>
      <w:rFonts w:ascii="Lato" w:hAnsi="Lato" w:eastAsia="Lato" w:cs="Lato"/>
      <w:color w:val="17234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ascii="Georgia" w:hAnsi="Georgia" w:eastAsia="Georgia" w:cs="Georgia"/>
      <w:b w:val="0"/>
      <w:bCs/>
      <w:color w:val="17234E"/>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Georgia" w:hAnsi="Georgia" w:eastAsia="Georgia" w:cs="Georgia"/>
      <w:b w:val="0"/>
      <w:bCs/>
      <w:color w:val="17234E"/>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Lato" w:hAnsi="Lato" w:eastAsia="Lato" w:cs="Lato"/>
      <w:b/>
      <w:bCs/>
      <w:color w:val="1723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eastAsia="Georgia" w:cs="Georgia"/>
      <w:b w:val="0"/>
      <w:color w:val="17234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60"/>
    </w:pPr>
    <w:rPr>
      <w:rFonts w:ascii="Lato" w:hAnsi="Lato" w:eastAsia="Lato" w:cs="Lato"/>
      <w:b/>
      <w:color w:val="17234E"/>
      <w:sz w:val="22"/>
    </w:rPr>
  </w:style>
  <w:style w:type="paragraph" w:customStyle="1" w:styleId="TOC2">
    <w:name w:val="TOC 2"/>
    <w:pPr>
      <w:spacing w:after="60"/>
    </w:pPr>
    <w:rPr>
      <w:rFonts w:ascii="Lato" w:hAnsi="Lato" w:eastAsia="Lato" w:cs="Lato"/>
      <w:b w:val="0"/>
      <w:color w:val="17234E"/>
      <w:sz w:val="20"/>
    </w:rPr>
  </w:style>
  <w:style w:type="paragraph" w:customStyle="1" w:styleId="TOC3">
    <w:name w:val="TOC 3"/>
    <w:pPr>
      <w:spacing w:after="60"/>
    </w:pPr>
    <w:rPr>
      <w:rFonts w:ascii="Lato" w:hAnsi="Lato" w:eastAsia="Lato" w:cs="Lato"/>
      <w:b w:val="0"/>
      <w:color w:val="17234E"/>
      <w:sz w:val="20"/>
    </w:rPr>
  </w:style>
  <w:style w:type="paragraph" w:customStyle="1" w:styleId="AptaCode">
    <w:name w:val="Apta Code"/>
    <w:pPr>
      <w:spacing w:before="120" w:after="160"/>
      <w:ind w:left="240" w:right="240"/>
    </w:pPr>
    <w:rPr>
      <w:rFonts w:ascii="Consolas" w:hAnsi="Consolas" w:eastAsia="Consolas" w:cs="Consolas"/>
      <w:color w:val="1723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Reporting Modernization</dc:title>
  <dc:subject>A phased proposal for consistent data, dependable reporting, and practical adoption.</dc:subject>
  <dc:creator>Aptaworks Team</dc:creator>
  <cp:keywords>Aptaworks, proposal</cp:keywords>
  <dc:description>generated by python-docx</dc:description>
  <cp:lastModifiedBy/>
  <cp:revision>1</cp:revision>
  <dcterms:created xsi:type="dcterms:W3CDTF">2013-12-23T23:15:00Z</dcterms:created>
  <dcterms:modified xsi:type="dcterms:W3CDTF">2013-12-23T23:15:00Z</dcterms:modified>
  <cp:category/>
</cp:coreProperties>
</file>