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-299758619"/>
        <w:docPartObj>
          <w:docPartGallery w:val="Cover Pages"/>
          <w:docPartUnique/>
        </w:docPartObj>
      </w:sdtPr>
      <w:sdtContent>
        <w:p w14:paraId="23AA7CAE" w14:textId="4B2C219A" w:rsidR="004C4DF7" w:rsidRPr="00123FC1" w:rsidRDefault="004C4DF7">
          <w:pPr>
            <w:rPr>
              <w:rFonts w:ascii="Arial" w:hAnsi="Arial" w:cs="Arial"/>
            </w:rPr>
          </w:pPr>
          <w:r w:rsidRPr="00123FC1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E7DF527" wp14:editId="266A103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  <a:solidFill>
                              <a:schemeClr val="accent3">
                                <a:lumMod val="50000"/>
                              </a:schemeClr>
                            </a:solidFill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  <a:grpFill/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BBF94A2" w14:textId="77777777" w:rsidR="004C4DF7" w:rsidRDefault="004C4DF7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grpFill/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grp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FB5E54B" w14:textId="36F3A300" w:rsidR="004C4DF7" w:rsidRDefault="004C4DF7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Enterprise SBOM Governance at Scale: Lessons from AI &amp; Automotive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79646" w:themeColor="accent6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02A2AF0" w14:textId="664782C0" w:rsidR="004C4DF7" w:rsidRPr="00916A27" w:rsidRDefault="004C4DF7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F79646" w:themeColor="accent6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916A27">
                                        <w:rPr>
                                          <w:color w:val="F79646" w:themeColor="accent6"/>
                                          <w:sz w:val="36"/>
                                          <w:szCs w:val="36"/>
                                        </w:rPr>
                                        <w:t>By Devashri Datta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E7DF527" id="Group 1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AYoV/nEQgAAGYq&#10;AAAOAAAAAAAAAAAAAAAAAC4CAABkcnMvZTJvRG9jLnhtbFBLAQItABQABgAIAAAAIQCQ+IEL2gAA&#10;AAcBAAAPAAAAAAAAAAAAAAAAAGsKAABkcnMvZG93bnJldi54bWxQSwUGAAAAAAQABADzAAAAcgsA&#10;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" filled="f" stroked="f" strokeweight="2pt">
                        <v:textbox inset="54pt,54pt,1in,5in">
                          <w:txbxContent>
                            <w:p w14:paraId="4BBF94A2" w14:textId="77777777" w:rsidR="004C4DF7" w:rsidRDefault="004C4DF7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FB5E54B" w14:textId="36F3A300" w:rsidR="004C4DF7" w:rsidRDefault="004C4DF7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Enterprise SBOM Governance at Scale: Lessons from AI &amp; Automotive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79646" w:themeColor="accent6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02A2AF0" w14:textId="664782C0" w:rsidR="004C4DF7" w:rsidRPr="00916A27" w:rsidRDefault="004C4DF7">
                                <w:pPr>
                                  <w:pStyle w:val="NoSpacing"/>
                                  <w:spacing w:before="120"/>
                                  <w:rPr>
                                    <w:color w:val="F79646" w:themeColor="accent6"/>
                                    <w:sz w:val="36"/>
                                    <w:szCs w:val="36"/>
                                  </w:rPr>
                                </w:pPr>
                                <w:r w:rsidRPr="00916A27">
                                  <w:rPr>
                                    <w:color w:val="F79646" w:themeColor="accent6"/>
                                    <w:sz w:val="36"/>
                                    <w:szCs w:val="36"/>
                                  </w:rPr>
                                  <w:t>By Devashri Datta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D50D7E7" w14:textId="77777777" w:rsidR="00123FC1" w:rsidRDefault="004C4DF7" w:rsidP="00EF4922">
          <w:pPr>
            <w:rPr>
              <w:noProof/>
            </w:rPr>
          </w:pPr>
          <w:r w:rsidRPr="00123FC1">
            <w:rPr>
              <w:rFonts w:ascii="Arial" w:hAnsi="Arial" w:cs="Arial"/>
            </w:rPr>
            <w:br w:type="page"/>
          </w:r>
          <w:r w:rsidRPr="00123FC1">
            <w:rPr>
              <w:rFonts w:ascii="Arial" w:hAnsi="Arial" w:cs="Arial"/>
            </w:rPr>
            <w:lastRenderedPageBreak/>
            <w:t xml:space="preserve"> </w:t>
          </w:r>
          <w:r w:rsidR="00EF4922" w:rsidRPr="00123FC1">
            <w:rPr>
              <w:rFonts w:ascii="Arial" w:hAnsi="Arial" w:cs="Arial"/>
            </w:rPr>
            <w:fldChar w:fldCharType="begin"/>
          </w:r>
          <w:r w:rsidR="00EF4922" w:rsidRPr="00123FC1">
            <w:rPr>
              <w:rFonts w:ascii="Arial" w:hAnsi="Arial" w:cs="Arial"/>
            </w:rPr>
            <w:instrText xml:space="preserve"> TOC \o "1-2" \h \z \u </w:instrText>
          </w:r>
          <w:r w:rsidR="00EF4922" w:rsidRPr="00123FC1">
            <w:rPr>
              <w:rFonts w:ascii="Arial" w:hAnsi="Arial" w:cs="Arial"/>
            </w:rPr>
            <w:fldChar w:fldCharType="separate"/>
          </w:r>
        </w:p>
        <w:p w14:paraId="117781E7" w14:textId="16951AB9" w:rsidR="00123FC1" w:rsidRDefault="00123FC1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37" w:history="1">
            <w:r w:rsidRPr="00182AA8">
              <w:rPr>
                <w:rStyle w:val="Hyperlink"/>
                <w:rFonts w:ascii="Arial" w:hAnsi="Arial" w:cs="Arial"/>
                <w:noProof/>
              </w:rPr>
              <w:t>Context &amp;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F2B3F" w14:textId="2F1EA5DE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38" w:history="1">
            <w:r w:rsidRPr="00182AA8">
              <w:rPr>
                <w:rStyle w:val="Hyperlink"/>
                <w:rFonts w:ascii="Arial" w:hAnsi="Arial" w:cs="Arial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AEFCC" w14:textId="0A8E9E9B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39" w:history="1">
            <w:r w:rsidRPr="00182AA8">
              <w:rPr>
                <w:rStyle w:val="Hyperlink"/>
                <w:rFonts w:ascii="Arial" w:hAnsi="Arial" w:cs="Arial"/>
                <w:noProof/>
              </w:rPr>
              <w:t>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E2BC4" w14:textId="44FA4130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40" w:history="1">
            <w:r w:rsidRPr="00182AA8">
              <w:rPr>
                <w:rStyle w:val="Hyperlink"/>
                <w:rFonts w:ascii="Arial" w:hAnsi="Arial" w:cs="Arial"/>
                <w:noProof/>
              </w:rPr>
              <w:t>Why SBOM Governance Matters Now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1E30F" w14:textId="563069CE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41" w:history="1">
            <w:r w:rsidRPr="00182AA8">
              <w:rPr>
                <w:rStyle w:val="Hyperlink"/>
                <w:rFonts w:ascii="Arial" w:hAnsi="Arial" w:cs="Arial"/>
                <w:noProof/>
              </w:rPr>
              <w:t>Why SBOM Governance Is Hard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07CA8" w14:textId="3BAB9BCF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42" w:history="1">
            <w:r w:rsidRPr="00182AA8">
              <w:rPr>
                <w:rStyle w:val="Hyperlink"/>
                <w:rFonts w:ascii="Arial" w:hAnsi="Arial" w:cs="Arial"/>
                <w:noProof/>
              </w:rPr>
              <w:t>Risk &amp; Threat Model for SBOM Manipulation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B1A70" w14:textId="2B6C9C84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43" w:history="1">
            <w:r w:rsidRPr="00182AA8">
              <w:rPr>
                <w:rStyle w:val="Hyperlink"/>
                <w:rFonts w:ascii="Arial" w:hAnsi="Arial" w:cs="Arial"/>
                <w:noProof/>
              </w:rPr>
              <w:t>Mapping to SSDF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219A0" w14:textId="7719908A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44" w:history="1">
            <w:r w:rsidRPr="00182AA8">
              <w:rPr>
                <w:rStyle w:val="Hyperlink"/>
                <w:rFonts w:ascii="Arial" w:hAnsi="Arial" w:cs="Arial"/>
                <w:noProof/>
              </w:rPr>
              <w:t>Aligning to Regulations &amp; 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DC7EB" w14:textId="46C01B38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45" w:history="1">
            <w:r w:rsidRPr="00182AA8">
              <w:rPr>
                <w:rStyle w:val="Hyperlink"/>
                <w:rFonts w:ascii="Arial" w:hAnsi="Arial" w:cs="Arial"/>
                <w:noProof/>
              </w:rPr>
              <w:t>Future of SBOM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B766F" w14:textId="20A95FE4" w:rsidR="00123FC1" w:rsidRDefault="00123FC1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46" w:history="1">
            <w:r w:rsidRPr="00182AA8">
              <w:rPr>
                <w:rStyle w:val="Hyperlink"/>
                <w:rFonts w:ascii="Arial" w:hAnsi="Arial" w:cs="Arial"/>
                <w:noProof/>
              </w:rPr>
              <w:t>Governance Model (Policy, Controls, and Measurement)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B6806" w14:textId="05FD27CA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47" w:history="1">
            <w:r w:rsidRPr="00182AA8">
              <w:rPr>
                <w:rStyle w:val="Hyperlink"/>
                <w:rFonts w:ascii="Arial" w:hAnsi="Arial" w:cs="Arial"/>
                <w:noProof/>
              </w:rPr>
              <w:t>Enterprise SBOM Governance Pipeline (Policy-Driven, Automated)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29702" w14:textId="0DD7D8B5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48" w:history="1">
            <w:r w:rsidRPr="00182AA8">
              <w:rPr>
                <w:rStyle w:val="Hyperlink"/>
                <w:rFonts w:ascii="Arial" w:hAnsi="Arial" w:cs="Arial"/>
                <w:noProof/>
              </w:rPr>
              <w:t>Sample Enterprise SBOM Policy (Template)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7DFA0" w14:textId="4550EB44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49" w:history="1">
            <w:r w:rsidRPr="00182AA8">
              <w:rPr>
                <w:rStyle w:val="Hyperlink"/>
                <w:rFonts w:ascii="Arial" w:hAnsi="Arial" w:cs="Arial"/>
                <w:noProof/>
              </w:rPr>
              <w:t>Threat Model &amp; Compensating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AC3EE" w14:textId="5D34A8F8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50" w:history="1">
            <w:r w:rsidRPr="00182AA8">
              <w:rPr>
                <w:rStyle w:val="Hyperlink"/>
                <w:rFonts w:ascii="Arial" w:hAnsi="Arial" w:cs="Arial"/>
                <w:noProof/>
              </w:rPr>
              <w:t>Supplier Governance: Scoring &amp; Gating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B7440" w14:textId="501C36C3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51" w:history="1">
            <w:r w:rsidRPr="00182AA8">
              <w:rPr>
                <w:rStyle w:val="Hyperlink"/>
                <w:rFonts w:ascii="Arial" w:hAnsi="Arial" w:cs="Arial"/>
                <w:noProof/>
              </w:rPr>
              <w:t>Impact on Procurement and Authorization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79F95" w14:textId="3C8A3019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52" w:history="1">
            <w:r w:rsidRPr="00182AA8">
              <w:rPr>
                <w:rStyle w:val="Hyperlink"/>
                <w:rFonts w:ascii="Arial" w:hAnsi="Arial" w:cs="Arial"/>
                <w:noProof/>
              </w:rPr>
              <w:t>Evidence &amp; Audit Packaging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1D2FF" w14:textId="44CB3680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53" w:history="1">
            <w:r w:rsidRPr="00182AA8">
              <w:rPr>
                <w:rStyle w:val="Hyperlink"/>
                <w:rFonts w:ascii="Arial" w:hAnsi="Arial" w:cs="Arial"/>
                <w:noProof/>
              </w:rPr>
              <w:t>Metrics That Prove Governance (KPIs &amp; OKRs)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85F80" w14:textId="0CB3F9A2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54" w:history="1">
            <w:r w:rsidRPr="00182AA8">
              <w:rPr>
                <w:rStyle w:val="Hyperlink"/>
                <w:rFonts w:ascii="Arial" w:hAnsi="Arial" w:cs="Arial"/>
                <w:noProof/>
              </w:rPr>
              <w:t>Maturity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4637A" w14:textId="13B95BD6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55" w:history="1">
            <w:r w:rsidRPr="00182AA8">
              <w:rPr>
                <w:rStyle w:val="Hyperlink"/>
                <w:rFonts w:ascii="Arial" w:hAnsi="Arial" w:cs="Arial"/>
                <w:noProof/>
              </w:rPr>
              <w:t>Scaling Across Multi</w:t>
            </w:r>
            <w:r w:rsidRPr="00182AA8">
              <w:rPr>
                <w:rStyle w:val="Hyperlink"/>
                <w:rFonts w:ascii="Arial" w:hAnsi="Arial" w:cs="Arial"/>
                <w:noProof/>
              </w:rPr>
              <w:noBreakHyphen/>
              <w:t>Product Organizations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1F15" w14:textId="5C565719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56" w:history="1">
            <w:r w:rsidRPr="00182AA8">
              <w:rPr>
                <w:rStyle w:val="Hyperlink"/>
                <w:rFonts w:ascii="Arial" w:hAnsi="Arial" w:cs="Arial"/>
                <w:noProof/>
              </w:rPr>
              <w:t>What Governance at Scale Really Means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A2159" w14:textId="0DB5B772" w:rsidR="00123FC1" w:rsidRDefault="00123FC1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57" w:history="1">
            <w:r w:rsidRPr="00182AA8">
              <w:rPr>
                <w:rStyle w:val="Hyperlink"/>
                <w:rFonts w:ascii="Arial" w:hAnsi="Arial" w:cs="Arial"/>
                <w:noProof/>
              </w:rPr>
              <w:t>Architecture &amp;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E406D" w14:textId="549DDD54" w:rsidR="00123FC1" w:rsidRDefault="00123FC1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58" w:history="1">
            <w:r w:rsidRPr="00182AA8">
              <w:rPr>
                <w:rStyle w:val="Hyperlink"/>
                <w:rFonts w:ascii="Arial" w:hAnsi="Arial" w:cs="Arial"/>
                <w:noProof/>
              </w:rPr>
              <w:t>Reference Architecture: Enterprise SBOM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A816B" w14:textId="19F3DFA5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59" w:history="1">
            <w:r w:rsidRPr="00182AA8">
              <w:rPr>
                <w:rStyle w:val="Hyperlink"/>
                <w:rFonts w:ascii="Arial" w:hAnsi="Arial" w:cs="Arial"/>
                <w:noProof/>
              </w:rPr>
              <w:t>Tools Integration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3CE65" w14:textId="56816231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60" w:history="1">
            <w:r w:rsidRPr="00182AA8">
              <w:rPr>
                <w:rStyle w:val="Hyperlink"/>
                <w:rFonts w:ascii="Arial" w:hAnsi="Arial" w:cs="Arial"/>
                <w:noProof/>
              </w:rPr>
              <w:t>Evolution from Static SBOMs to Governance-Driven SBOMs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1E171" w14:textId="0268C4F5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61" w:history="1">
            <w:r w:rsidRPr="00182AA8">
              <w:rPr>
                <w:rStyle w:val="Hyperlink"/>
                <w:rFonts w:ascii="Arial" w:hAnsi="Arial" w:cs="Arial"/>
                <w:noProof/>
              </w:rPr>
              <w:t>Differentiating AI/ML SBOMs: Supply</w:t>
            </w:r>
            <w:r w:rsidRPr="00182AA8">
              <w:rPr>
                <w:rStyle w:val="Hyperlink"/>
                <w:rFonts w:ascii="Arial" w:hAnsi="Arial" w:cs="Arial"/>
                <w:noProof/>
              </w:rPr>
              <w:noBreakHyphen/>
              <w:t>Chain Governance for Model</w:t>
            </w:r>
            <w:r w:rsidRPr="00182AA8">
              <w:rPr>
                <w:rStyle w:val="Hyperlink"/>
                <w:rFonts w:ascii="Arial" w:hAnsi="Arial" w:cs="Arial"/>
                <w:noProof/>
              </w:rPr>
              <w:noBreakHyphen/>
              <w:t>Driven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28357" w14:textId="4AB926E0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62" w:history="1">
            <w:r w:rsidRPr="00182AA8">
              <w:rPr>
                <w:rStyle w:val="Hyperlink"/>
                <w:rFonts w:ascii="Arial" w:hAnsi="Arial" w:cs="Arial"/>
                <w:noProof/>
              </w:rPr>
              <w:t>Handling Third</w:t>
            </w:r>
            <w:r w:rsidRPr="00182AA8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182AA8">
              <w:rPr>
                <w:rStyle w:val="Hyperlink"/>
                <w:rFonts w:ascii="Arial" w:hAnsi="Arial" w:cs="Arial"/>
                <w:noProof/>
              </w:rPr>
              <w:t>Party SBOMs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591E5" w14:textId="155A477B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63" w:history="1">
            <w:r w:rsidRPr="00182AA8">
              <w:rPr>
                <w:rStyle w:val="Hyperlink"/>
                <w:rFonts w:ascii="Arial" w:hAnsi="Arial" w:cs="Arial"/>
                <w:noProof/>
              </w:rPr>
              <w:t>Minimum Required SBOM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AF09C" w14:textId="778A31C3" w:rsidR="00123FC1" w:rsidRDefault="00123FC1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64" w:history="1">
            <w:r w:rsidRPr="00182AA8">
              <w:rPr>
                <w:rStyle w:val="Hyperlink"/>
                <w:rFonts w:ascii="Arial" w:hAnsi="Arial" w:cs="Arial"/>
                <w:noProof/>
              </w:rPr>
              <w:t>Operating Model &amp;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D5229" w14:textId="2D7791F5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65" w:history="1">
            <w:r w:rsidRPr="00182AA8">
              <w:rPr>
                <w:rStyle w:val="Hyperlink"/>
                <w:rFonts w:ascii="Arial" w:hAnsi="Arial" w:cs="Arial"/>
                <w:noProof/>
              </w:rPr>
              <w:t>Implementation Roles &amp; Responsibilities (RACI)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5BF4A" w14:textId="7AD92E8D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66" w:history="1">
            <w:r w:rsidRPr="00182AA8">
              <w:rPr>
                <w:rStyle w:val="Hyperlink"/>
                <w:rFonts w:ascii="Arial" w:hAnsi="Arial" w:cs="Arial"/>
                <w:noProof/>
              </w:rPr>
              <w:t>RACI / Swimlane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87643" w14:textId="212CCD14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67" w:history="1">
            <w:r w:rsidRPr="00182AA8">
              <w:rPr>
                <w:rStyle w:val="Hyperlink"/>
                <w:rFonts w:ascii="Arial" w:hAnsi="Arial" w:cs="Arial"/>
                <w:noProof/>
              </w:rPr>
              <w:t>Minimum Viable Program (90 Days)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DD643" w14:textId="59F3C57C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68" w:history="1">
            <w:r w:rsidRPr="00182AA8">
              <w:rPr>
                <w:rStyle w:val="Hyperlink"/>
                <w:rFonts w:ascii="Arial" w:hAnsi="Arial" w:cs="Arial"/>
                <w:noProof/>
              </w:rPr>
              <w:t>Roadmap Beyond MVP: Phase 2 and Phase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18DCC" w14:textId="33403F16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69" w:history="1">
            <w:r w:rsidRPr="00182AA8">
              <w:rPr>
                <w:rStyle w:val="Hyperlink"/>
                <w:rFonts w:ascii="Arial" w:hAnsi="Arial" w:cs="Arial"/>
                <w:noProof/>
              </w:rPr>
              <w:t>Transformation: Before vs After SBOM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9B390" w14:textId="021529B6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70" w:history="1">
            <w:r w:rsidRPr="00182AA8">
              <w:rPr>
                <w:rStyle w:val="Hyperlink"/>
                <w:rFonts w:ascii="Arial" w:hAnsi="Arial" w:cs="Arial"/>
                <w:noProof/>
              </w:rPr>
              <w:t>Why SBOM Programs Fail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A56BC" w14:textId="3FAC8877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71" w:history="1">
            <w:r w:rsidRPr="00182AA8">
              <w:rPr>
                <w:rStyle w:val="Hyperlink"/>
                <w:rFonts w:ascii="Arial" w:hAnsi="Arial" w:cs="Arial"/>
                <w:noProof/>
              </w:rPr>
              <w:t>Pitfalls to Avoid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E1F58" w14:textId="57646464" w:rsidR="00123FC1" w:rsidRDefault="00123FC1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72" w:history="1">
            <w:r w:rsidRPr="00182AA8">
              <w:rPr>
                <w:rStyle w:val="Hyperlink"/>
                <w:rFonts w:ascii="Arial" w:hAnsi="Arial" w:cs="Arial"/>
                <w:noProof/>
              </w:rPr>
              <w:t>Validation, Examples, and Comparisons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563E3" w14:textId="6E583CC1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73" w:history="1">
            <w:r w:rsidRPr="00182AA8">
              <w:rPr>
                <w:rStyle w:val="Hyperlink"/>
                <w:rFonts w:ascii="Arial" w:hAnsi="Arial" w:cs="Arial"/>
                <w:noProof/>
              </w:rPr>
              <w:t>Comparison to Public Guidance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5CB1E" w14:textId="3D5953E6" w:rsidR="00123FC1" w:rsidRDefault="00123FC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74" w:history="1">
            <w:r w:rsidRPr="00182AA8">
              <w:rPr>
                <w:rStyle w:val="Hyperlink"/>
                <w:rFonts w:ascii="Arial" w:hAnsi="Arial" w:cs="Arial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DF499" w14:textId="0A543C88" w:rsidR="00123FC1" w:rsidRDefault="00123FC1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75" w:history="1">
            <w:r w:rsidRPr="00182AA8">
              <w:rPr>
                <w:rStyle w:val="Hyperlink"/>
                <w:rFonts w:ascii="Arial" w:hAnsi="Arial" w:cs="Arial"/>
                <w:noProof/>
              </w:rPr>
              <w:t>Format &amp; Delivery: Set the Enterprise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D5BFC" w14:textId="71FE5439" w:rsidR="00123FC1" w:rsidRDefault="00123FC1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76" w:history="1">
            <w:r w:rsidRPr="00182AA8">
              <w:rPr>
                <w:rStyle w:val="Hyperlink"/>
                <w:rFonts w:ascii="Arial" w:hAnsi="Arial" w:cs="Arial"/>
                <w:noProof/>
              </w:rPr>
              <w:t>Who Uses This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EBA8D" w14:textId="15D0EB5B" w:rsidR="00123FC1" w:rsidRDefault="00123FC1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8324677" w:history="1">
            <w:r w:rsidRPr="00182AA8">
              <w:rPr>
                <w:rStyle w:val="Hyperlink"/>
                <w:rFonts w:ascii="Arial" w:hAnsi="Arial" w:cs="Arial"/>
                <w:noProof/>
              </w:rPr>
              <w:t>Tooling Landscape (Neutral 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_Toc218324677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4207F" w14:textId="217EBEC7" w:rsidR="004C4DF7" w:rsidRPr="00123FC1" w:rsidRDefault="00EF4922" w:rsidP="00EF4922">
          <w:pPr>
            <w:rPr>
              <w:rFonts w:ascii="Arial" w:hAnsi="Arial" w:cs="Arial"/>
            </w:rPr>
          </w:pPr>
          <w:r w:rsidRPr="00123FC1">
            <w:rPr>
              <w:rFonts w:ascii="Arial" w:hAnsi="Arial" w:cs="Arial"/>
            </w:rPr>
            <w:fldChar w:fldCharType="end"/>
          </w:r>
        </w:p>
      </w:sdtContent>
    </w:sdt>
    <w:p w14:paraId="156A9A3E" w14:textId="2379EF71" w:rsidR="00EA2BD6" w:rsidRPr="00123FC1" w:rsidRDefault="00EA2BD6">
      <w:pPr>
        <w:rPr>
          <w:rFonts w:ascii="Arial" w:eastAsiaTheme="majorEastAsia" w:hAnsi="Arial" w:cs="Arial"/>
          <w:color w:val="17365D" w:themeColor="text2" w:themeShade="BF"/>
          <w:spacing w:val="5"/>
          <w:kern w:val="28"/>
        </w:rPr>
      </w:pPr>
      <w:r w:rsidRPr="00123FC1">
        <w:rPr>
          <w:rFonts w:ascii="Arial" w:hAnsi="Arial" w:cs="Arial"/>
        </w:rPr>
        <w:br w:type="page"/>
      </w:r>
    </w:p>
    <w:p w14:paraId="3871278E" w14:textId="77777777" w:rsidR="004B1C20" w:rsidRPr="004B1C20" w:rsidRDefault="004B1C20" w:rsidP="004B1C20">
      <w:pPr>
        <w:pStyle w:val="Heading1"/>
        <w:rPr>
          <w:rFonts w:ascii="Arial" w:hAnsi="Arial" w:cs="Arial"/>
          <w:sz w:val="22"/>
          <w:szCs w:val="22"/>
        </w:rPr>
      </w:pPr>
      <w:bookmarkStart w:id="0" w:name="_Toc218324637"/>
    </w:p>
    <w:p w14:paraId="2E87C7DF" w14:textId="5C5FE8C4" w:rsidR="0091025B" w:rsidRPr="00123FC1" w:rsidRDefault="0091025B" w:rsidP="0091025B">
      <w:pPr>
        <w:pStyle w:val="Heading1"/>
        <w:rPr>
          <w:rFonts w:ascii="Arial" w:hAnsi="Arial" w:cs="Arial"/>
          <w:sz w:val="22"/>
          <w:szCs w:val="22"/>
        </w:rPr>
      </w:pPr>
      <w:r w:rsidRPr="00123FC1">
        <w:rPr>
          <w:rFonts w:ascii="Arial" w:hAnsi="Arial" w:cs="Arial"/>
          <w:sz w:val="22"/>
          <w:szCs w:val="22"/>
        </w:rPr>
        <w:t>Context &amp; Strategy</w:t>
      </w:r>
      <w:bookmarkEnd w:id="0"/>
    </w:p>
    <w:p w14:paraId="2375F882" w14:textId="5CE80E98" w:rsidR="00564D97" w:rsidRPr="00123FC1" w:rsidRDefault="00000000" w:rsidP="00EC0240">
      <w:pPr>
        <w:pStyle w:val="Heading2"/>
        <w:rPr>
          <w:rFonts w:ascii="Arial" w:hAnsi="Arial" w:cs="Arial"/>
          <w:sz w:val="22"/>
          <w:szCs w:val="22"/>
        </w:rPr>
      </w:pPr>
      <w:bookmarkStart w:id="1" w:name="_Toc218324638"/>
      <w:r w:rsidRPr="00123FC1">
        <w:rPr>
          <w:rFonts w:ascii="Arial" w:hAnsi="Arial" w:cs="Arial"/>
          <w:sz w:val="22"/>
          <w:szCs w:val="22"/>
        </w:rPr>
        <w:t>Executive Summary</w:t>
      </w:r>
      <w:bookmarkEnd w:id="1"/>
    </w:p>
    <w:p w14:paraId="7FCB58AE" w14:textId="1A5F51A3" w:rsidR="00564D97" w:rsidRPr="00123FC1" w:rsidRDefault="00000000">
      <w:pPr>
        <w:rPr>
          <w:rFonts w:ascii="Arial" w:hAnsi="Arial" w:cs="Arial"/>
        </w:rPr>
      </w:pPr>
      <w:r w:rsidRPr="00123FC1">
        <w:rPr>
          <w:rFonts w:ascii="Arial" w:hAnsi="Arial" w:cs="Arial"/>
        </w:rPr>
        <w:t>Software supply-chain security has shifted from a niche concern to a core business risk. With updated U.S. guidance (e.g., draft SBOM minimum elements) and the EU Cyber Resilience Act (CRA), organizations can no longer rely on static, compliance-only SBOMs. This whitepaper presents a practical, scalable governance model</w:t>
      </w:r>
      <w:r w:rsidR="002054F6" w:rsidRPr="00123FC1">
        <w:rPr>
          <w:rFonts w:ascii="Arial" w:hAnsi="Arial" w:cs="Arial"/>
        </w:rPr>
        <w:t xml:space="preserve"> </w:t>
      </w:r>
      <w:r w:rsidRPr="00123FC1">
        <w:rPr>
          <w:rFonts w:ascii="Arial" w:hAnsi="Arial" w:cs="Arial"/>
        </w:rPr>
        <w:t>grounded in real-world work with AI platforms and safety-critical automotive software</w:t>
      </w:r>
      <w:r w:rsidR="002054F6" w:rsidRPr="00123FC1">
        <w:rPr>
          <w:rFonts w:ascii="Arial" w:hAnsi="Arial" w:cs="Arial"/>
        </w:rPr>
        <w:t xml:space="preserve"> </w:t>
      </w:r>
      <w:r w:rsidRPr="00123FC1">
        <w:rPr>
          <w:rFonts w:ascii="Arial" w:hAnsi="Arial" w:cs="Arial"/>
        </w:rPr>
        <w:t>that transforms SBOM from a document into a continuous, policy-driven risk signal. It covers architecture, standards, program governance, roles and responsibilities, tooling, a 90</w:t>
      </w:r>
      <w:r w:rsidRPr="00123FC1">
        <w:rPr>
          <w:rFonts w:ascii="Cambria Math" w:hAnsi="Cambria Math" w:cs="Cambria Math"/>
        </w:rPr>
        <w:t>‑</w:t>
      </w:r>
      <w:r w:rsidRPr="00123FC1">
        <w:rPr>
          <w:rFonts w:ascii="Arial" w:hAnsi="Arial" w:cs="Arial"/>
        </w:rPr>
        <w:t>day MVP, a 12</w:t>
      </w:r>
      <w:r w:rsidRPr="00123FC1">
        <w:rPr>
          <w:rFonts w:ascii="Cambria Math" w:hAnsi="Cambria Math" w:cs="Cambria Math"/>
        </w:rPr>
        <w:t>‑</w:t>
      </w:r>
      <w:r w:rsidRPr="00123FC1">
        <w:rPr>
          <w:rFonts w:ascii="Arial" w:hAnsi="Arial" w:cs="Arial"/>
        </w:rPr>
        <w:t>month roadmap, and metrics for proving business and security outcomes.</w:t>
      </w:r>
    </w:p>
    <w:p w14:paraId="37161A06" w14:textId="77777777" w:rsidR="00564D97" w:rsidRPr="00123FC1" w:rsidRDefault="00000000" w:rsidP="00EC0240">
      <w:pPr>
        <w:pStyle w:val="Heading2"/>
        <w:rPr>
          <w:rFonts w:ascii="Arial" w:hAnsi="Arial" w:cs="Arial"/>
          <w:sz w:val="22"/>
          <w:szCs w:val="22"/>
        </w:rPr>
      </w:pPr>
      <w:bookmarkStart w:id="2" w:name="_Toc218324639"/>
      <w:r w:rsidRPr="00123FC1">
        <w:rPr>
          <w:rFonts w:ascii="Arial" w:hAnsi="Arial" w:cs="Arial"/>
          <w:sz w:val="22"/>
          <w:szCs w:val="22"/>
        </w:rPr>
        <w:t>Audience</w:t>
      </w:r>
      <w:bookmarkEnd w:id="2"/>
    </w:p>
    <w:p w14:paraId="65F13A1C" w14:textId="3F14A636" w:rsidR="00564D97" w:rsidRPr="00123FC1" w:rsidRDefault="00000000">
      <w:pPr>
        <w:rPr>
          <w:rFonts w:ascii="Arial" w:hAnsi="Arial" w:cs="Arial"/>
        </w:rPr>
      </w:pPr>
      <w:r w:rsidRPr="00123FC1">
        <w:rPr>
          <w:rFonts w:ascii="Arial" w:hAnsi="Arial" w:cs="Arial"/>
        </w:rPr>
        <w:t>Security architects, platform engineering leaders,</w:t>
      </w:r>
      <w:r w:rsidR="00805A11" w:rsidRPr="00123FC1">
        <w:rPr>
          <w:rFonts w:ascii="Arial" w:hAnsi="Arial" w:cs="Arial"/>
        </w:rPr>
        <w:t xml:space="preserve"> Product </w:t>
      </w:r>
      <w:r w:rsidR="00123FC1" w:rsidRPr="00123FC1">
        <w:rPr>
          <w:rFonts w:ascii="Arial" w:hAnsi="Arial" w:cs="Arial"/>
        </w:rPr>
        <w:t>managers, OSS</w:t>
      </w:r>
      <w:r w:rsidR="00805A11" w:rsidRPr="00123FC1">
        <w:rPr>
          <w:rFonts w:ascii="Arial" w:hAnsi="Arial" w:cs="Arial"/>
        </w:rPr>
        <w:t xml:space="preserve"> </w:t>
      </w:r>
      <w:r w:rsidRPr="00123FC1">
        <w:rPr>
          <w:rFonts w:ascii="Arial" w:hAnsi="Arial" w:cs="Arial"/>
        </w:rPr>
        <w:t>compliance owners</w:t>
      </w:r>
      <w:r w:rsidR="00FB77E3" w:rsidRPr="00123FC1">
        <w:rPr>
          <w:rFonts w:ascii="Arial" w:hAnsi="Arial" w:cs="Arial"/>
        </w:rPr>
        <w:t>/Legal</w:t>
      </w:r>
      <w:r w:rsidRPr="00123FC1">
        <w:rPr>
          <w:rFonts w:ascii="Arial" w:hAnsi="Arial" w:cs="Arial"/>
        </w:rPr>
        <w:t>, and policy teams responsible for secure software supply-chain governance in regulated environments.</w:t>
      </w:r>
    </w:p>
    <w:p w14:paraId="0FBE0B52" w14:textId="77777777" w:rsidR="00EC0240" w:rsidRPr="00123FC1" w:rsidRDefault="00EC0240" w:rsidP="00EC0240">
      <w:pPr>
        <w:pStyle w:val="Heading2"/>
        <w:rPr>
          <w:rFonts w:ascii="Arial" w:hAnsi="Arial" w:cs="Arial"/>
          <w:sz w:val="22"/>
          <w:szCs w:val="22"/>
        </w:rPr>
      </w:pPr>
      <w:bookmarkStart w:id="3" w:name="_Toc218324640"/>
      <w:r w:rsidRPr="00123FC1">
        <w:rPr>
          <w:rFonts w:ascii="Arial" w:hAnsi="Arial" w:cs="Arial"/>
          <w:sz w:val="22"/>
          <w:szCs w:val="22"/>
        </w:rPr>
        <w:t>Why SBOM Governance Matters Now</w:t>
      </w:r>
      <w:bookmarkEnd w:id="3"/>
    </w:p>
    <w:p w14:paraId="75C13292" w14:textId="2959F9FE" w:rsidR="00EC0240" w:rsidRPr="00123FC1" w:rsidRDefault="00EC0240" w:rsidP="00EC0240">
      <w:pPr>
        <w:rPr>
          <w:rFonts w:ascii="Arial" w:hAnsi="Arial" w:cs="Arial"/>
        </w:rPr>
      </w:pPr>
      <w:r w:rsidRPr="00123FC1">
        <w:rPr>
          <w:rFonts w:ascii="Arial" w:hAnsi="Arial" w:cs="Arial"/>
        </w:rPr>
        <w:t>In regulated sectors such as government, automotive, and critical infrastructure, SBOM governance influences procurement, certification, and deployment. Governance-driven SBOM programs enable audit readiness, supplier trust, and continuous assurance at scale. Standards and regulations now expect machine-readable formats, integrity, licensing metadata, tool provenance, and automation.</w:t>
      </w:r>
    </w:p>
    <w:p w14:paraId="724F2D85" w14:textId="0C74BE9D" w:rsidR="00564D97" w:rsidRPr="00123FC1" w:rsidRDefault="00000000" w:rsidP="00EC0240">
      <w:pPr>
        <w:pStyle w:val="Heading2"/>
        <w:rPr>
          <w:rFonts w:ascii="Arial" w:hAnsi="Arial" w:cs="Arial"/>
          <w:sz w:val="22"/>
          <w:szCs w:val="22"/>
        </w:rPr>
      </w:pPr>
      <w:bookmarkStart w:id="4" w:name="_Toc218324641"/>
      <w:r w:rsidRPr="00123FC1">
        <w:rPr>
          <w:rFonts w:ascii="Arial" w:hAnsi="Arial" w:cs="Arial"/>
          <w:sz w:val="22"/>
          <w:szCs w:val="22"/>
        </w:rPr>
        <w:t>Why SBOM Governance Is Hard</w:t>
      </w:r>
      <w:bookmarkEnd w:id="4"/>
    </w:p>
    <w:p w14:paraId="62922FFD" w14:textId="77777777" w:rsidR="00564D97" w:rsidRPr="00123FC1" w:rsidRDefault="00000000">
      <w:pPr>
        <w:rPr>
          <w:rFonts w:ascii="Arial" w:hAnsi="Arial" w:cs="Arial"/>
        </w:rPr>
      </w:pPr>
      <w:r w:rsidRPr="00123FC1">
        <w:rPr>
          <w:rFonts w:ascii="Arial" w:hAnsi="Arial" w:cs="Arial"/>
        </w:rPr>
        <w:t>• Exploding dependency graphs across modern AI/ML and cloud-native stacks</w:t>
      </w:r>
    </w:p>
    <w:p w14:paraId="1D47F3AD" w14:textId="77777777" w:rsidR="00564D97" w:rsidRPr="00123FC1" w:rsidRDefault="00000000">
      <w:pPr>
        <w:rPr>
          <w:rFonts w:ascii="Arial" w:hAnsi="Arial" w:cs="Arial"/>
        </w:rPr>
      </w:pPr>
      <w:r w:rsidRPr="00123FC1">
        <w:rPr>
          <w:rFonts w:ascii="Arial" w:hAnsi="Arial" w:cs="Arial"/>
        </w:rPr>
        <w:t>• Fragmented SBOM formats and scanner outputs; inconsistent vendor artifacts</w:t>
      </w:r>
    </w:p>
    <w:p w14:paraId="6C5BE380" w14:textId="77777777" w:rsidR="00564D97" w:rsidRPr="00123FC1" w:rsidRDefault="00000000">
      <w:pPr>
        <w:rPr>
          <w:rFonts w:ascii="Arial" w:hAnsi="Arial" w:cs="Arial"/>
        </w:rPr>
      </w:pPr>
      <w:r w:rsidRPr="00123FC1">
        <w:rPr>
          <w:rFonts w:ascii="Arial" w:hAnsi="Arial" w:cs="Arial"/>
        </w:rPr>
        <w:t>• Manual, point-in-time inventories that go stale quickly</w:t>
      </w:r>
    </w:p>
    <w:p w14:paraId="1C33936C" w14:textId="77777777" w:rsidR="00564D97" w:rsidRPr="00123FC1" w:rsidRDefault="00000000">
      <w:pPr>
        <w:rPr>
          <w:rFonts w:ascii="Arial" w:hAnsi="Arial" w:cs="Arial"/>
        </w:rPr>
      </w:pPr>
      <w:r w:rsidRPr="00123FC1">
        <w:rPr>
          <w:rFonts w:ascii="Arial" w:hAnsi="Arial" w:cs="Arial"/>
        </w:rPr>
        <w:t>• Limited provenance, signing, and integrity controls for SBOM and artifacts</w:t>
      </w:r>
    </w:p>
    <w:p w14:paraId="01AB5BB2" w14:textId="77777777" w:rsidR="00564D97" w:rsidRPr="00123FC1" w:rsidRDefault="00000000">
      <w:pPr>
        <w:rPr>
          <w:rFonts w:ascii="Arial" w:hAnsi="Arial" w:cs="Arial"/>
        </w:rPr>
      </w:pPr>
      <w:r w:rsidRPr="00123FC1">
        <w:rPr>
          <w:rFonts w:ascii="Arial" w:hAnsi="Arial" w:cs="Arial"/>
        </w:rPr>
        <w:t>• High CVE noise without exploitability context (VEX) and policy gates</w:t>
      </w:r>
    </w:p>
    <w:p w14:paraId="707285B9" w14:textId="77777777" w:rsidR="00762256" w:rsidRPr="00123FC1" w:rsidRDefault="00000000" w:rsidP="00762256">
      <w:pPr>
        <w:rPr>
          <w:rFonts w:ascii="Arial" w:hAnsi="Arial" w:cs="Arial"/>
        </w:rPr>
      </w:pPr>
      <w:r w:rsidRPr="00123FC1">
        <w:rPr>
          <w:rFonts w:ascii="Arial" w:hAnsi="Arial" w:cs="Arial"/>
        </w:rPr>
        <w:t>• Unclear ownership across engineering, security, legal, and procurement</w:t>
      </w:r>
    </w:p>
    <w:p w14:paraId="03383461" w14:textId="77777777" w:rsidR="00EC0240" w:rsidRPr="00123FC1" w:rsidRDefault="00EC0240" w:rsidP="00EC0240">
      <w:pPr>
        <w:pStyle w:val="Heading2"/>
        <w:rPr>
          <w:rFonts w:ascii="Arial" w:hAnsi="Arial" w:cs="Arial"/>
          <w:sz w:val="22"/>
          <w:szCs w:val="22"/>
        </w:rPr>
      </w:pPr>
      <w:bookmarkStart w:id="5" w:name="_Toc218324642"/>
      <w:r w:rsidRPr="00123FC1">
        <w:rPr>
          <w:rFonts w:ascii="Arial" w:hAnsi="Arial" w:cs="Arial"/>
          <w:sz w:val="22"/>
          <w:szCs w:val="22"/>
        </w:rPr>
        <w:t>Risk &amp; Threat Model for SBOM Manipulation</w:t>
      </w:r>
      <w:bookmarkEnd w:id="5"/>
    </w:p>
    <w:p w14:paraId="1E3E1A46" w14:textId="77777777" w:rsidR="00EC0240" w:rsidRPr="00123FC1" w:rsidRDefault="00EC0240" w:rsidP="00EC0240">
      <w:pPr>
        <w:pStyle w:val="Heading3"/>
        <w:spacing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t>Potential SBOM-specific attacks:</w:t>
      </w:r>
    </w:p>
    <w:p w14:paraId="4F82A947" w14:textId="77777777" w:rsidR="00EC0240" w:rsidRPr="00123FC1" w:rsidRDefault="00EC0240" w:rsidP="00EC024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t>Tampered or spoofed SBOMs</w:t>
      </w:r>
    </w:p>
    <w:p w14:paraId="62A4DBF6" w14:textId="77777777" w:rsidR="00EC0240" w:rsidRPr="00123FC1" w:rsidRDefault="00EC0240" w:rsidP="00EC024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t>Integrity loss due to unverified signatures</w:t>
      </w:r>
    </w:p>
    <w:p w14:paraId="69975E08" w14:textId="77777777" w:rsidR="00EC0240" w:rsidRPr="00123FC1" w:rsidRDefault="00EC0240" w:rsidP="00EC024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t>“Missing component” attacks</w:t>
      </w:r>
    </w:p>
    <w:p w14:paraId="6EFF47CC" w14:textId="77777777" w:rsidR="00EC0240" w:rsidRPr="00123FC1" w:rsidRDefault="00EC0240" w:rsidP="00EC024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lastRenderedPageBreak/>
        <w:t>Malicious dependencies hidden through identifier drift</w:t>
      </w:r>
    </w:p>
    <w:p w14:paraId="527256B8" w14:textId="77777777" w:rsidR="00EC0240" w:rsidRPr="00123FC1" w:rsidRDefault="00EC0240" w:rsidP="00EC024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t>Model-weight poisoning in AI SBOMs</w:t>
      </w:r>
    </w:p>
    <w:p w14:paraId="0775A332" w14:textId="77777777" w:rsidR="00EC0240" w:rsidRPr="00123FC1" w:rsidRDefault="00EC0240" w:rsidP="00EC024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t>Compromised vendor SBOM deliveries</w:t>
      </w:r>
    </w:p>
    <w:p w14:paraId="43D78B5A" w14:textId="77777777" w:rsidR="00762256" w:rsidRPr="00123FC1" w:rsidRDefault="00762256" w:rsidP="00EC0240">
      <w:pPr>
        <w:pStyle w:val="Heading2"/>
        <w:rPr>
          <w:rFonts w:ascii="Arial" w:hAnsi="Arial" w:cs="Arial"/>
          <w:sz w:val="22"/>
          <w:szCs w:val="22"/>
        </w:rPr>
      </w:pPr>
      <w:bookmarkStart w:id="6" w:name="_Toc218324643"/>
      <w:r w:rsidRPr="00123FC1">
        <w:rPr>
          <w:rFonts w:ascii="Arial" w:hAnsi="Arial" w:cs="Arial"/>
          <w:sz w:val="22"/>
          <w:szCs w:val="22"/>
        </w:rPr>
        <w:t>Mapping to SSDF Practices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F41D3" w:rsidRPr="00123FC1" w14:paraId="7B326BCB" w14:textId="77777777" w:rsidTr="005F41D3">
        <w:tc>
          <w:tcPr>
            <w:tcW w:w="2952" w:type="dxa"/>
            <w:shd w:val="clear" w:color="auto" w:fill="BFBFBF" w:themeFill="background1" w:themeFillShade="BF"/>
          </w:tcPr>
          <w:p w14:paraId="08FE3A52" w14:textId="18D1C06C" w:rsidR="005F41D3" w:rsidRPr="00123FC1" w:rsidRDefault="005F41D3" w:rsidP="005F41D3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SSDF Practice</w:t>
            </w:r>
          </w:p>
        </w:tc>
        <w:tc>
          <w:tcPr>
            <w:tcW w:w="2952" w:type="dxa"/>
            <w:shd w:val="clear" w:color="auto" w:fill="BFBFBF" w:themeFill="background1" w:themeFillShade="BF"/>
          </w:tcPr>
          <w:p w14:paraId="1C101304" w14:textId="26A2F577" w:rsidR="005F41D3" w:rsidRPr="00123FC1" w:rsidRDefault="005F41D3" w:rsidP="005F41D3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SBOM Governance Control</w:t>
            </w:r>
          </w:p>
        </w:tc>
        <w:tc>
          <w:tcPr>
            <w:tcW w:w="2952" w:type="dxa"/>
            <w:shd w:val="clear" w:color="auto" w:fill="BFBFBF" w:themeFill="background1" w:themeFillShade="BF"/>
          </w:tcPr>
          <w:p w14:paraId="2FB62EE9" w14:textId="7A80FDC1" w:rsidR="005F41D3" w:rsidRPr="00123FC1" w:rsidRDefault="005F41D3" w:rsidP="005F41D3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Evidence</w:t>
            </w:r>
          </w:p>
        </w:tc>
      </w:tr>
      <w:tr w:rsidR="005F41D3" w:rsidRPr="00123FC1" w14:paraId="7ABA2163" w14:textId="77777777" w:rsidTr="00E56EC7">
        <w:tc>
          <w:tcPr>
            <w:tcW w:w="2952" w:type="dxa"/>
            <w:vAlign w:val="bottom"/>
          </w:tcPr>
          <w:p w14:paraId="585E5211" w14:textId="1C4EFB32" w:rsidR="005F41D3" w:rsidRPr="00123FC1" w:rsidRDefault="005F41D3" w:rsidP="005F41D3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  <w:color w:val="000000"/>
              </w:rPr>
              <w:t>PS.2.1</w:t>
            </w:r>
          </w:p>
        </w:tc>
        <w:tc>
          <w:tcPr>
            <w:tcW w:w="2952" w:type="dxa"/>
            <w:vAlign w:val="bottom"/>
          </w:tcPr>
          <w:p w14:paraId="357F31D0" w14:textId="1D0774B9" w:rsidR="005F41D3" w:rsidRPr="00123FC1" w:rsidRDefault="005F41D3" w:rsidP="005F41D3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  <w:color w:val="000000"/>
              </w:rPr>
              <w:t>SBOM generation in CI/CD</w:t>
            </w:r>
          </w:p>
        </w:tc>
        <w:tc>
          <w:tcPr>
            <w:tcW w:w="2952" w:type="dxa"/>
            <w:vAlign w:val="bottom"/>
          </w:tcPr>
          <w:p w14:paraId="6BA6D805" w14:textId="4215A297" w:rsidR="005F41D3" w:rsidRPr="00123FC1" w:rsidRDefault="005F41D3" w:rsidP="005F41D3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  <w:color w:val="000000"/>
              </w:rPr>
              <w:t>Build pipeline SBOM artifacts</w:t>
            </w:r>
          </w:p>
        </w:tc>
      </w:tr>
      <w:tr w:rsidR="005F41D3" w:rsidRPr="00123FC1" w14:paraId="59DAB66F" w14:textId="77777777" w:rsidTr="00E56EC7">
        <w:tc>
          <w:tcPr>
            <w:tcW w:w="2952" w:type="dxa"/>
            <w:vAlign w:val="bottom"/>
          </w:tcPr>
          <w:p w14:paraId="519FD09E" w14:textId="530B5C56" w:rsidR="005F41D3" w:rsidRPr="00123FC1" w:rsidRDefault="005F41D3" w:rsidP="005F41D3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  <w:color w:val="000000"/>
              </w:rPr>
              <w:t>PW.4.1</w:t>
            </w:r>
          </w:p>
        </w:tc>
        <w:tc>
          <w:tcPr>
            <w:tcW w:w="2952" w:type="dxa"/>
            <w:vAlign w:val="bottom"/>
          </w:tcPr>
          <w:p w14:paraId="7B132EC3" w14:textId="75E23524" w:rsidR="005F41D3" w:rsidRPr="00123FC1" w:rsidRDefault="005F41D3" w:rsidP="005F41D3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  <w:color w:val="000000"/>
              </w:rPr>
              <w:t>VEX-enabled triage</w:t>
            </w:r>
          </w:p>
        </w:tc>
        <w:tc>
          <w:tcPr>
            <w:tcW w:w="2952" w:type="dxa"/>
            <w:vAlign w:val="bottom"/>
          </w:tcPr>
          <w:p w14:paraId="29F5E83A" w14:textId="021DA77C" w:rsidR="005F41D3" w:rsidRPr="00123FC1" w:rsidRDefault="005F41D3" w:rsidP="005F41D3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  <w:color w:val="000000"/>
              </w:rPr>
              <w:t>Triage logs, VEX statements</w:t>
            </w:r>
          </w:p>
        </w:tc>
      </w:tr>
      <w:tr w:rsidR="005F41D3" w:rsidRPr="00123FC1" w14:paraId="59B68DB3" w14:textId="77777777" w:rsidTr="00FB77E3">
        <w:trPr>
          <w:trHeight w:val="152"/>
        </w:trPr>
        <w:tc>
          <w:tcPr>
            <w:tcW w:w="2952" w:type="dxa"/>
            <w:vAlign w:val="bottom"/>
          </w:tcPr>
          <w:p w14:paraId="3695B776" w14:textId="46AEE7D5" w:rsidR="005F41D3" w:rsidRPr="00123FC1" w:rsidRDefault="005F41D3" w:rsidP="005F41D3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  <w:color w:val="000000"/>
              </w:rPr>
              <w:t>RV.1.3</w:t>
            </w:r>
          </w:p>
        </w:tc>
        <w:tc>
          <w:tcPr>
            <w:tcW w:w="2952" w:type="dxa"/>
            <w:vAlign w:val="bottom"/>
          </w:tcPr>
          <w:p w14:paraId="28ABFC5D" w14:textId="3F00C187" w:rsidR="005F41D3" w:rsidRPr="00123FC1" w:rsidRDefault="005F41D3" w:rsidP="005F41D3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  <w:color w:val="000000"/>
              </w:rPr>
              <w:t>Provenance checks</w:t>
            </w:r>
          </w:p>
        </w:tc>
        <w:tc>
          <w:tcPr>
            <w:tcW w:w="2952" w:type="dxa"/>
            <w:vAlign w:val="bottom"/>
          </w:tcPr>
          <w:p w14:paraId="68FD5519" w14:textId="1B0D3F26" w:rsidR="005F41D3" w:rsidRPr="00123FC1" w:rsidRDefault="005F41D3" w:rsidP="005F41D3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  <w:color w:val="000000"/>
              </w:rPr>
              <w:t>Cosign/in-toto attestations</w:t>
            </w:r>
          </w:p>
        </w:tc>
      </w:tr>
    </w:tbl>
    <w:p w14:paraId="6E9414FD" w14:textId="77777777" w:rsidR="005F41D3" w:rsidRPr="00123FC1" w:rsidRDefault="005F41D3" w:rsidP="005F41D3">
      <w:pPr>
        <w:rPr>
          <w:rFonts w:ascii="Arial" w:hAnsi="Arial" w:cs="Arial"/>
        </w:rPr>
      </w:pPr>
    </w:p>
    <w:p w14:paraId="1F5DFFFB" w14:textId="77777777" w:rsidR="00EC0240" w:rsidRPr="00123FC1" w:rsidRDefault="00EC0240" w:rsidP="00E94FFA">
      <w:pPr>
        <w:pStyle w:val="Heading2"/>
        <w:rPr>
          <w:rFonts w:ascii="Arial" w:hAnsi="Arial" w:cs="Arial"/>
          <w:sz w:val="22"/>
          <w:szCs w:val="22"/>
        </w:rPr>
      </w:pPr>
      <w:bookmarkStart w:id="7" w:name="_Toc218324644"/>
      <w:r w:rsidRPr="00123FC1">
        <w:rPr>
          <w:rFonts w:ascii="Arial" w:hAnsi="Arial" w:cs="Arial"/>
          <w:sz w:val="22"/>
          <w:szCs w:val="22"/>
        </w:rPr>
        <w:t>Aligning to Regulations &amp; Frameworks</w:t>
      </w:r>
      <w:bookmarkEnd w:id="7"/>
    </w:p>
    <w:p w14:paraId="74321620" w14:textId="77777777" w:rsidR="00EC0240" w:rsidRPr="00123FC1" w:rsidRDefault="00EC0240" w:rsidP="00EC0240">
      <w:pPr>
        <w:rPr>
          <w:rFonts w:ascii="Arial" w:hAnsi="Arial" w:cs="Arial"/>
        </w:rPr>
      </w:pPr>
      <w:r w:rsidRPr="00123FC1">
        <w:rPr>
          <w:rFonts w:ascii="Arial" w:hAnsi="Arial" w:cs="Arial"/>
        </w:rPr>
        <w:t>• U.S.: follow draft CISA SBOM minimum elements; use NIST SSDF (SP 800</w:t>
      </w:r>
      <w:r w:rsidRPr="00123FC1">
        <w:rPr>
          <w:rFonts w:ascii="Cambria Math" w:hAnsi="Cambria Math" w:cs="Cambria Math"/>
        </w:rPr>
        <w:t>‑</w:t>
      </w:r>
      <w:r w:rsidRPr="00123FC1">
        <w:rPr>
          <w:rFonts w:ascii="Arial" w:hAnsi="Arial" w:cs="Arial"/>
        </w:rPr>
        <w:t>218) for secure development attestation</w:t>
      </w:r>
    </w:p>
    <w:p w14:paraId="4087B094" w14:textId="77777777" w:rsidR="00EC0240" w:rsidRPr="00123FC1" w:rsidRDefault="00EC0240" w:rsidP="00EC0240">
      <w:pPr>
        <w:rPr>
          <w:rFonts w:ascii="Arial" w:hAnsi="Arial" w:cs="Arial"/>
        </w:rPr>
      </w:pPr>
      <w:r w:rsidRPr="00123FC1">
        <w:rPr>
          <w:rFonts w:ascii="Arial" w:hAnsi="Arial" w:cs="Arial"/>
        </w:rPr>
        <w:t>• EU: CRA technical documentation must include machine</w:t>
      </w:r>
      <w:r w:rsidRPr="00123FC1">
        <w:rPr>
          <w:rFonts w:ascii="Cambria Math" w:hAnsi="Cambria Math" w:cs="Cambria Math"/>
        </w:rPr>
        <w:t>‑</w:t>
      </w:r>
      <w:r w:rsidRPr="00123FC1">
        <w:rPr>
          <w:rFonts w:ascii="Arial" w:hAnsi="Arial" w:cs="Arial"/>
        </w:rPr>
        <w:t>readable SBOMs; main obligations apply from December 11, 2027</w:t>
      </w:r>
    </w:p>
    <w:p w14:paraId="308DE76C" w14:textId="77777777" w:rsidR="00EC0240" w:rsidRPr="00123FC1" w:rsidRDefault="00EC0240" w:rsidP="00EC0240">
      <w:pPr>
        <w:rPr>
          <w:rFonts w:ascii="Arial" w:hAnsi="Arial" w:cs="Arial"/>
        </w:rPr>
      </w:pPr>
      <w:r w:rsidRPr="00123FC1">
        <w:rPr>
          <w:rFonts w:ascii="Arial" w:hAnsi="Arial" w:cs="Arial"/>
        </w:rPr>
        <w:t>• DoD/DIB: expect SBOMs in C</w:t>
      </w:r>
      <w:r w:rsidRPr="00123FC1">
        <w:rPr>
          <w:rFonts w:ascii="Cambria Math" w:hAnsi="Cambria Math" w:cs="Cambria Math"/>
        </w:rPr>
        <w:t>‑</w:t>
      </w:r>
      <w:r w:rsidRPr="00123FC1">
        <w:rPr>
          <w:rFonts w:ascii="Arial" w:hAnsi="Arial" w:cs="Arial"/>
        </w:rPr>
        <w:t>SCRM contexts and program approvals</w:t>
      </w:r>
    </w:p>
    <w:p w14:paraId="63444551" w14:textId="77777777" w:rsidR="00E94FFA" w:rsidRPr="00123FC1" w:rsidRDefault="00E94FFA" w:rsidP="00E94FFA">
      <w:pPr>
        <w:pStyle w:val="Heading2"/>
        <w:rPr>
          <w:rFonts w:ascii="Arial" w:hAnsi="Arial" w:cs="Arial"/>
          <w:sz w:val="22"/>
          <w:szCs w:val="22"/>
        </w:rPr>
      </w:pPr>
      <w:bookmarkStart w:id="8" w:name="_Toc218324645"/>
      <w:r w:rsidRPr="00123FC1">
        <w:rPr>
          <w:rFonts w:ascii="Arial" w:hAnsi="Arial" w:cs="Arial"/>
          <w:sz w:val="22"/>
          <w:szCs w:val="22"/>
        </w:rPr>
        <w:t>Future of SBOM Governance</w:t>
      </w:r>
      <w:bookmarkEnd w:id="8"/>
    </w:p>
    <w:p w14:paraId="4D242245" w14:textId="77777777" w:rsidR="00E94FFA" w:rsidRPr="00123FC1" w:rsidRDefault="00E94FFA" w:rsidP="00E94FFA">
      <w:pPr>
        <w:spacing w:after="0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 xml:space="preserve"> AI-generated SBOMs </w:t>
      </w:r>
    </w:p>
    <w:p w14:paraId="7E4395D7" w14:textId="77777777" w:rsidR="00E94FFA" w:rsidRPr="00123FC1" w:rsidRDefault="00E94FFA" w:rsidP="00E94FFA">
      <w:pPr>
        <w:spacing w:after="0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 xml:space="preserve"> Runtime SBOMs from eBPF, WASM, or SBOM++ proposals </w:t>
      </w:r>
    </w:p>
    <w:p w14:paraId="01D86513" w14:textId="77777777" w:rsidR="00E94FFA" w:rsidRPr="00123FC1" w:rsidRDefault="00E94FFA" w:rsidP="00E94FFA">
      <w:pPr>
        <w:spacing w:after="0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 xml:space="preserve"> Predictive governance using ML </w:t>
      </w:r>
    </w:p>
    <w:p w14:paraId="65AA4911" w14:textId="77777777" w:rsidR="00E94FFA" w:rsidRPr="00123FC1" w:rsidRDefault="00E94FFA" w:rsidP="00E94FFA">
      <w:pPr>
        <w:spacing w:after="0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 xml:space="preserve"> Cloud workload SBOMs </w:t>
      </w:r>
    </w:p>
    <w:p w14:paraId="50C1EFBD" w14:textId="77777777" w:rsidR="00E94FFA" w:rsidRPr="00123FC1" w:rsidRDefault="00E94FFA" w:rsidP="00E94FFA">
      <w:pPr>
        <w:spacing w:after="0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 xml:space="preserve"> SBOM interoperability across global regulatory regimes </w:t>
      </w:r>
    </w:p>
    <w:p w14:paraId="3B16F8FB" w14:textId="77777777" w:rsidR="00E94FFA" w:rsidRPr="00123FC1" w:rsidRDefault="00E94FFA" w:rsidP="00E94FFA">
      <w:pPr>
        <w:spacing w:after="0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> IoT &amp; automotive safety certification convergence</w:t>
      </w:r>
    </w:p>
    <w:p w14:paraId="7B5A8E6B" w14:textId="77777777" w:rsidR="00E94FFA" w:rsidRPr="00123FC1" w:rsidRDefault="00E94FFA" w:rsidP="00E94FFA">
      <w:pPr>
        <w:rPr>
          <w:rFonts w:ascii="Arial" w:hAnsi="Arial" w:cs="Arial"/>
        </w:rPr>
      </w:pPr>
    </w:p>
    <w:p w14:paraId="5785D225" w14:textId="77777777" w:rsidR="005857DC" w:rsidRPr="00123FC1" w:rsidRDefault="005857DC" w:rsidP="005857DC">
      <w:pPr>
        <w:pStyle w:val="Heading1"/>
        <w:rPr>
          <w:rFonts w:ascii="Arial" w:hAnsi="Arial" w:cs="Arial"/>
          <w:sz w:val="22"/>
          <w:szCs w:val="22"/>
        </w:rPr>
      </w:pPr>
      <w:bookmarkStart w:id="9" w:name="_Toc218324646"/>
      <w:r w:rsidRPr="00123FC1">
        <w:rPr>
          <w:rFonts w:ascii="Arial" w:hAnsi="Arial" w:cs="Arial"/>
          <w:sz w:val="22"/>
          <w:szCs w:val="22"/>
        </w:rPr>
        <w:t>Governance Model (Policy, Controls, and Measurement)</w:t>
      </w:r>
      <w:bookmarkEnd w:id="9"/>
    </w:p>
    <w:p w14:paraId="63E59740" w14:textId="77777777" w:rsidR="005857DC" w:rsidRPr="00123FC1" w:rsidRDefault="005857DC" w:rsidP="005857DC">
      <w:pPr>
        <w:rPr>
          <w:rFonts w:ascii="Arial" w:hAnsi="Arial" w:cs="Arial"/>
        </w:rPr>
      </w:pPr>
    </w:p>
    <w:p w14:paraId="746ACA88" w14:textId="77777777" w:rsidR="005857DC" w:rsidRPr="00123FC1" w:rsidRDefault="005857DC" w:rsidP="005857DC">
      <w:pPr>
        <w:pStyle w:val="Heading2"/>
        <w:rPr>
          <w:rFonts w:ascii="Arial" w:hAnsi="Arial" w:cs="Arial"/>
          <w:sz w:val="22"/>
          <w:szCs w:val="22"/>
        </w:rPr>
      </w:pPr>
      <w:bookmarkStart w:id="10" w:name="_Toc218324647"/>
      <w:r w:rsidRPr="00123FC1">
        <w:rPr>
          <w:rFonts w:ascii="Arial" w:hAnsi="Arial" w:cs="Arial"/>
          <w:sz w:val="22"/>
          <w:szCs w:val="22"/>
        </w:rPr>
        <w:t>Enterprise SBOM Governance Pipeline (Policy-Driven, Automated)</w:t>
      </w:r>
      <w:bookmarkEnd w:id="10"/>
    </w:p>
    <w:p w14:paraId="3FE8BB71" w14:textId="77777777" w:rsidR="005857DC" w:rsidRPr="00123FC1" w:rsidRDefault="005857DC" w:rsidP="005857DC">
      <w:pPr>
        <w:rPr>
          <w:rFonts w:ascii="Arial" w:hAnsi="Arial" w:cs="Arial"/>
        </w:rPr>
      </w:pPr>
      <w:r w:rsidRPr="00123FC1">
        <w:rPr>
          <w:rFonts w:ascii="Arial" w:hAnsi="Arial" w:cs="Arial"/>
        </w:rPr>
        <w:t>illustrates an enterprise-scale SBOM governance pipeline that transforms static SBOM artifacts into automated, policy-driven risk decisions. The model integrates ingestion, enrichment, policy enforcement, and decisioning to support secure release approvals, regulatory compliance, and audit readiness.</w:t>
      </w:r>
    </w:p>
    <w:p w14:paraId="5E6BB797" w14:textId="77777777" w:rsidR="005857DC" w:rsidRPr="00123FC1" w:rsidRDefault="005857DC" w:rsidP="005857DC">
      <w:pPr>
        <w:rPr>
          <w:rFonts w:ascii="Arial" w:hAnsi="Arial" w:cs="Arial"/>
        </w:rPr>
      </w:pPr>
      <w:r w:rsidRPr="00123FC1">
        <w:rPr>
          <w:rFonts w:ascii="Arial" w:hAnsi="Arial" w:cs="Arial"/>
          <w:noProof/>
        </w:rPr>
        <w:lastRenderedPageBreak/>
        <w:drawing>
          <wp:inline distT="0" distB="0" distL="0" distR="0" wp14:anchorId="454C5211" wp14:editId="1BF542D3">
            <wp:extent cx="5486400" cy="3657600"/>
            <wp:effectExtent l="0" t="0" r="0" b="0"/>
            <wp:docPr id="846034176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34176" name="Picture 2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EF804" w14:textId="77777777" w:rsidR="005857DC" w:rsidRPr="00123FC1" w:rsidRDefault="005857DC" w:rsidP="005857DC">
      <w:pPr>
        <w:rPr>
          <w:rFonts w:ascii="Arial" w:hAnsi="Arial" w:cs="Arial"/>
        </w:rPr>
      </w:pPr>
    </w:p>
    <w:p w14:paraId="6D2D9B53" w14:textId="77777777" w:rsidR="005857DC" w:rsidRPr="00123FC1" w:rsidRDefault="005857DC" w:rsidP="005857DC">
      <w:pPr>
        <w:rPr>
          <w:rFonts w:ascii="Arial" w:hAnsi="Arial" w:cs="Arial"/>
        </w:rPr>
      </w:pPr>
    </w:p>
    <w:p w14:paraId="04592EB3" w14:textId="77777777" w:rsidR="005857DC" w:rsidRPr="00123FC1" w:rsidRDefault="005857DC" w:rsidP="00565A5C">
      <w:pPr>
        <w:pStyle w:val="Heading2"/>
        <w:rPr>
          <w:rFonts w:ascii="Arial" w:hAnsi="Arial" w:cs="Arial"/>
          <w:sz w:val="22"/>
          <w:szCs w:val="22"/>
        </w:rPr>
      </w:pPr>
      <w:bookmarkStart w:id="11" w:name="_Toc218324648"/>
      <w:r w:rsidRPr="00123FC1">
        <w:rPr>
          <w:rFonts w:ascii="Arial" w:hAnsi="Arial" w:cs="Arial"/>
          <w:sz w:val="22"/>
          <w:szCs w:val="22"/>
        </w:rPr>
        <w:t>Sample Enterprise SBOM Policy (Template)</w:t>
      </w:r>
      <w:bookmarkEnd w:id="11"/>
    </w:p>
    <w:p w14:paraId="6C613CE0" w14:textId="77777777" w:rsidR="005857DC" w:rsidRPr="00123FC1" w:rsidRDefault="005857DC" w:rsidP="005857DC">
      <w:pPr>
        <w:rPr>
          <w:rFonts w:ascii="Arial" w:hAnsi="Arial" w:cs="Arial"/>
        </w:rPr>
      </w:pPr>
      <w:r w:rsidRPr="00123FC1">
        <w:rPr>
          <w:rFonts w:ascii="Arial" w:hAnsi="Arial" w:cs="Arial"/>
        </w:rPr>
        <w:t>• Purpose &amp; Scope: all released software and supplier deliverables</w:t>
      </w:r>
    </w:p>
    <w:p w14:paraId="696951E3" w14:textId="77777777" w:rsidR="005857DC" w:rsidRPr="00123FC1" w:rsidRDefault="005857DC" w:rsidP="005857DC">
      <w:pPr>
        <w:rPr>
          <w:rFonts w:ascii="Arial" w:hAnsi="Arial" w:cs="Arial"/>
        </w:rPr>
      </w:pPr>
      <w:r w:rsidRPr="00123FC1">
        <w:rPr>
          <w:rFonts w:ascii="Arial" w:hAnsi="Arial" w:cs="Arial"/>
        </w:rPr>
        <w:t>• Definitions: SBOM, VEX, provenance, signing, known</w:t>
      </w:r>
      <w:r w:rsidRPr="00123FC1">
        <w:rPr>
          <w:rFonts w:ascii="Cambria Math" w:hAnsi="Cambria Math" w:cs="Cambria Math"/>
        </w:rPr>
        <w:t>‑</w:t>
      </w:r>
      <w:r w:rsidRPr="00123FC1">
        <w:rPr>
          <w:rFonts w:ascii="Arial" w:hAnsi="Arial" w:cs="Arial"/>
        </w:rPr>
        <w:t>unknowns</w:t>
      </w:r>
    </w:p>
    <w:p w14:paraId="08775CB1" w14:textId="77777777" w:rsidR="005857DC" w:rsidRPr="00123FC1" w:rsidRDefault="005857DC" w:rsidP="005857DC">
      <w:pPr>
        <w:rPr>
          <w:rFonts w:ascii="Arial" w:hAnsi="Arial" w:cs="Arial"/>
        </w:rPr>
      </w:pPr>
      <w:r w:rsidRPr="00123FC1">
        <w:rPr>
          <w:rFonts w:ascii="Arial" w:hAnsi="Arial" w:cs="Arial"/>
        </w:rPr>
        <w:t>• Roles: Engineering (R), Product Security/OSPO (A), Legal/Compliance (R), Procurement (C)</w:t>
      </w:r>
    </w:p>
    <w:p w14:paraId="662BA301" w14:textId="77777777" w:rsidR="005857DC" w:rsidRPr="00123FC1" w:rsidRDefault="005857DC" w:rsidP="005857DC">
      <w:pPr>
        <w:rPr>
          <w:rFonts w:ascii="Arial" w:hAnsi="Arial" w:cs="Arial"/>
        </w:rPr>
      </w:pPr>
      <w:r w:rsidRPr="00123FC1">
        <w:rPr>
          <w:rFonts w:ascii="Arial" w:hAnsi="Arial" w:cs="Arial"/>
        </w:rPr>
        <w:t>• Mandatory Requirements: format (CycloneDX/SPDX), JSON serialization, schema validation, signing, coverage</w:t>
      </w:r>
    </w:p>
    <w:p w14:paraId="331939C0" w14:textId="77777777" w:rsidR="005857DC" w:rsidRPr="00123FC1" w:rsidRDefault="005857DC" w:rsidP="005857DC">
      <w:pPr>
        <w:rPr>
          <w:rFonts w:ascii="Arial" w:hAnsi="Arial" w:cs="Arial"/>
        </w:rPr>
      </w:pPr>
      <w:r w:rsidRPr="00123FC1">
        <w:rPr>
          <w:rFonts w:ascii="Arial" w:hAnsi="Arial" w:cs="Arial"/>
        </w:rPr>
        <w:t>• Delivery: authenticated portals/APIs; retention; customer-specific access</w:t>
      </w:r>
    </w:p>
    <w:p w14:paraId="69C9532A" w14:textId="77777777" w:rsidR="005857DC" w:rsidRPr="00123FC1" w:rsidRDefault="005857DC" w:rsidP="005857DC">
      <w:pPr>
        <w:rPr>
          <w:rFonts w:ascii="Arial" w:hAnsi="Arial" w:cs="Arial"/>
        </w:rPr>
      </w:pPr>
      <w:r w:rsidRPr="00123FC1">
        <w:rPr>
          <w:rFonts w:ascii="Arial" w:hAnsi="Arial" w:cs="Arial"/>
        </w:rPr>
        <w:t>• Exceptions: justification, time-bound acceptance, compensating controls</w:t>
      </w:r>
    </w:p>
    <w:p w14:paraId="6B8858FB" w14:textId="77777777" w:rsidR="005857DC" w:rsidRPr="00123FC1" w:rsidRDefault="005857DC" w:rsidP="005857DC">
      <w:pPr>
        <w:rPr>
          <w:rFonts w:ascii="Arial" w:hAnsi="Arial" w:cs="Arial"/>
        </w:rPr>
      </w:pPr>
      <w:r w:rsidRPr="00123FC1">
        <w:rPr>
          <w:rFonts w:ascii="Arial" w:hAnsi="Arial" w:cs="Arial"/>
        </w:rPr>
        <w:t>• Enforcement: policy-as-code gates; blocking criteria; escalation</w:t>
      </w:r>
    </w:p>
    <w:p w14:paraId="32785D0F" w14:textId="77777777" w:rsidR="00EC0240" w:rsidRPr="00123FC1" w:rsidRDefault="00EC0240" w:rsidP="005F41D3">
      <w:pPr>
        <w:rPr>
          <w:rFonts w:ascii="Arial" w:hAnsi="Arial" w:cs="Arial"/>
        </w:rPr>
      </w:pPr>
    </w:p>
    <w:p w14:paraId="53187564" w14:textId="77777777" w:rsidR="005857DC" w:rsidRPr="00123FC1" w:rsidRDefault="005857DC" w:rsidP="00565A5C">
      <w:pPr>
        <w:pStyle w:val="Heading2"/>
        <w:rPr>
          <w:rFonts w:ascii="Arial" w:hAnsi="Arial" w:cs="Arial"/>
          <w:sz w:val="22"/>
          <w:szCs w:val="22"/>
        </w:rPr>
      </w:pPr>
      <w:bookmarkStart w:id="12" w:name="_Toc218324649"/>
      <w:r w:rsidRPr="00123FC1">
        <w:rPr>
          <w:rFonts w:ascii="Arial" w:hAnsi="Arial" w:cs="Arial"/>
          <w:sz w:val="22"/>
          <w:szCs w:val="22"/>
        </w:rPr>
        <w:t>Threat Model &amp; Compensating Controls</w:t>
      </w:r>
      <w:bookmarkEnd w:id="12"/>
    </w:p>
    <w:p w14:paraId="6C5C5E5C" w14:textId="77777777" w:rsidR="005857DC" w:rsidRPr="00123FC1" w:rsidRDefault="005857DC" w:rsidP="005857DC">
      <w:pPr>
        <w:rPr>
          <w:rFonts w:ascii="Arial" w:hAnsi="Arial" w:cs="Arial"/>
          <w:b/>
          <w:bCs/>
        </w:rPr>
      </w:pPr>
      <w:r w:rsidRPr="00123FC1">
        <w:rPr>
          <w:rFonts w:ascii="Arial" w:hAnsi="Arial" w:cs="Arial"/>
          <w:b/>
          <w:bCs/>
        </w:rPr>
        <w:t>Threats</w:t>
      </w:r>
    </w:p>
    <w:p w14:paraId="2E9CD1E1" w14:textId="77777777" w:rsidR="005857DC" w:rsidRPr="00123FC1" w:rsidRDefault="005857DC" w:rsidP="005857DC">
      <w:pPr>
        <w:numPr>
          <w:ilvl w:val="0"/>
          <w:numId w:val="21"/>
        </w:numPr>
        <w:rPr>
          <w:rFonts w:ascii="Arial" w:hAnsi="Arial" w:cs="Arial"/>
        </w:rPr>
      </w:pPr>
      <w:r w:rsidRPr="00123FC1">
        <w:rPr>
          <w:rFonts w:ascii="Arial" w:hAnsi="Arial" w:cs="Arial"/>
          <w:b/>
          <w:bCs/>
        </w:rPr>
        <w:t>Spoofed/forged SBOMs</w:t>
      </w:r>
      <w:r w:rsidRPr="00123FC1">
        <w:rPr>
          <w:rFonts w:ascii="Arial" w:hAnsi="Arial" w:cs="Arial"/>
        </w:rPr>
        <w:t xml:space="preserve"> → verify signatures; require tool provenance</w:t>
      </w:r>
    </w:p>
    <w:p w14:paraId="512C724A" w14:textId="77777777" w:rsidR="005857DC" w:rsidRPr="00123FC1" w:rsidRDefault="005857DC" w:rsidP="005857DC">
      <w:pPr>
        <w:numPr>
          <w:ilvl w:val="0"/>
          <w:numId w:val="21"/>
        </w:numPr>
        <w:rPr>
          <w:rFonts w:ascii="Arial" w:hAnsi="Arial" w:cs="Arial"/>
        </w:rPr>
      </w:pPr>
      <w:r w:rsidRPr="00123FC1">
        <w:rPr>
          <w:rFonts w:ascii="Arial" w:hAnsi="Arial" w:cs="Arial"/>
          <w:b/>
          <w:bCs/>
        </w:rPr>
        <w:lastRenderedPageBreak/>
        <w:t>Omitted components</w:t>
      </w:r>
      <w:r w:rsidRPr="00123FC1">
        <w:rPr>
          <w:rFonts w:ascii="Arial" w:hAnsi="Arial" w:cs="Arial"/>
        </w:rPr>
        <w:t xml:space="preserve"> (“missing list” attacks) → cross</w:t>
      </w:r>
      <w:r w:rsidRPr="00123FC1">
        <w:rPr>
          <w:rFonts w:ascii="Arial" w:hAnsi="Arial" w:cs="Arial"/>
        </w:rPr>
        <w:noBreakHyphen/>
        <w:t>correlate SCA results + runtime SBOMs</w:t>
      </w:r>
    </w:p>
    <w:p w14:paraId="31295AA6" w14:textId="77777777" w:rsidR="005857DC" w:rsidRPr="00123FC1" w:rsidRDefault="005857DC" w:rsidP="005857DC">
      <w:pPr>
        <w:numPr>
          <w:ilvl w:val="0"/>
          <w:numId w:val="21"/>
        </w:numPr>
        <w:rPr>
          <w:rFonts w:ascii="Arial" w:hAnsi="Arial" w:cs="Arial"/>
        </w:rPr>
      </w:pPr>
      <w:r w:rsidRPr="00123FC1">
        <w:rPr>
          <w:rFonts w:ascii="Arial" w:hAnsi="Arial" w:cs="Arial"/>
          <w:b/>
          <w:bCs/>
        </w:rPr>
        <w:t>Identifier drift</w:t>
      </w:r>
      <w:r w:rsidRPr="00123FC1">
        <w:rPr>
          <w:rFonts w:ascii="Arial" w:hAnsi="Arial" w:cs="Arial"/>
        </w:rPr>
        <w:t xml:space="preserve"> (inconsistent purl/CPE) → normalization service + deterministic matching</w:t>
      </w:r>
    </w:p>
    <w:p w14:paraId="1A875D03" w14:textId="77777777" w:rsidR="005857DC" w:rsidRPr="00123FC1" w:rsidRDefault="005857DC" w:rsidP="005857DC">
      <w:pPr>
        <w:numPr>
          <w:ilvl w:val="0"/>
          <w:numId w:val="21"/>
        </w:numPr>
        <w:rPr>
          <w:rFonts w:ascii="Arial" w:hAnsi="Arial" w:cs="Arial"/>
        </w:rPr>
      </w:pPr>
      <w:r w:rsidRPr="00123FC1">
        <w:rPr>
          <w:rFonts w:ascii="Arial" w:hAnsi="Arial" w:cs="Arial"/>
          <w:b/>
          <w:bCs/>
        </w:rPr>
        <w:t>Model</w:t>
      </w:r>
      <w:r w:rsidRPr="00123FC1">
        <w:rPr>
          <w:rFonts w:ascii="Arial" w:hAnsi="Arial" w:cs="Arial"/>
          <w:b/>
          <w:bCs/>
        </w:rPr>
        <w:noBreakHyphen/>
        <w:t>weight poisoning</w:t>
      </w:r>
      <w:r w:rsidRPr="00123FC1">
        <w:rPr>
          <w:rFonts w:ascii="Arial" w:hAnsi="Arial" w:cs="Arial"/>
        </w:rPr>
        <w:t xml:space="preserve"> (AI) → dataset lineage, signed weights, attestation of training runs</w:t>
      </w:r>
    </w:p>
    <w:p w14:paraId="5607F33C" w14:textId="77777777" w:rsidR="005857DC" w:rsidRPr="00123FC1" w:rsidRDefault="005857DC" w:rsidP="005857DC">
      <w:pPr>
        <w:numPr>
          <w:ilvl w:val="0"/>
          <w:numId w:val="21"/>
        </w:numPr>
        <w:rPr>
          <w:rFonts w:ascii="Arial" w:hAnsi="Arial" w:cs="Arial"/>
        </w:rPr>
      </w:pPr>
      <w:r w:rsidRPr="00123FC1">
        <w:rPr>
          <w:rFonts w:ascii="Arial" w:hAnsi="Arial" w:cs="Arial"/>
          <w:b/>
          <w:bCs/>
        </w:rPr>
        <w:t>Compromised supplier channel</w:t>
      </w:r>
      <w:r w:rsidRPr="00123FC1">
        <w:rPr>
          <w:rFonts w:ascii="Arial" w:hAnsi="Arial" w:cs="Arial"/>
        </w:rPr>
        <w:t xml:space="preserve"> → authenticated ingestion APIs; mutual TLS; audit trails</w:t>
      </w:r>
    </w:p>
    <w:p w14:paraId="0A0B3904" w14:textId="77777777" w:rsidR="005857DC" w:rsidRPr="00123FC1" w:rsidRDefault="005857DC" w:rsidP="005857DC">
      <w:pPr>
        <w:rPr>
          <w:rFonts w:ascii="Arial" w:hAnsi="Arial" w:cs="Arial"/>
          <w:b/>
          <w:bCs/>
        </w:rPr>
      </w:pPr>
      <w:r w:rsidRPr="00123FC1">
        <w:rPr>
          <w:rFonts w:ascii="Arial" w:hAnsi="Arial" w:cs="Arial"/>
          <w:b/>
          <w:bCs/>
        </w:rPr>
        <w:t>Compensation controls</w:t>
      </w:r>
    </w:p>
    <w:p w14:paraId="6B96F75D" w14:textId="77777777" w:rsidR="005857DC" w:rsidRPr="00123FC1" w:rsidRDefault="005857DC" w:rsidP="005857DC">
      <w:pPr>
        <w:numPr>
          <w:ilvl w:val="0"/>
          <w:numId w:val="22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Dual data sources per release (generator + orchestrator reconciliation)</w:t>
      </w:r>
    </w:p>
    <w:p w14:paraId="199C8B5F" w14:textId="77777777" w:rsidR="005857DC" w:rsidRPr="00123FC1" w:rsidRDefault="005857DC" w:rsidP="005857DC">
      <w:pPr>
        <w:numPr>
          <w:ilvl w:val="0"/>
          <w:numId w:val="22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 xml:space="preserve">Periodic </w:t>
      </w:r>
      <w:r w:rsidRPr="00123FC1">
        <w:rPr>
          <w:rFonts w:ascii="Arial" w:hAnsi="Arial" w:cs="Arial"/>
          <w:b/>
          <w:bCs/>
        </w:rPr>
        <w:t>red team SBOM audit</w:t>
      </w:r>
      <w:r w:rsidRPr="00123FC1">
        <w:rPr>
          <w:rFonts w:ascii="Arial" w:hAnsi="Arial" w:cs="Arial"/>
        </w:rPr>
        <w:t xml:space="preserve"> (attempt omissions/injections)</w:t>
      </w:r>
    </w:p>
    <w:p w14:paraId="259B743C" w14:textId="77777777" w:rsidR="005857DC" w:rsidRPr="00123FC1" w:rsidRDefault="005857DC" w:rsidP="005857DC">
      <w:pPr>
        <w:numPr>
          <w:ilvl w:val="0"/>
          <w:numId w:val="22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“No unsigned SBOM” control in release policy</w:t>
      </w:r>
    </w:p>
    <w:p w14:paraId="57C6E887" w14:textId="77777777" w:rsidR="005857DC" w:rsidRPr="00123FC1" w:rsidRDefault="005857DC" w:rsidP="005857DC">
      <w:pPr>
        <w:numPr>
          <w:ilvl w:val="0"/>
          <w:numId w:val="22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 xml:space="preserve">Coverage guardrail: </w:t>
      </w:r>
      <w:r w:rsidRPr="00123FC1">
        <w:rPr>
          <w:rFonts w:ascii="Arial" w:hAnsi="Arial" w:cs="Arial"/>
          <w:b/>
          <w:bCs/>
        </w:rPr>
        <w:t>fail gate if transitive coverage &lt; 95%</w:t>
      </w:r>
      <w:r w:rsidRPr="00123FC1">
        <w:rPr>
          <w:rFonts w:ascii="Arial" w:hAnsi="Arial" w:cs="Arial"/>
        </w:rPr>
        <w:t xml:space="preserve"> (configurable)</w:t>
      </w:r>
    </w:p>
    <w:p w14:paraId="04D36EDE" w14:textId="77777777" w:rsidR="005857DC" w:rsidRPr="00123FC1" w:rsidRDefault="005857DC" w:rsidP="005857DC">
      <w:pPr>
        <w:rPr>
          <w:rFonts w:ascii="Arial" w:hAnsi="Arial" w:cs="Arial"/>
        </w:rPr>
      </w:pPr>
    </w:p>
    <w:p w14:paraId="48F7000B" w14:textId="77777777" w:rsidR="005857DC" w:rsidRPr="00123FC1" w:rsidRDefault="005857DC" w:rsidP="00EF4922">
      <w:pPr>
        <w:pStyle w:val="Heading2"/>
        <w:rPr>
          <w:rFonts w:ascii="Arial" w:hAnsi="Arial" w:cs="Arial"/>
          <w:sz w:val="22"/>
          <w:szCs w:val="22"/>
        </w:rPr>
      </w:pPr>
      <w:bookmarkStart w:id="13" w:name="_Toc218324650"/>
      <w:r w:rsidRPr="00123FC1">
        <w:rPr>
          <w:rFonts w:ascii="Arial" w:hAnsi="Arial" w:cs="Arial"/>
          <w:sz w:val="22"/>
          <w:szCs w:val="22"/>
        </w:rPr>
        <w:t>Supplier Governance: Scoring &amp; Gating</w:t>
      </w:r>
      <w:bookmarkEnd w:id="13"/>
    </w:p>
    <w:tbl>
      <w:tblPr>
        <w:tblW w:w="9780" w:type="dxa"/>
        <w:tblInd w:w="113" w:type="dxa"/>
        <w:tblLook w:val="04A0" w:firstRow="1" w:lastRow="0" w:firstColumn="1" w:lastColumn="0" w:noHBand="0" w:noVBand="1"/>
      </w:tblPr>
      <w:tblGrid>
        <w:gridCol w:w="4480"/>
        <w:gridCol w:w="1240"/>
        <w:gridCol w:w="1500"/>
        <w:gridCol w:w="2560"/>
      </w:tblGrid>
      <w:tr w:rsidR="005857DC" w:rsidRPr="00123FC1" w14:paraId="20AD0836" w14:textId="77777777" w:rsidTr="00105EC1">
        <w:trPr>
          <w:trHeight w:val="285"/>
        </w:trPr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F4E78" w:fill="1F4E78"/>
            <w:noWrap/>
            <w:vAlign w:val="center"/>
            <w:hideMark/>
          </w:tcPr>
          <w:p w14:paraId="46C98ED2" w14:textId="77777777" w:rsidR="005857DC" w:rsidRPr="00123FC1" w:rsidRDefault="005857DC" w:rsidP="00105E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123FC1">
              <w:rPr>
                <w:rFonts w:ascii="Arial" w:eastAsia="Times New Roman" w:hAnsi="Arial" w:cs="Arial"/>
                <w:b/>
                <w:bCs/>
                <w:color w:val="FFFFFF"/>
              </w:rPr>
              <w:t>Criterion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noWrap/>
            <w:vAlign w:val="center"/>
            <w:hideMark/>
          </w:tcPr>
          <w:p w14:paraId="3D78EC8D" w14:textId="77777777" w:rsidR="005857DC" w:rsidRPr="00123FC1" w:rsidRDefault="005857DC" w:rsidP="00105E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123FC1">
              <w:rPr>
                <w:rFonts w:ascii="Arial" w:eastAsia="Times New Roman" w:hAnsi="Arial" w:cs="Arial"/>
                <w:b/>
                <w:bCs/>
                <w:color w:val="FFFFFF"/>
              </w:rPr>
              <w:t>Weight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noWrap/>
            <w:vAlign w:val="center"/>
            <w:hideMark/>
          </w:tcPr>
          <w:p w14:paraId="6317A407" w14:textId="77777777" w:rsidR="005857DC" w:rsidRPr="00123FC1" w:rsidRDefault="005857DC" w:rsidP="00105E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123FC1">
              <w:rPr>
                <w:rFonts w:ascii="Arial" w:eastAsia="Times New Roman" w:hAnsi="Arial" w:cs="Arial"/>
                <w:b/>
                <w:bCs/>
                <w:color w:val="FFFFFF"/>
              </w:rPr>
              <w:t>Threshold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noWrap/>
            <w:vAlign w:val="center"/>
            <w:hideMark/>
          </w:tcPr>
          <w:p w14:paraId="1CFC9356" w14:textId="77777777" w:rsidR="005857DC" w:rsidRPr="00123FC1" w:rsidRDefault="005857DC" w:rsidP="00105E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123FC1">
              <w:rPr>
                <w:rFonts w:ascii="Arial" w:eastAsia="Times New Roman" w:hAnsi="Arial" w:cs="Arial"/>
                <w:b/>
                <w:bCs/>
                <w:color w:val="FFFFFF"/>
              </w:rPr>
              <w:t>Evidence</w:t>
            </w:r>
          </w:p>
        </w:tc>
      </w:tr>
      <w:tr w:rsidR="005857DC" w:rsidRPr="00123FC1" w14:paraId="6AD28F3F" w14:textId="77777777" w:rsidTr="00105EC1">
        <w:trPr>
          <w:trHeight w:val="285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0BB69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Format correctness (SPDX/CycloneDX JSON)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28309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20%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9CC95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100% valid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A4193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Schema validation logs</w:t>
            </w:r>
          </w:p>
        </w:tc>
      </w:tr>
      <w:tr w:rsidR="005857DC" w:rsidRPr="00123FC1" w14:paraId="190E005F" w14:textId="77777777" w:rsidTr="00105EC1">
        <w:trPr>
          <w:trHeight w:val="285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E64D7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Signing + delivery via authenticated API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F56CF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20%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220B6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Required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DB3F9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Signature, API audit</w:t>
            </w:r>
          </w:p>
        </w:tc>
      </w:tr>
      <w:tr w:rsidR="005857DC" w:rsidRPr="00123FC1" w14:paraId="1C859E55" w14:textId="77777777" w:rsidTr="00105EC1">
        <w:trPr>
          <w:trHeight w:val="285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0F6BB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Coverage (direct + transitive + known</w:t>
            </w:r>
            <w:r w:rsidRPr="00123FC1">
              <w:rPr>
                <w:rFonts w:ascii="Arial" w:eastAsia="Times New Roman" w:hAnsi="Arial" w:cs="Arial"/>
                <w:color w:val="000000"/>
              </w:rPr>
              <w:noBreakHyphen/>
              <w:t>unknowns)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642F1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20%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2FDAE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≥95%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AC5DD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Coverage report</w:t>
            </w:r>
          </w:p>
        </w:tc>
      </w:tr>
      <w:tr w:rsidR="005857DC" w:rsidRPr="00123FC1" w14:paraId="327B5E27" w14:textId="77777777" w:rsidTr="00105EC1">
        <w:trPr>
          <w:trHeight w:val="285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7DDB2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Freshness (per release/patch)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0E60F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20%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6929B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SLA met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33740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Timestamped SBOM history</w:t>
            </w:r>
          </w:p>
        </w:tc>
      </w:tr>
      <w:tr w:rsidR="005857DC" w:rsidRPr="00123FC1" w14:paraId="71554DB2" w14:textId="77777777" w:rsidTr="00105EC1">
        <w:trPr>
          <w:trHeight w:val="285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7D815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VEX provided for high CVEs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97646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20%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B0A57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≥90%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853D7" w14:textId="77777777" w:rsidR="005857DC" w:rsidRPr="00123FC1" w:rsidRDefault="005857DC" w:rsidP="00105EC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23FC1">
              <w:rPr>
                <w:rFonts w:ascii="Arial" w:eastAsia="Times New Roman" w:hAnsi="Arial" w:cs="Arial"/>
                <w:color w:val="000000"/>
              </w:rPr>
              <w:t>VEX documents</w:t>
            </w:r>
          </w:p>
        </w:tc>
      </w:tr>
    </w:tbl>
    <w:p w14:paraId="4394EB5B" w14:textId="77777777" w:rsidR="005857DC" w:rsidRPr="00123FC1" w:rsidRDefault="005857DC" w:rsidP="00EF4922">
      <w:pPr>
        <w:pStyle w:val="Heading2"/>
        <w:rPr>
          <w:rFonts w:ascii="Arial" w:hAnsi="Arial" w:cs="Arial"/>
          <w:sz w:val="22"/>
          <w:szCs w:val="22"/>
        </w:rPr>
      </w:pPr>
      <w:bookmarkStart w:id="14" w:name="_Toc218324651"/>
      <w:r w:rsidRPr="00123FC1">
        <w:rPr>
          <w:rFonts w:ascii="Arial" w:hAnsi="Arial" w:cs="Arial"/>
          <w:sz w:val="22"/>
          <w:szCs w:val="22"/>
        </w:rPr>
        <w:t>Impact on Procurement and Authorization Decisions</w:t>
      </w:r>
      <w:bookmarkEnd w:id="14"/>
    </w:p>
    <w:p w14:paraId="7893A471" w14:textId="40BA1497" w:rsidR="005857DC" w:rsidRPr="00123FC1" w:rsidRDefault="005857DC" w:rsidP="00565A5C">
      <w:pPr>
        <w:pBdr>
          <w:bottom w:val="double" w:sz="6" w:space="1" w:color="auto"/>
        </w:pBdr>
        <w:rPr>
          <w:rFonts w:ascii="Arial" w:hAnsi="Arial" w:cs="Arial"/>
        </w:rPr>
      </w:pPr>
      <w:r w:rsidRPr="00123FC1">
        <w:rPr>
          <w:rFonts w:ascii="Arial" w:hAnsi="Arial" w:cs="Arial"/>
        </w:rPr>
        <w:t>In regulated environments, SBOM governance increasingly influences procurement eligibility, authorization to operate (ATO), and supplier trust decisions. Governance-driven SBOM programs reduce friction in these processes by providing continuous, verifiable evidence aligned with SSDF, C-SCRM, and emerging regulatory requirements</w:t>
      </w:r>
    </w:p>
    <w:p w14:paraId="1B856162" w14:textId="77777777" w:rsidR="00565A5C" w:rsidRPr="00123FC1" w:rsidRDefault="00565A5C" w:rsidP="00565A5C">
      <w:pPr>
        <w:pBdr>
          <w:bottom w:val="double" w:sz="6" w:space="1" w:color="auto"/>
        </w:pBdr>
        <w:rPr>
          <w:rFonts w:ascii="Arial" w:hAnsi="Arial" w:cs="Arial"/>
        </w:rPr>
      </w:pPr>
    </w:p>
    <w:p w14:paraId="30F06A1E" w14:textId="77777777" w:rsidR="008E2076" w:rsidRPr="00123FC1" w:rsidRDefault="008E2076" w:rsidP="008E2076">
      <w:pPr>
        <w:pStyle w:val="Heading2"/>
        <w:rPr>
          <w:rFonts w:ascii="Arial" w:hAnsi="Arial" w:cs="Arial"/>
          <w:sz w:val="22"/>
          <w:szCs w:val="22"/>
        </w:rPr>
      </w:pPr>
      <w:bookmarkStart w:id="15" w:name="_Toc218324652"/>
      <w:r w:rsidRPr="00123FC1">
        <w:rPr>
          <w:rFonts w:ascii="Arial" w:hAnsi="Arial" w:cs="Arial"/>
          <w:sz w:val="22"/>
          <w:szCs w:val="22"/>
        </w:rPr>
        <w:t>Evidence &amp; Audit Packaging</w:t>
      </w:r>
      <w:bookmarkEnd w:id="15"/>
    </w:p>
    <w:p w14:paraId="1223DA84" w14:textId="7819737D" w:rsidR="008E2076" w:rsidRPr="00123FC1" w:rsidRDefault="008E2076" w:rsidP="008E2076">
      <w:pPr>
        <w:spacing w:after="0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 xml:space="preserve"> Build pipeline logs + signed SBOMs </w:t>
      </w:r>
    </w:p>
    <w:p w14:paraId="0482B6B9" w14:textId="03707820" w:rsidR="008E2076" w:rsidRPr="00123FC1" w:rsidRDefault="008E2076" w:rsidP="008E2076">
      <w:pPr>
        <w:spacing w:after="0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> Attestation bundles (SLSA/in</w:t>
      </w:r>
      <w:r w:rsidRPr="00123FC1">
        <w:rPr>
          <w:rFonts w:ascii="Arial" w:eastAsia="Times New Roman" w:hAnsi="Arial" w:cs="Arial"/>
        </w:rPr>
        <w:noBreakHyphen/>
        <w:t xml:space="preserve">toto) </w:t>
      </w:r>
    </w:p>
    <w:p w14:paraId="25A89699" w14:textId="0CBD24E4" w:rsidR="008E2076" w:rsidRPr="00123FC1" w:rsidRDefault="008E2076" w:rsidP="008E2076">
      <w:pPr>
        <w:spacing w:after="0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 xml:space="preserve"> Coverage/freshness dashboards (exportable CSV/PDF) </w:t>
      </w:r>
    </w:p>
    <w:p w14:paraId="4FA638AF" w14:textId="4F3CFA52" w:rsidR="008E2076" w:rsidRPr="00123FC1" w:rsidRDefault="008E2076" w:rsidP="008E2076">
      <w:pPr>
        <w:spacing w:after="0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 xml:space="preserve"> VEX statements + triage decisions </w:t>
      </w:r>
    </w:p>
    <w:p w14:paraId="36D967E4" w14:textId="715BFE2B" w:rsidR="008E2076" w:rsidRPr="00123FC1" w:rsidRDefault="008E2076" w:rsidP="008E2076">
      <w:pPr>
        <w:spacing w:after="0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lastRenderedPageBreak/>
        <w:t xml:space="preserve"> Exceptions register (owner, justification, expiry) </w:t>
      </w:r>
    </w:p>
    <w:p w14:paraId="4D737942" w14:textId="7132A46A" w:rsidR="008E2076" w:rsidRPr="00123FC1" w:rsidRDefault="008E2076" w:rsidP="008E2076">
      <w:pPr>
        <w:spacing w:after="0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> Supplier compliance reports + scores</w:t>
      </w:r>
    </w:p>
    <w:p w14:paraId="491B21E7" w14:textId="77777777" w:rsidR="008E2076" w:rsidRPr="00123FC1" w:rsidRDefault="008E2076" w:rsidP="008E2076">
      <w:pPr>
        <w:pStyle w:val="Heading2"/>
        <w:rPr>
          <w:rFonts w:ascii="Arial" w:hAnsi="Arial" w:cs="Arial"/>
          <w:sz w:val="22"/>
          <w:szCs w:val="22"/>
        </w:rPr>
      </w:pPr>
    </w:p>
    <w:p w14:paraId="6EDFA997" w14:textId="581ECC47" w:rsidR="005F41D3" w:rsidRPr="00123FC1" w:rsidRDefault="008E2076" w:rsidP="008E2076">
      <w:pPr>
        <w:pStyle w:val="Heading2"/>
        <w:rPr>
          <w:rFonts w:ascii="Arial" w:hAnsi="Arial" w:cs="Arial"/>
          <w:sz w:val="22"/>
          <w:szCs w:val="22"/>
        </w:rPr>
      </w:pPr>
      <w:bookmarkStart w:id="16" w:name="_Toc218324653"/>
      <w:r w:rsidRPr="00123FC1">
        <w:rPr>
          <w:rFonts w:ascii="Arial" w:hAnsi="Arial" w:cs="Arial"/>
          <w:sz w:val="22"/>
          <w:szCs w:val="22"/>
        </w:rPr>
        <w:t xml:space="preserve">Metrics That Prove </w:t>
      </w:r>
      <w:r w:rsidR="00605C34" w:rsidRPr="00123FC1">
        <w:rPr>
          <w:rFonts w:ascii="Arial" w:hAnsi="Arial" w:cs="Arial"/>
          <w:sz w:val="22"/>
          <w:szCs w:val="22"/>
        </w:rPr>
        <w:t>Governance (</w:t>
      </w:r>
      <w:r w:rsidR="005F41D3" w:rsidRPr="00123FC1">
        <w:rPr>
          <w:rFonts w:ascii="Arial" w:hAnsi="Arial" w:cs="Arial"/>
          <w:sz w:val="22"/>
          <w:szCs w:val="22"/>
        </w:rPr>
        <w:t>KPIs &amp; OKRs</w:t>
      </w:r>
      <w:r w:rsidRPr="00123FC1">
        <w:rPr>
          <w:rFonts w:ascii="Arial" w:hAnsi="Arial" w:cs="Arial"/>
          <w:sz w:val="22"/>
          <w:szCs w:val="22"/>
        </w:rPr>
        <w:t>)</w:t>
      </w:r>
      <w:bookmarkEnd w:id="16"/>
    </w:p>
    <w:p w14:paraId="37512C33" w14:textId="77777777" w:rsidR="002F195B" w:rsidRPr="00123FC1" w:rsidRDefault="002F195B" w:rsidP="008E2076">
      <w:pPr>
        <w:spacing w:before="100" w:beforeAutospacing="1" w:after="100" w:afterAutospacing="1"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t>Operational KPIs</w:t>
      </w:r>
    </w:p>
    <w:p w14:paraId="401974D2" w14:textId="77777777" w:rsidR="002F195B" w:rsidRPr="00123FC1" w:rsidRDefault="002F195B" w:rsidP="002F195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t>% of releases with complete SBOM coverage</w:t>
      </w:r>
    </w:p>
    <w:p w14:paraId="2BA38364" w14:textId="77777777" w:rsidR="002F195B" w:rsidRPr="00123FC1" w:rsidRDefault="002F195B" w:rsidP="002F195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t>MTTR for vulnerability decisioning</w:t>
      </w:r>
    </w:p>
    <w:p w14:paraId="3AF46AC5" w14:textId="77777777" w:rsidR="002F195B" w:rsidRPr="00123FC1" w:rsidRDefault="002F195B" w:rsidP="00FB77E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t>% of supplier SBOMs ingested through API</w:t>
      </w:r>
    </w:p>
    <w:p w14:paraId="4DB0E06E" w14:textId="77777777" w:rsidR="002F195B" w:rsidRPr="00123FC1" w:rsidRDefault="002F195B" w:rsidP="002F195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t>% of artifacts with verified signatures</w:t>
      </w:r>
    </w:p>
    <w:p w14:paraId="159EC623" w14:textId="77777777" w:rsidR="002F195B" w:rsidRPr="00123FC1" w:rsidRDefault="002F195B" w:rsidP="008E2076">
      <w:pPr>
        <w:spacing w:before="100" w:beforeAutospacing="1" w:after="100" w:afterAutospacing="1"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t>Governance KPIs</w:t>
      </w:r>
    </w:p>
    <w:p w14:paraId="0723EEF5" w14:textId="77777777" w:rsidR="002F195B" w:rsidRPr="00123FC1" w:rsidRDefault="002F195B" w:rsidP="002F195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t>SLA adherence for SBOM freshness</w:t>
      </w:r>
    </w:p>
    <w:p w14:paraId="0892D000" w14:textId="77777777" w:rsidR="002F195B" w:rsidRPr="00123FC1" w:rsidRDefault="002F195B" w:rsidP="002F195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t>% of VEX statements provided for high CVEs</w:t>
      </w:r>
    </w:p>
    <w:p w14:paraId="03423CD0" w14:textId="77777777" w:rsidR="002F195B" w:rsidRPr="00123FC1" w:rsidRDefault="002F195B" w:rsidP="002F195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t>% audit evidence automatically generated</w:t>
      </w:r>
    </w:p>
    <w:p w14:paraId="1F239C81" w14:textId="77777777" w:rsidR="002F195B" w:rsidRPr="00123FC1" w:rsidRDefault="002F195B" w:rsidP="008E2076">
      <w:pPr>
        <w:spacing w:before="100" w:beforeAutospacing="1" w:after="100" w:afterAutospacing="1"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t>Strategic KPIs</w:t>
      </w:r>
    </w:p>
    <w:p w14:paraId="3437C966" w14:textId="77777777" w:rsidR="002F195B" w:rsidRPr="00123FC1" w:rsidRDefault="002F195B" w:rsidP="002F195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t>Audit cycle time reduction</w:t>
      </w:r>
    </w:p>
    <w:p w14:paraId="5B3611F0" w14:textId="77777777" w:rsidR="002F195B" w:rsidRPr="00123FC1" w:rsidRDefault="002F195B" w:rsidP="002F195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t>Supplier onboarding cycle time reduction</w:t>
      </w:r>
    </w:p>
    <w:p w14:paraId="445B13C1" w14:textId="77777777" w:rsidR="002F195B" w:rsidRPr="00123FC1" w:rsidRDefault="002F195B" w:rsidP="002F195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123FC1">
        <w:rPr>
          <w:rFonts w:ascii="Arial" w:hAnsi="Arial" w:cs="Arial"/>
        </w:rPr>
        <w:t>Change failure rate trends</w:t>
      </w:r>
    </w:p>
    <w:p w14:paraId="7ED574BF" w14:textId="77777777" w:rsidR="00983AE6" w:rsidRPr="00123FC1" w:rsidRDefault="00983AE6" w:rsidP="002F195B">
      <w:pPr>
        <w:pStyle w:val="Heading1"/>
        <w:rPr>
          <w:rFonts w:ascii="Arial" w:hAnsi="Arial" w:cs="Arial"/>
          <w:sz w:val="22"/>
          <w:szCs w:val="22"/>
        </w:rPr>
      </w:pPr>
    </w:p>
    <w:p w14:paraId="47AB5368" w14:textId="77777777" w:rsidR="00EC0240" w:rsidRPr="00123FC1" w:rsidRDefault="00EC0240" w:rsidP="00EC0240">
      <w:pPr>
        <w:rPr>
          <w:rFonts w:ascii="Arial" w:eastAsiaTheme="majorEastAsia" w:hAnsi="Arial" w:cs="Arial"/>
          <w:b/>
          <w:bCs/>
          <w:color w:val="365F91" w:themeColor="accent1" w:themeShade="BF"/>
        </w:rPr>
      </w:pPr>
      <w:r w:rsidRPr="00123FC1">
        <w:rPr>
          <w:rFonts w:ascii="Arial" w:eastAsiaTheme="majorEastAsia" w:hAnsi="Arial" w:cs="Arial"/>
          <w:b/>
          <w:bCs/>
          <w:color w:val="365F91" w:themeColor="accent1" w:themeShade="BF"/>
        </w:rPr>
        <w:t>Definitions &amp; Scope Clarification</w:t>
      </w:r>
    </w:p>
    <w:p w14:paraId="12ABA47C" w14:textId="77777777" w:rsidR="00EC0240" w:rsidRPr="00123FC1" w:rsidRDefault="00EC0240" w:rsidP="00EC0240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 xml:space="preserve">SBOM </w:t>
      </w:r>
    </w:p>
    <w:p w14:paraId="5DD1EB82" w14:textId="77777777" w:rsidR="00EC0240" w:rsidRPr="00123FC1" w:rsidRDefault="00EC0240" w:rsidP="00EC0240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 xml:space="preserve">Build-time SBOM vs. runtime SBOM </w:t>
      </w:r>
    </w:p>
    <w:p w14:paraId="5944B87C" w14:textId="77777777" w:rsidR="00EC0240" w:rsidRPr="00123FC1" w:rsidRDefault="00EC0240" w:rsidP="00EC0240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 xml:space="preserve">VEX and CSAF </w:t>
      </w:r>
    </w:p>
    <w:p w14:paraId="3C665A38" w14:textId="77777777" w:rsidR="00EC0240" w:rsidRPr="00123FC1" w:rsidRDefault="00EC0240" w:rsidP="00EC0240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 xml:space="preserve">Provenance &amp; attestation </w:t>
      </w:r>
    </w:p>
    <w:p w14:paraId="3D9FE2C5" w14:textId="77777777" w:rsidR="00EC0240" w:rsidRPr="00123FC1" w:rsidRDefault="00EC0240" w:rsidP="00EC0240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 xml:space="preserve">Freshness SLAs </w:t>
      </w:r>
    </w:p>
    <w:p w14:paraId="39CB83E5" w14:textId="77777777" w:rsidR="00EC0240" w:rsidRPr="00123FC1" w:rsidRDefault="00EC0240" w:rsidP="00EC0240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Known</w:t>
      </w:r>
      <w:r w:rsidRPr="00123FC1">
        <w:rPr>
          <w:rFonts w:ascii="Arial" w:hAnsi="Arial" w:cs="Arial"/>
        </w:rPr>
        <w:noBreakHyphen/>
        <w:t xml:space="preserve">unknowns </w:t>
      </w:r>
    </w:p>
    <w:p w14:paraId="4F8FCA59" w14:textId="77777777" w:rsidR="00EC0240" w:rsidRPr="00123FC1" w:rsidRDefault="00EC0240" w:rsidP="00EC0240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Supplier intake</w:t>
      </w:r>
    </w:p>
    <w:p w14:paraId="40383739" w14:textId="77777777" w:rsidR="00EC0240" w:rsidRPr="00123FC1" w:rsidRDefault="00EC0240" w:rsidP="002F195B">
      <w:pPr>
        <w:pStyle w:val="Heading1"/>
        <w:rPr>
          <w:rFonts w:ascii="Arial" w:hAnsi="Arial" w:cs="Arial"/>
          <w:sz w:val="22"/>
          <w:szCs w:val="22"/>
        </w:rPr>
      </w:pPr>
    </w:p>
    <w:p w14:paraId="2C2C71F3" w14:textId="1E2CDF4A" w:rsidR="002F195B" w:rsidRPr="00123FC1" w:rsidRDefault="002F195B" w:rsidP="008E2076">
      <w:pPr>
        <w:pStyle w:val="Heading2"/>
        <w:rPr>
          <w:rFonts w:ascii="Arial" w:hAnsi="Arial" w:cs="Arial"/>
          <w:sz w:val="22"/>
          <w:szCs w:val="22"/>
        </w:rPr>
      </w:pPr>
      <w:bookmarkStart w:id="17" w:name="_Toc218324654"/>
      <w:r w:rsidRPr="00123FC1">
        <w:rPr>
          <w:rFonts w:ascii="Arial" w:hAnsi="Arial" w:cs="Arial"/>
          <w:sz w:val="22"/>
          <w:szCs w:val="22"/>
        </w:rPr>
        <w:t>Maturity Model</w:t>
      </w:r>
      <w:bookmarkEnd w:id="17"/>
    </w:p>
    <w:p w14:paraId="11A2D496" w14:textId="77777777" w:rsidR="00872D3F" w:rsidRPr="00123FC1" w:rsidRDefault="00872D3F" w:rsidP="00EA2BD6">
      <w:pPr>
        <w:ind w:firstLine="360"/>
        <w:rPr>
          <w:rFonts w:ascii="Arial" w:hAnsi="Arial" w:cs="Arial"/>
        </w:rPr>
      </w:pPr>
      <w:r w:rsidRPr="00123FC1">
        <w:rPr>
          <w:rFonts w:ascii="Arial" w:hAnsi="Arial" w:cs="Arial"/>
        </w:rPr>
        <w:t>Level 1 — Consistent Generation at Build</w:t>
      </w:r>
    </w:p>
    <w:p w14:paraId="2EC24347" w14:textId="77777777" w:rsidR="00872D3F" w:rsidRPr="00123FC1" w:rsidRDefault="00872D3F" w:rsidP="00872D3F">
      <w:pPr>
        <w:numPr>
          <w:ilvl w:val="0"/>
          <w:numId w:val="18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lastRenderedPageBreak/>
        <w:t>Organizations reliably generate SBOMs during CI/CD builds, but processes remain isolated. There is no automation beyond artifact creation, and little downstream consumption.</w:t>
      </w:r>
    </w:p>
    <w:p w14:paraId="6D9BCAE4" w14:textId="77777777" w:rsidR="00872D3F" w:rsidRPr="00123FC1" w:rsidRDefault="00872D3F" w:rsidP="00872D3F">
      <w:pPr>
        <w:ind w:left="360"/>
        <w:rPr>
          <w:rFonts w:ascii="Arial" w:hAnsi="Arial" w:cs="Arial"/>
        </w:rPr>
      </w:pPr>
      <w:r w:rsidRPr="00123FC1">
        <w:rPr>
          <w:rFonts w:ascii="Arial" w:hAnsi="Arial" w:cs="Arial"/>
        </w:rPr>
        <w:t>Level 2 — Ad Hoc SBOM</w:t>
      </w:r>
    </w:p>
    <w:p w14:paraId="0CC36D57" w14:textId="77777777" w:rsidR="00872D3F" w:rsidRPr="00123FC1" w:rsidRDefault="00872D3F" w:rsidP="00872D3F">
      <w:pPr>
        <w:numPr>
          <w:ilvl w:val="0"/>
          <w:numId w:val="18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SBOM creation becomes more common, but formats, tools, and workflows vary widely. Manual triage and manual reviews create inconsistent outcomes, resulting in gaps and scramble during audits.</w:t>
      </w:r>
    </w:p>
    <w:p w14:paraId="40465449" w14:textId="77777777" w:rsidR="00872D3F" w:rsidRPr="00123FC1" w:rsidRDefault="00872D3F" w:rsidP="00872D3F">
      <w:pPr>
        <w:ind w:left="360"/>
        <w:rPr>
          <w:rFonts w:ascii="Arial" w:hAnsi="Arial" w:cs="Arial"/>
        </w:rPr>
      </w:pPr>
      <w:r w:rsidRPr="00123FC1">
        <w:rPr>
          <w:rFonts w:ascii="Arial" w:hAnsi="Arial" w:cs="Arial"/>
        </w:rPr>
        <w:t>Level 3 — Automated Ingestion &amp; Policy Gates</w:t>
      </w:r>
    </w:p>
    <w:p w14:paraId="651C3867" w14:textId="77777777" w:rsidR="00872D3F" w:rsidRPr="00123FC1" w:rsidRDefault="00872D3F" w:rsidP="00872D3F">
      <w:pPr>
        <w:numPr>
          <w:ilvl w:val="0"/>
          <w:numId w:val="18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The SBOM pipeline integrates validation (schema, format, completeness), provenance checks, and dependency mapping. Automated policy gates enforce minimal standards, enabling block/allow decisions before release.</w:t>
      </w:r>
    </w:p>
    <w:p w14:paraId="06ACB6FD" w14:textId="77777777" w:rsidR="00872D3F" w:rsidRPr="00123FC1" w:rsidRDefault="00872D3F" w:rsidP="00872D3F">
      <w:pPr>
        <w:ind w:left="360"/>
        <w:rPr>
          <w:rFonts w:ascii="Arial" w:hAnsi="Arial" w:cs="Arial"/>
        </w:rPr>
      </w:pPr>
      <w:r w:rsidRPr="00123FC1">
        <w:rPr>
          <w:rFonts w:ascii="Arial" w:hAnsi="Arial" w:cs="Arial"/>
        </w:rPr>
        <w:t>Level 4 — VEX</w:t>
      </w:r>
      <w:r w:rsidRPr="00123FC1">
        <w:rPr>
          <w:rFonts w:ascii="Arial" w:hAnsi="Arial" w:cs="Arial"/>
        </w:rPr>
        <w:noBreakHyphen/>
        <w:t>Driven Triage &amp; Continuous Evidence</w:t>
      </w:r>
    </w:p>
    <w:p w14:paraId="2AF4CD25" w14:textId="77777777" w:rsidR="00872D3F" w:rsidRPr="00123FC1" w:rsidRDefault="00872D3F" w:rsidP="00872D3F">
      <w:pPr>
        <w:numPr>
          <w:ilvl w:val="0"/>
          <w:numId w:val="18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SBOMs are enriched with VEX statements, improving vulnerability relevance and reducing noise. Dashboards track coverage, freshness, and SLA adherence, making audits faster and evidence continuous.</w:t>
      </w:r>
    </w:p>
    <w:p w14:paraId="0C6ED7FD" w14:textId="77777777" w:rsidR="00872D3F" w:rsidRPr="00123FC1" w:rsidRDefault="00872D3F" w:rsidP="00872D3F">
      <w:pPr>
        <w:ind w:left="360"/>
        <w:rPr>
          <w:rFonts w:ascii="Arial" w:hAnsi="Arial" w:cs="Arial"/>
        </w:rPr>
      </w:pPr>
      <w:r w:rsidRPr="00123FC1">
        <w:rPr>
          <w:rFonts w:ascii="Arial" w:hAnsi="Arial" w:cs="Arial"/>
        </w:rPr>
        <w:t>Level 5 — Cross</w:t>
      </w:r>
      <w:r w:rsidRPr="00123FC1">
        <w:rPr>
          <w:rFonts w:ascii="Arial" w:hAnsi="Arial" w:cs="Arial"/>
        </w:rPr>
        <w:noBreakHyphen/>
        <w:t>Lifecycle Correlation &amp; Predictive Analytics</w:t>
      </w:r>
    </w:p>
    <w:p w14:paraId="1360CCB2" w14:textId="77777777" w:rsidR="00872D3F" w:rsidRPr="00123FC1" w:rsidRDefault="00872D3F" w:rsidP="00872D3F">
      <w:pPr>
        <w:numPr>
          <w:ilvl w:val="0"/>
          <w:numId w:val="18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Organizations correlate SBOM data across source, build, deploy, and runtime. Graph analytics reveal supply</w:t>
      </w:r>
      <w:r w:rsidRPr="00123FC1">
        <w:rPr>
          <w:rFonts w:ascii="Arial" w:hAnsi="Arial" w:cs="Arial"/>
        </w:rPr>
        <w:noBreakHyphen/>
        <w:t>chain risks, enabling predictive insights. Reporting automatically aligns to compliance regimes (CRA, SSDF).</w:t>
      </w:r>
    </w:p>
    <w:p w14:paraId="5AD0FCCC" w14:textId="1E7EF7A7" w:rsidR="00EA2BD6" w:rsidRPr="00123FC1" w:rsidRDefault="00EA2BD6" w:rsidP="00EA2BD6">
      <w:pPr>
        <w:ind w:left="720"/>
        <w:rPr>
          <w:rFonts w:ascii="Arial" w:hAnsi="Arial" w:cs="Arial"/>
        </w:rPr>
      </w:pPr>
      <w:r w:rsidRPr="00123FC1">
        <w:rPr>
          <w:rFonts w:ascii="Arial" w:hAnsi="Arial" w:cs="Arial"/>
          <w:noProof/>
        </w:rPr>
        <w:lastRenderedPageBreak/>
        <w:drawing>
          <wp:inline distT="0" distB="0" distL="0" distR="0" wp14:anchorId="07EF7778" wp14:editId="58BF1D4C">
            <wp:extent cx="5486400" cy="3657600"/>
            <wp:effectExtent l="0" t="0" r="0" b="0"/>
            <wp:docPr id="1235569040" name="Picture 10" descr="A screen shot of a cell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69040" name="Picture 10" descr="A screen shot of a cell phon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0FB3B" w14:textId="77777777" w:rsidR="00872D3F" w:rsidRPr="00123FC1" w:rsidRDefault="00872D3F" w:rsidP="00872D3F">
      <w:pPr>
        <w:rPr>
          <w:rFonts w:ascii="Arial" w:hAnsi="Arial" w:cs="Arial"/>
        </w:rPr>
      </w:pPr>
    </w:p>
    <w:p w14:paraId="3E92A9F5" w14:textId="77777777" w:rsidR="00EA2BD6" w:rsidRPr="00123FC1" w:rsidRDefault="00EA2BD6" w:rsidP="00EA2BD6">
      <w:pPr>
        <w:rPr>
          <w:rFonts w:ascii="Arial" w:hAnsi="Arial" w:cs="Arial"/>
        </w:rPr>
      </w:pPr>
    </w:p>
    <w:p w14:paraId="5F6DCC0B" w14:textId="3A79FB94" w:rsidR="008E2076" w:rsidRPr="00123FC1" w:rsidRDefault="00872D3F" w:rsidP="00642C64">
      <w:pPr>
        <w:pStyle w:val="Heading2"/>
        <w:rPr>
          <w:rFonts w:ascii="Arial" w:hAnsi="Arial" w:cs="Arial"/>
          <w:sz w:val="22"/>
          <w:szCs w:val="22"/>
        </w:rPr>
      </w:pPr>
      <w:r w:rsidRPr="00123FC1">
        <w:rPr>
          <w:rFonts w:ascii="Arial" w:hAnsi="Arial" w:cs="Arial"/>
          <w:sz w:val="22"/>
          <w:szCs w:val="22"/>
        </w:rPr>
        <w:t xml:space="preserve">  </w:t>
      </w:r>
    </w:p>
    <w:p w14:paraId="7E197E4B" w14:textId="77777777" w:rsidR="00372E60" w:rsidRPr="00123FC1" w:rsidRDefault="00372E60" w:rsidP="00372E60">
      <w:pPr>
        <w:pStyle w:val="Heading2"/>
        <w:rPr>
          <w:rFonts w:ascii="Arial" w:hAnsi="Arial" w:cs="Arial"/>
          <w:sz w:val="22"/>
          <w:szCs w:val="22"/>
        </w:rPr>
      </w:pPr>
      <w:bookmarkStart w:id="18" w:name="_Toc218324655"/>
      <w:r w:rsidRPr="00123FC1">
        <w:rPr>
          <w:rFonts w:ascii="Arial" w:hAnsi="Arial" w:cs="Arial"/>
          <w:sz w:val="22"/>
          <w:szCs w:val="22"/>
        </w:rPr>
        <w:t>Scaling Across Multi</w:t>
      </w:r>
      <w:r w:rsidRPr="00123FC1">
        <w:rPr>
          <w:rFonts w:ascii="Arial" w:hAnsi="Arial" w:cs="Arial"/>
          <w:sz w:val="22"/>
          <w:szCs w:val="22"/>
        </w:rPr>
        <w:noBreakHyphen/>
        <w:t>Product Organizations</w:t>
      </w:r>
      <w:bookmarkEnd w:id="18"/>
    </w:p>
    <w:p w14:paraId="330F07DF" w14:textId="77777777" w:rsidR="00372E60" w:rsidRPr="00123FC1" w:rsidRDefault="00372E60" w:rsidP="00372E60">
      <w:pPr>
        <w:spacing w:after="0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 xml:space="preserve"> Different teams using different scanners </w:t>
      </w:r>
    </w:p>
    <w:p w14:paraId="62ADBCF8" w14:textId="77777777" w:rsidR="00372E60" w:rsidRPr="00123FC1" w:rsidRDefault="00372E60" w:rsidP="00372E60">
      <w:pPr>
        <w:spacing w:after="0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 xml:space="preserve"> Different formats </w:t>
      </w:r>
    </w:p>
    <w:p w14:paraId="3E375075" w14:textId="77777777" w:rsidR="00372E60" w:rsidRPr="00123FC1" w:rsidRDefault="00372E60" w:rsidP="00372E60">
      <w:pPr>
        <w:spacing w:after="0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 xml:space="preserve"> Inconsistent pipelines </w:t>
      </w:r>
    </w:p>
    <w:p w14:paraId="6B167497" w14:textId="77777777" w:rsidR="00372E60" w:rsidRPr="00123FC1" w:rsidRDefault="00372E60" w:rsidP="00372E60">
      <w:pPr>
        <w:spacing w:after="0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 xml:space="preserve"> Varying maturity </w:t>
      </w:r>
    </w:p>
    <w:p w14:paraId="5783A7C2" w14:textId="77777777" w:rsidR="00372E60" w:rsidRPr="00123FC1" w:rsidRDefault="00372E60" w:rsidP="00372E60">
      <w:pPr>
        <w:spacing w:after="0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> Legacy products with no SBOM capability</w:t>
      </w:r>
    </w:p>
    <w:p w14:paraId="464BEC5B" w14:textId="77777777" w:rsidR="00BB50EE" w:rsidRPr="00123FC1" w:rsidRDefault="00BB50EE" w:rsidP="00372E60">
      <w:pPr>
        <w:spacing w:after="0" w:line="300" w:lineRule="atLeast"/>
        <w:rPr>
          <w:rFonts w:ascii="Arial" w:eastAsia="Times New Roman" w:hAnsi="Arial" w:cs="Arial"/>
        </w:rPr>
      </w:pPr>
    </w:p>
    <w:p w14:paraId="2F4A818C" w14:textId="77777777" w:rsidR="00BB50EE" w:rsidRPr="00123FC1" w:rsidRDefault="00BB50EE" w:rsidP="00BB50EE">
      <w:pPr>
        <w:pStyle w:val="Heading2"/>
        <w:rPr>
          <w:rFonts w:ascii="Arial" w:hAnsi="Arial" w:cs="Arial"/>
          <w:sz w:val="22"/>
          <w:szCs w:val="22"/>
        </w:rPr>
      </w:pPr>
      <w:bookmarkStart w:id="19" w:name="_Toc218324656"/>
      <w:r w:rsidRPr="00123FC1">
        <w:rPr>
          <w:rFonts w:ascii="Arial" w:hAnsi="Arial" w:cs="Arial"/>
          <w:sz w:val="22"/>
          <w:szCs w:val="22"/>
        </w:rPr>
        <w:t>What Governance at Scale Really Means</w:t>
      </w:r>
      <w:bookmarkEnd w:id="19"/>
    </w:p>
    <w:p w14:paraId="5858AF4D" w14:textId="77777777" w:rsidR="00BB50EE" w:rsidRPr="00123FC1" w:rsidRDefault="00BB50EE" w:rsidP="00BB50EE">
      <w:pPr>
        <w:rPr>
          <w:rFonts w:ascii="Arial" w:hAnsi="Arial" w:cs="Arial"/>
        </w:rPr>
      </w:pPr>
      <w:r w:rsidRPr="00123FC1">
        <w:rPr>
          <w:rFonts w:ascii="Arial" w:hAnsi="Arial" w:cs="Arial"/>
        </w:rPr>
        <w:t>Treat SBOM governance as a data pipeline with policy control points and decisioning. The operating model emphasizes policy-as-code, audit-ready evidence, and lifecycle freshness across complex enterprise environments. The governance-driven SBOM operating model described in this paper reflects original implementation frameworks developed and operationalized by the author across large-scale AI and automotive software environments.</w:t>
      </w:r>
    </w:p>
    <w:p w14:paraId="5D49F5D6" w14:textId="77777777" w:rsidR="00BB50EE" w:rsidRPr="00123FC1" w:rsidRDefault="00BB50EE" w:rsidP="00BB50EE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Unlike traditional SBOM guidance, which focuses on artifact generation, this model introduces:</w:t>
      </w:r>
    </w:p>
    <w:p w14:paraId="7968FCEA" w14:textId="77777777" w:rsidR="00BB50EE" w:rsidRPr="00123FC1" w:rsidRDefault="00BB50EE" w:rsidP="00BB50EE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Policy-as-code decisioning tied directly to release authorization</w:t>
      </w:r>
    </w:p>
    <w:p w14:paraId="4BBB859B" w14:textId="77777777" w:rsidR="00BB50EE" w:rsidRPr="00123FC1" w:rsidRDefault="00BB50EE" w:rsidP="00BB50EE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lastRenderedPageBreak/>
        <w:t>Lifecycle-based freshness SLAs across build-time and runtime SBOMs</w:t>
      </w:r>
    </w:p>
    <w:p w14:paraId="74017B06" w14:textId="77777777" w:rsidR="00BB50EE" w:rsidRPr="00123FC1" w:rsidRDefault="00BB50EE" w:rsidP="00BB50EE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Integrated exploitability-aware triage using VEX as a gating mechanism</w:t>
      </w:r>
    </w:p>
    <w:p w14:paraId="77D98EB6" w14:textId="77777777" w:rsidR="00BB50EE" w:rsidRPr="00123FC1" w:rsidRDefault="00BB50EE" w:rsidP="00BB50EE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Audit-ready evidence mapping SBOM outputs to SSDF and regulatory controls</w:t>
      </w:r>
    </w:p>
    <w:p w14:paraId="7044CDEE" w14:textId="77777777" w:rsidR="00BB50EE" w:rsidRPr="00123FC1" w:rsidRDefault="00BB50EE" w:rsidP="00BB50EE">
      <w:pPr>
        <w:rPr>
          <w:rFonts w:ascii="Arial" w:hAnsi="Arial" w:cs="Arial"/>
        </w:rPr>
      </w:pPr>
    </w:p>
    <w:p w14:paraId="1A9D205E" w14:textId="77777777" w:rsidR="00BB50EE" w:rsidRPr="00123FC1" w:rsidRDefault="00BB50EE" w:rsidP="00BB50EE">
      <w:pPr>
        <w:rPr>
          <w:rFonts w:ascii="Arial" w:hAnsi="Arial" w:cs="Arial"/>
        </w:rPr>
      </w:pPr>
      <w:r w:rsidRPr="00123FC1">
        <w:rPr>
          <w:rFonts w:ascii="Arial" w:hAnsi="Arial" w:cs="Arial"/>
        </w:rPr>
        <w:t>These design patterns represent a shift from compliance-only SBOM practices to continuous, risk-based software supply-chain governance.</w:t>
      </w:r>
    </w:p>
    <w:p w14:paraId="18EF8833" w14:textId="77777777" w:rsidR="00BB50EE" w:rsidRPr="00123FC1" w:rsidRDefault="00BB50EE" w:rsidP="00BB50EE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Ingestion for internal builds and supplier SBOMs</w:t>
      </w:r>
    </w:p>
    <w:p w14:paraId="3848BC08" w14:textId="77777777" w:rsidR="00BB50EE" w:rsidRPr="00123FC1" w:rsidRDefault="00BB50EE" w:rsidP="00BB50EE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Normalization &amp; validation (identifiers, signatures, schemas)</w:t>
      </w:r>
    </w:p>
    <w:p w14:paraId="59625EE3" w14:textId="77777777" w:rsidR="00BB50EE" w:rsidRPr="00123FC1" w:rsidRDefault="00BB50EE" w:rsidP="00BB50EE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Enrichment (licenses, VEX/CSAF, vulnerabilities, provenance)</w:t>
      </w:r>
    </w:p>
    <w:p w14:paraId="2DDF1E75" w14:textId="77777777" w:rsidR="00BB50EE" w:rsidRPr="00123FC1" w:rsidRDefault="00BB50EE" w:rsidP="00BB50EE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Policy</w:t>
      </w:r>
      <w:r w:rsidRPr="00123FC1">
        <w:rPr>
          <w:rFonts w:ascii="Cambria Math" w:hAnsi="Cambria Math" w:cs="Cambria Math"/>
        </w:rPr>
        <w:t>‑</w:t>
      </w:r>
      <w:r w:rsidRPr="00123FC1">
        <w:rPr>
          <w:rFonts w:ascii="Arial" w:hAnsi="Arial" w:cs="Arial"/>
        </w:rPr>
        <w:t>as</w:t>
      </w:r>
      <w:r w:rsidRPr="00123FC1">
        <w:rPr>
          <w:rFonts w:ascii="Cambria Math" w:hAnsi="Cambria Math" w:cs="Cambria Math"/>
        </w:rPr>
        <w:t>‑</w:t>
      </w:r>
      <w:r w:rsidRPr="00123FC1">
        <w:rPr>
          <w:rFonts w:ascii="Arial" w:hAnsi="Arial" w:cs="Arial"/>
        </w:rPr>
        <w:t>code evaluation</w:t>
      </w:r>
    </w:p>
    <w:p w14:paraId="63A028DF" w14:textId="77777777" w:rsidR="00BB50EE" w:rsidRPr="00123FC1" w:rsidRDefault="00BB50EE" w:rsidP="00BB50EE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Decisioning workflows (ship, block, patch, accept, escalate)</w:t>
      </w:r>
    </w:p>
    <w:p w14:paraId="124CDFF6" w14:textId="77777777" w:rsidR="00BB50EE" w:rsidRPr="00123FC1" w:rsidRDefault="00BB50EE" w:rsidP="00BB50EE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Reporting &amp; audit evidence aligned with SSDF and CRA</w:t>
      </w:r>
    </w:p>
    <w:p w14:paraId="5B346596" w14:textId="55DDAE89" w:rsidR="00983AE6" w:rsidRPr="00123FC1" w:rsidRDefault="00983AE6" w:rsidP="00872D3F">
      <w:pPr>
        <w:rPr>
          <w:rFonts w:ascii="Arial" w:hAnsi="Arial" w:cs="Arial"/>
        </w:rPr>
      </w:pPr>
    </w:p>
    <w:p w14:paraId="54BFCB6B" w14:textId="1E7B20BE" w:rsidR="00372E60" w:rsidRPr="00123FC1" w:rsidRDefault="00372E60" w:rsidP="00372E60">
      <w:pPr>
        <w:pStyle w:val="Heading1"/>
        <w:rPr>
          <w:rFonts w:ascii="Arial" w:hAnsi="Arial" w:cs="Arial"/>
          <w:sz w:val="22"/>
          <w:szCs w:val="22"/>
        </w:rPr>
      </w:pPr>
      <w:bookmarkStart w:id="20" w:name="_Toc218324657"/>
      <w:r w:rsidRPr="00123FC1">
        <w:rPr>
          <w:rFonts w:ascii="Arial" w:hAnsi="Arial" w:cs="Arial"/>
          <w:sz w:val="22"/>
          <w:szCs w:val="22"/>
        </w:rPr>
        <w:t>Architecture &amp; Operations</w:t>
      </w:r>
      <w:bookmarkEnd w:id="20"/>
      <w:r w:rsidR="00922797" w:rsidRPr="00123FC1">
        <w:rPr>
          <w:rFonts w:ascii="Arial" w:hAnsi="Arial" w:cs="Arial"/>
          <w:sz w:val="22"/>
          <w:szCs w:val="22"/>
        </w:rPr>
        <w:br/>
      </w:r>
    </w:p>
    <w:p w14:paraId="68F9E091" w14:textId="77777777" w:rsidR="00922797" w:rsidRPr="00123FC1" w:rsidRDefault="00922797" w:rsidP="00922797">
      <w:pPr>
        <w:pStyle w:val="Heading1"/>
        <w:rPr>
          <w:rFonts w:ascii="Arial" w:hAnsi="Arial" w:cs="Arial"/>
          <w:sz w:val="22"/>
          <w:szCs w:val="22"/>
        </w:rPr>
      </w:pPr>
      <w:bookmarkStart w:id="21" w:name="_Toc218324658"/>
      <w:r w:rsidRPr="00123FC1">
        <w:rPr>
          <w:rFonts w:ascii="Arial" w:hAnsi="Arial" w:cs="Arial"/>
          <w:sz w:val="22"/>
          <w:szCs w:val="22"/>
        </w:rPr>
        <w:t>Reference Architecture: Enterprise SBOM Pipeline</w:t>
      </w:r>
      <w:bookmarkEnd w:id="21"/>
    </w:p>
    <w:p w14:paraId="36C1B3B8" w14:textId="77777777" w:rsidR="00123FC1" w:rsidRPr="00123FC1" w:rsidRDefault="00123FC1" w:rsidP="00123FC1">
      <w:pPr>
        <w:rPr>
          <w:rFonts w:ascii="Arial" w:hAnsi="Arial" w:cs="Arial"/>
        </w:rPr>
      </w:pPr>
      <w:r w:rsidRPr="00123FC1">
        <w:rPr>
          <w:rFonts w:ascii="Arial" w:hAnsi="Arial" w:cs="Arial"/>
        </w:rPr>
        <w:t xml:space="preserve">A modern enterprise requires an SBOM pipeline that functions as a </w:t>
      </w:r>
      <w:r w:rsidRPr="00123FC1">
        <w:rPr>
          <w:rFonts w:ascii="Arial" w:hAnsi="Arial" w:cs="Arial"/>
          <w:b/>
          <w:bCs/>
        </w:rPr>
        <w:t>policy</w:t>
      </w:r>
      <w:r w:rsidRPr="00123FC1">
        <w:rPr>
          <w:rFonts w:ascii="Arial" w:hAnsi="Arial" w:cs="Arial"/>
          <w:b/>
          <w:bCs/>
        </w:rPr>
        <w:noBreakHyphen/>
        <w:t>driven, automated, and continuously validating system</w:t>
      </w:r>
      <w:r w:rsidRPr="00123FC1">
        <w:rPr>
          <w:rFonts w:ascii="Arial" w:hAnsi="Arial" w:cs="Arial"/>
        </w:rPr>
        <w:t>, not a one</w:t>
      </w:r>
      <w:r w:rsidRPr="00123FC1">
        <w:rPr>
          <w:rFonts w:ascii="Arial" w:hAnsi="Arial" w:cs="Arial"/>
        </w:rPr>
        <w:noBreakHyphen/>
        <w:t>time artifact generator. The reference architecture below outlines the end</w:t>
      </w:r>
      <w:r w:rsidRPr="00123FC1">
        <w:rPr>
          <w:rFonts w:ascii="Arial" w:hAnsi="Arial" w:cs="Arial"/>
        </w:rPr>
        <w:noBreakHyphen/>
        <w:t>to</w:t>
      </w:r>
      <w:r w:rsidRPr="00123FC1">
        <w:rPr>
          <w:rFonts w:ascii="Arial" w:hAnsi="Arial" w:cs="Arial"/>
        </w:rPr>
        <w:noBreakHyphen/>
        <w:t>end workflow—from SBOM creation to evidence generation—that enables organizations to operationalize software supply chain governance at scale.</w:t>
      </w:r>
    </w:p>
    <w:p w14:paraId="40187110" w14:textId="77777777" w:rsidR="00123FC1" w:rsidRPr="00123FC1" w:rsidRDefault="00000000" w:rsidP="00123FC1">
      <w:pPr>
        <w:rPr>
          <w:rFonts w:ascii="Arial" w:hAnsi="Arial" w:cs="Arial"/>
        </w:rPr>
      </w:pPr>
      <w:r>
        <w:rPr>
          <w:rFonts w:ascii="Arial" w:hAnsi="Arial" w:cs="Arial"/>
        </w:rPr>
        <w:pict w14:anchorId="68782E89">
          <v:rect id="_x0000_i1025" style="width:0;height:1.5pt" o:hralign="center" o:hrstd="t" o:hr="t" fillcolor="#a0a0a0" stroked="f"/>
        </w:pict>
      </w:r>
    </w:p>
    <w:p w14:paraId="04B636C7" w14:textId="77777777" w:rsidR="00123FC1" w:rsidRPr="00123FC1" w:rsidRDefault="00123FC1" w:rsidP="00123FC1">
      <w:pPr>
        <w:rPr>
          <w:rFonts w:ascii="Arial" w:hAnsi="Arial" w:cs="Arial"/>
          <w:b/>
          <w:bCs/>
        </w:rPr>
      </w:pPr>
      <w:r w:rsidRPr="00123FC1">
        <w:rPr>
          <w:rFonts w:ascii="Arial" w:hAnsi="Arial" w:cs="Arial"/>
          <w:b/>
          <w:bCs/>
        </w:rPr>
        <w:t>1. Producers (Build Systems &amp; Tooling)</w:t>
      </w:r>
    </w:p>
    <w:p w14:paraId="5D601A1A" w14:textId="77777777" w:rsidR="00123FC1" w:rsidRPr="00123FC1" w:rsidRDefault="00123FC1" w:rsidP="00123FC1">
      <w:pPr>
        <w:rPr>
          <w:rFonts w:ascii="Arial" w:hAnsi="Arial" w:cs="Arial"/>
        </w:rPr>
      </w:pPr>
      <w:r w:rsidRPr="00123FC1">
        <w:rPr>
          <w:rFonts w:ascii="Arial" w:hAnsi="Arial" w:cs="Arial"/>
        </w:rPr>
        <w:t>The pipeline begins with SBOM producers: build systems, CI/CD pipelines, compilers, packaging tools, and third</w:t>
      </w:r>
      <w:r w:rsidRPr="00123FC1">
        <w:rPr>
          <w:rFonts w:ascii="Arial" w:hAnsi="Arial" w:cs="Arial"/>
        </w:rPr>
        <w:noBreakHyphen/>
        <w:t>party suppliers that generate SBOMs during the software development lifecycle.</w:t>
      </w:r>
      <w:r w:rsidRPr="00123FC1">
        <w:rPr>
          <w:rFonts w:ascii="Arial" w:hAnsi="Arial" w:cs="Arial"/>
        </w:rPr>
        <w:br/>
        <w:t>Key responsibilities:</w:t>
      </w:r>
    </w:p>
    <w:p w14:paraId="4AD63EEC" w14:textId="77777777" w:rsidR="00123FC1" w:rsidRPr="00123FC1" w:rsidRDefault="00123FC1" w:rsidP="00123FC1">
      <w:pPr>
        <w:numPr>
          <w:ilvl w:val="0"/>
          <w:numId w:val="30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Produce SBOMs in approved formats (e.g., SPDX, CycloneDX)</w:t>
      </w:r>
    </w:p>
    <w:p w14:paraId="1838B7A8" w14:textId="77777777" w:rsidR="00123FC1" w:rsidRPr="00123FC1" w:rsidRDefault="00123FC1" w:rsidP="00123FC1">
      <w:pPr>
        <w:numPr>
          <w:ilvl w:val="0"/>
          <w:numId w:val="30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Embed metadata such as component identity, versions, hashes, and dependency relationships</w:t>
      </w:r>
    </w:p>
    <w:p w14:paraId="52EA6C4A" w14:textId="77777777" w:rsidR="00123FC1" w:rsidRPr="00123FC1" w:rsidRDefault="00123FC1" w:rsidP="00123FC1">
      <w:pPr>
        <w:numPr>
          <w:ilvl w:val="0"/>
          <w:numId w:val="30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Ensure reproducible and deterministic generation</w:t>
      </w:r>
    </w:p>
    <w:p w14:paraId="06493EEF" w14:textId="77777777" w:rsidR="00123FC1" w:rsidRPr="00123FC1" w:rsidRDefault="00123FC1" w:rsidP="00123FC1">
      <w:pPr>
        <w:rPr>
          <w:rFonts w:ascii="Arial" w:hAnsi="Arial" w:cs="Arial"/>
        </w:rPr>
      </w:pPr>
      <w:r w:rsidRPr="00123FC1">
        <w:rPr>
          <w:rFonts w:ascii="Arial" w:hAnsi="Arial" w:cs="Arial"/>
        </w:rPr>
        <w:t>This stage ensures every software artifact entering the enterprise has a verifiable provenance trail.</w:t>
      </w:r>
    </w:p>
    <w:p w14:paraId="43000774" w14:textId="77777777" w:rsidR="00123FC1" w:rsidRPr="00123FC1" w:rsidRDefault="00000000" w:rsidP="00123FC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659E3F18">
          <v:rect id="_x0000_i1026" style="width:0;height:1.5pt" o:hralign="center" o:hrstd="t" o:hr="t" fillcolor="#a0a0a0" stroked="f"/>
        </w:pict>
      </w:r>
    </w:p>
    <w:p w14:paraId="732AC28E" w14:textId="77777777" w:rsidR="00123FC1" w:rsidRPr="00123FC1" w:rsidRDefault="00123FC1" w:rsidP="00123FC1">
      <w:pPr>
        <w:rPr>
          <w:rFonts w:ascii="Arial" w:hAnsi="Arial" w:cs="Arial"/>
          <w:b/>
          <w:bCs/>
        </w:rPr>
      </w:pPr>
      <w:r w:rsidRPr="00123FC1">
        <w:rPr>
          <w:rFonts w:ascii="Arial" w:hAnsi="Arial" w:cs="Arial"/>
          <w:b/>
          <w:bCs/>
        </w:rPr>
        <w:t>2. Ingestion (Identification, Normalization &amp; Schema Validation)</w:t>
      </w:r>
    </w:p>
    <w:p w14:paraId="4A76C47C" w14:textId="77777777" w:rsidR="00123FC1" w:rsidRPr="00123FC1" w:rsidRDefault="00123FC1" w:rsidP="00123FC1">
      <w:pPr>
        <w:rPr>
          <w:rFonts w:ascii="Arial" w:hAnsi="Arial" w:cs="Arial"/>
        </w:rPr>
      </w:pPr>
      <w:r w:rsidRPr="00123FC1">
        <w:rPr>
          <w:rFonts w:ascii="Arial" w:hAnsi="Arial" w:cs="Arial"/>
        </w:rPr>
        <w:t>Once SBOMs are produced, they enter a centralized ingestion layer.</w:t>
      </w:r>
      <w:r w:rsidRPr="00123FC1">
        <w:rPr>
          <w:rFonts w:ascii="Arial" w:hAnsi="Arial" w:cs="Arial"/>
        </w:rPr>
        <w:br/>
        <w:t>This component performs:</w:t>
      </w:r>
    </w:p>
    <w:p w14:paraId="495CAF79" w14:textId="77777777" w:rsidR="00123FC1" w:rsidRPr="00123FC1" w:rsidRDefault="00123FC1" w:rsidP="00123FC1">
      <w:pPr>
        <w:numPr>
          <w:ilvl w:val="0"/>
          <w:numId w:val="31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Identification: assigning internal identifiers (e.g., product, release, supplier, business unit)</w:t>
      </w:r>
    </w:p>
    <w:p w14:paraId="03C49A6A" w14:textId="77777777" w:rsidR="00123FC1" w:rsidRPr="00123FC1" w:rsidRDefault="00123FC1" w:rsidP="00123FC1">
      <w:pPr>
        <w:numPr>
          <w:ilvl w:val="0"/>
          <w:numId w:val="31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Normalization: enforcing enterprise schema requirements, rejecting malformed SBOMs</w:t>
      </w:r>
    </w:p>
    <w:p w14:paraId="286485BD" w14:textId="77777777" w:rsidR="00123FC1" w:rsidRPr="00123FC1" w:rsidRDefault="00123FC1" w:rsidP="00123FC1">
      <w:pPr>
        <w:numPr>
          <w:ilvl w:val="0"/>
          <w:numId w:val="31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Format coercion: mapping multiple formats into a unified internal representation</w:t>
      </w:r>
    </w:p>
    <w:p w14:paraId="336B6419" w14:textId="77777777" w:rsidR="00123FC1" w:rsidRPr="00123FC1" w:rsidRDefault="00123FC1" w:rsidP="00123FC1">
      <w:pPr>
        <w:numPr>
          <w:ilvl w:val="0"/>
          <w:numId w:val="31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Completeness checks: verifying minimum required SBOM fields</w:t>
      </w:r>
    </w:p>
    <w:p w14:paraId="39EBF504" w14:textId="77777777" w:rsidR="00123FC1" w:rsidRPr="00123FC1" w:rsidRDefault="00123FC1" w:rsidP="00123FC1">
      <w:pPr>
        <w:rPr>
          <w:rFonts w:ascii="Arial" w:hAnsi="Arial" w:cs="Arial"/>
        </w:rPr>
      </w:pPr>
      <w:r w:rsidRPr="00123FC1">
        <w:rPr>
          <w:rFonts w:ascii="Arial" w:hAnsi="Arial" w:cs="Arial"/>
        </w:rPr>
        <w:t>The ingestion stage establishes data quality, preventing downstream governance failures caused by incomplete or incorrect SBOMs.</w:t>
      </w:r>
    </w:p>
    <w:p w14:paraId="2C235D71" w14:textId="77777777" w:rsidR="00123FC1" w:rsidRPr="00123FC1" w:rsidRDefault="00000000" w:rsidP="00123FC1">
      <w:pPr>
        <w:rPr>
          <w:rFonts w:ascii="Arial" w:hAnsi="Arial" w:cs="Arial"/>
        </w:rPr>
      </w:pPr>
      <w:r>
        <w:rPr>
          <w:rFonts w:ascii="Arial" w:hAnsi="Arial" w:cs="Arial"/>
        </w:rPr>
        <w:pict w14:anchorId="02E76931">
          <v:rect id="_x0000_i1027" style="width:0;height:1.5pt" o:hralign="center" o:hrstd="t" o:hr="t" fillcolor="#a0a0a0" stroked="f"/>
        </w:pict>
      </w:r>
    </w:p>
    <w:p w14:paraId="63C47A5C" w14:textId="77777777" w:rsidR="00123FC1" w:rsidRPr="00123FC1" w:rsidRDefault="00123FC1" w:rsidP="00123FC1">
      <w:pPr>
        <w:rPr>
          <w:rFonts w:ascii="Arial" w:hAnsi="Arial" w:cs="Arial"/>
          <w:b/>
          <w:bCs/>
        </w:rPr>
      </w:pPr>
      <w:r w:rsidRPr="00123FC1">
        <w:rPr>
          <w:rFonts w:ascii="Arial" w:hAnsi="Arial" w:cs="Arial"/>
          <w:b/>
          <w:bCs/>
        </w:rPr>
        <w:t>3. Enrichment (Licenses, VEX, Vulnerabilities &amp; Metadata)</w:t>
      </w:r>
    </w:p>
    <w:p w14:paraId="0397121D" w14:textId="77777777" w:rsidR="00123FC1" w:rsidRPr="00123FC1" w:rsidRDefault="00123FC1" w:rsidP="00123FC1">
      <w:pPr>
        <w:rPr>
          <w:rFonts w:ascii="Arial" w:hAnsi="Arial" w:cs="Arial"/>
        </w:rPr>
      </w:pPr>
      <w:r w:rsidRPr="00123FC1">
        <w:rPr>
          <w:rFonts w:ascii="Arial" w:hAnsi="Arial" w:cs="Arial"/>
        </w:rPr>
        <w:t>Raw SBOMs rarely contain the full set of risk signals needed for governance.</w:t>
      </w:r>
      <w:r w:rsidRPr="00123FC1">
        <w:rPr>
          <w:rFonts w:ascii="Arial" w:hAnsi="Arial" w:cs="Arial"/>
        </w:rPr>
        <w:br/>
        <w:t>The enrichment service augments SBOMs with:</w:t>
      </w:r>
    </w:p>
    <w:p w14:paraId="559E8B38" w14:textId="77777777" w:rsidR="00123FC1" w:rsidRPr="00123FC1" w:rsidRDefault="00123FC1" w:rsidP="00123FC1">
      <w:pPr>
        <w:numPr>
          <w:ilvl w:val="0"/>
          <w:numId w:val="32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License data (and any associated obligations or restrictions)</w:t>
      </w:r>
    </w:p>
    <w:p w14:paraId="3E4FD563" w14:textId="77777777" w:rsidR="00123FC1" w:rsidRPr="00123FC1" w:rsidRDefault="00123FC1" w:rsidP="00123FC1">
      <w:pPr>
        <w:numPr>
          <w:ilvl w:val="0"/>
          <w:numId w:val="32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Vulnerability intelligence (CVEs, KEV listings, supplier advisories)</w:t>
      </w:r>
    </w:p>
    <w:p w14:paraId="17B9FBFA" w14:textId="77777777" w:rsidR="00123FC1" w:rsidRPr="00123FC1" w:rsidRDefault="00123FC1" w:rsidP="00123FC1">
      <w:pPr>
        <w:numPr>
          <w:ilvl w:val="0"/>
          <w:numId w:val="32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VEX statements, when available, to clarify exploitability</w:t>
      </w:r>
    </w:p>
    <w:p w14:paraId="55046476" w14:textId="77777777" w:rsidR="00123FC1" w:rsidRPr="00123FC1" w:rsidRDefault="00123FC1" w:rsidP="00123FC1">
      <w:pPr>
        <w:numPr>
          <w:ilvl w:val="0"/>
          <w:numId w:val="32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Component reputation and package</w:t>
      </w:r>
      <w:r w:rsidRPr="00123FC1">
        <w:rPr>
          <w:rFonts w:ascii="Arial" w:hAnsi="Arial" w:cs="Arial"/>
        </w:rPr>
        <w:noBreakHyphen/>
        <w:t>level trust signals</w:t>
      </w:r>
    </w:p>
    <w:p w14:paraId="248ED703" w14:textId="77777777" w:rsidR="00123FC1" w:rsidRPr="00123FC1" w:rsidRDefault="00123FC1" w:rsidP="00123FC1">
      <w:pPr>
        <w:numPr>
          <w:ilvl w:val="0"/>
          <w:numId w:val="32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Supplier history, including incident records or past compliance failures</w:t>
      </w:r>
    </w:p>
    <w:p w14:paraId="16DB6742" w14:textId="77777777" w:rsidR="00123FC1" w:rsidRPr="00123FC1" w:rsidRDefault="00123FC1" w:rsidP="00123FC1">
      <w:pPr>
        <w:rPr>
          <w:rFonts w:ascii="Arial" w:hAnsi="Arial" w:cs="Arial"/>
        </w:rPr>
      </w:pPr>
      <w:r w:rsidRPr="00123FC1">
        <w:rPr>
          <w:rFonts w:ascii="Arial" w:hAnsi="Arial" w:cs="Arial"/>
        </w:rPr>
        <w:t>Enrichment transforms SBOMs from passive inventories into actionable supply chain intelligence.</w:t>
      </w:r>
    </w:p>
    <w:p w14:paraId="7A15084B" w14:textId="77777777" w:rsidR="00123FC1" w:rsidRPr="00123FC1" w:rsidRDefault="00000000" w:rsidP="00123FC1">
      <w:pPr>
        <w:rPr>
          <w:rFonts w:ascii="Arial" w:hAnsi="Arial" w:cs="Arial"/>
        </w:rPr>
      </w:pPr>
      <w:r>
        <w:rPr>
          <w:rFonts w:ascii="Arial" w:hAnsi="Arial" w:cs="Arial"/>
        </w:rPr>
        <w:pict w14:anchorId="02BB3EBE">
          <v:rect id="_x0000_i1028" style="width:0;height:1.5pt" o:hralign="center" o:hrstd="t" o:hr="t" fillcolor="#a0a0a0" stroked="f"/>
        </w:pict>
      </w:r>
    </w:p>
    <w:p w14:paraId="13EC23BA" w14:textId="77777777" w:rsidR="00123FC1" w:rsidRPr="00123FC1" w:rsidRDefault="00123FC1" w:rsidP="00123FC1">
      <w:pPr>
        <w:rPr>
          <w:rFonts w:ascii="Arial" w:hAnsi="Arial" w:cs="Arial"/>
          <w:b/>
          <w:bCs/>
        </w:rPr>
      </w:pPr>
      <w:r w:rsidRPr="00123FC1">
        <w:rPr>
          <w:rFonts w:ascii="Arial" w:hAnsi="Arial" w:cs="Arial"/>
          <w:b/>
          <w:bCs/>
        </w:rPr>
        <w:t>4. Policy (Governance-as-Code)</w:t>
      </w:r>
    </w:p>
    <w:p w14:paraId="6523616C" w14:textId="77777777" w:rsidR="00123FC1" w:rsidRPr="00123FC1" w:rsidRDefault="00123FC1" w:rsidP="00123FC1">
      <w:pPr>
        <w:rPr>
          <w:rFonts w:ascii="Arial" w:hAnsi="Arial" w:cs="Arial"/>
        </w:rPr>
      </w:pPr>
      <w:r w:rsidRPr="00123FC1">
        <w:rPr>
          <w:rFonts w:ascii="Arial" w:hAnsi="Arial" w:cs="Arial"/>
        </w:rPr>
        <w:t>The enriched SBOM is evaluated against a policy layer implemented as code, ensuring consistent, non</w:t>
      </w:r>
      <w:r w:rsidRPr="00123FC1">
        <w:rPr>
          <w:rFonts w:ascii="Arial" w:hAnsi="Arial" w:cs="Arial"/>
        </w:rPr>
        <w:noBreakHyphen/>
        <w:t>negotiable enforcement.</w:t>
      </w:r>
      <w:r w:rsidRPr="00123FC1">
        <w:rPr>
          <w:rFonts w:ascii="Arial" w:hAnsi="Arial" w:cs="Arial"/>
        </w:rPr>
        <w:br/>
        <w:t>Policies can include:</w:t>
      </w:r>
    </w:p>
    <w:p w14:paraId="195D57AF" w14:textId="77777777" w:rsidR="00123FC1" w:rsidRPr="00123FC1" w:rsidRDefault="00123FC1" w:rsidP="00123FC1">
      <w:pPr>
        <w:numPr>
          <w:ilvl w:val="0"/>
          <w:numId w:val="33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Licensing restrictions (e.g., disallowed licenses)</w:t>
      </w:r>
    </w:p>
    <w:p w14:paraId="2CF99A2F" w14:textId="77777777" w:rsidR="00123FC1" w:rsidRPr="00123FC1" w:rsidRDefault="00123FC1" w:rsidP="00123FC1">
      <w:pPr>
        <w:numPr>
          <w:ilvl w:val="0"/>
          <w:numId w:val="33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Vulnerability thresholds or severity limits</w:t>
      </w:r>
    </w:p>
    <w:p w14:paraId="7E9CCD18" w14:textId="77777777" w:rsidR="00123FC1" w:rsidRPr="00123FC1" w:rsidRDefault="00123FC1" w:rsidP="00123FC1">
      <w:pPr>
        <w:numPr>
          <w:ilvl w:val="0"/>
          <w:numId w:val="33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lastRenderedPageBreak/>
        <w:t>Requirements for VEX, signature, or completeness</w:t>
      </w:r>
    </w:p>
    <w:p w14:paraId="6075119F" w14:textId="77777777" w:rsidR="00123FC1" w:rsidRPr="00123FC1" w:rsidRDefault="00123FC1" w:rsidP="00123FC1">
      <w:pPr>
        <w:numPr>
          <w:ilvl w:val="0"/>
          <w:numId w:val="33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Supplier trust scores or minimum gating criteria</w:t>
      </w:r>
    </w:p>
    <w:p w14:paraId="0631DD01" w14:textId="77777777" w:rsidR="00123FC1" w:rsidRPr="00123FC1" w:rsidRDefault="00123FC1" w:rsidP="00123FC1">
      <w:pPr>
        <w:numPr>
          <w:ilvl w:val="0"/>
          <w:numId w:val="33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Internal architectural standards (e.g., validated cryptography)</w:t>
      </w:r>
    </w:p>
    <w:p w14:paraId="41F8137B" w14:textId="77777777" w:rsidR="00123FC1" w:rsidRPr="00123FC1" w:rsidRDefault="00123FC1" w:rsidP="00123FC1">
      <w:pPr>
        <w:rPr>
          <w:rFonts w:ascii="Arial" w:hAnsi="Arial" w:cs="Arial"/>
        </w:rPr>
      </w:pPr>
      <w:r w:rsidRPr="00123FC1">
        <w:rPr>
          <w:rFonts w:ascii="Arial" w:hAnsi="Arial" w:cs="Arial"/>
        </w:rPr>
        <w:t>A policy-as-code approach allows versioning, testing, automation, and auditability—critical for enterprise scalability.</w:t>
      </w:r>
    </w:p>
    <w:p w14:paraId="65101E4A" w14:textId="77777777" w:rsidR="00123FC1" w:rsidRPr="00123FC1" w:rsidRDefault="00000000" w:rsidP="00123FC1">
      <w:pPr>
        <w:rPr>
          <w:rFonts w:ascii="Arial" w:hAnsi="Arial" w:cs="Arial"/>
        </w:rPr>
      </w:pPr>
      <w:r>
        <w:rPr>
          <w:rFonts w:ascii="Arial" w:hAnsi="Arial" w:cs="Arial"/>
        </w:rPr>
        <w:pict w14:anchorId="6462AC81">
          <v:rect id="_x0000_i1029" style="width:0;height:1.5pt" o:hralign="center" o:hrstd="t" o:hr="t" fillcolor="#a0a0a0" stroked="f"/>
        </w:pict>
      </w:r>
    </w:p>
    <w:p w14:paraId="3666D719" w14:textId="77777777" w:rsidR="00123FC1" w:rsidRPr="00123FC1" w:rsidRDefault="00123FC1" w:rsidP="00123FC1">
      <w:pPr>
        <w:rPr>
          <w:rFonts w:ascii="Arial" w:hAnsi="Arial" w:cs="Arial"/>
          <w:b/>
          <w:bCs/>
        </w:rPr>
      </w:pPr>
      <w:r w:rsidRPr="00123FC1">
        <w:rPr>
          <w:rFonts w:ascii="Arial" w:hAnsi="Arial" w:cs="Arial"/>
          <w:b/>
          <w:bCs/>
        </w:rPr>
        <w:t>5. Decisioning (Continuous Compliance &amp; Release Gating)</w:t>
      </w:r>
    </w:p>
    <w:p w14:paraId="2256A83C" w14:textId="77777777" w:rsidR="00123FC1" w:rsidRPr="00123FC1" w:rsidRDefault="00123FC1" w:rsidP="00123FC1">
      <w:pPr>
        <w:rPr>
          <w:rFonts w:ascii="Arial" w:hAnsi="Arial" w:cs="Arial"/>
        </w:rPr>
      </w:pPr>
      <w:r w:rsidRPr="00123FC1">
        <w:rPr>
          <w:rFonts w:ascii="Arial" w:hAnsi="Arial" w:cs="Arial"/>
        </w:rPr>
        <w:t>Policy evaluation drives automated decisioning:</w:t>
      </w:r>
    </w:p>
    <w:p w14:paraId="7180CA94" w14:textId="77777777" w:rsidR="00123FC1" w:rsidRPr="00123FC1" w:rsidRDefault="00123FC1" w:rsidP="00123FC1">
      <w:pPr>
        <w:numPr>
          <w:ilvl w:val="0"/>
          <w:numId w:val="34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Pass: Component or release meets all policy criteria</w:t>
      </w:r>
    </w:p>
    <w:p w14:paraId="74E88639" w14:textId="77777777" w:rsidR="00123FC1" w:rsidRPr="00123FC1" w:rsidRDefault="00123FC1" w:rsidP="00123FC1">
      <w:pPr>
        <w:numPr>
          <w:ilvl w:val="0"/>
          <w:numId w:val="34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Warn: Non</w:t>
      </w:r>
      <w:r w:rsidRPr="00123FC1">
        <w:rPr>
          <w:rFonts w:ascii="Arial" w:hAnsi="Arial" w:cs="Arial"/>
        </w:rPr>
        <w:noBreakHyphen/>
        <w:t>blocking issues requiring attention</w:t>
      </w:r>
    </w:p>
    <w:p w14:paraId="17723FA8" w14:textId="77777777" w:rsidR="00123FC1" w:rsidRPr="00123FC1" w:rsidRDefault="00123FC1" w:rsidP="00123FC1">
      <w:pPr>
        <w:numPr>
          <w:ilvl w:val="0"/>
          <w:numId w:val="34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Fail: Violations that stop CI/CD pipeline progression</w:t>
      </w:r>
    </w:p>
    <w:p w14:paraId="1500C8C1" w14:textId="77777777" w:rsidR="00123FC1" w:rsidRPr="00123FC1" w:rsidRDefault="00123FC1" w:rsidP="00123FC1">
      <w:pPr>
        <w:rPr>
          <w:rFonts w:ascii="Arial" w:hAnsi="Arial" w:cs="Arial"/>
        </w:rPr>
      </w:pPr>
      <w:r w:rsidRPr="00123FC1">
        <w:rPr>
          <w:rFonts w:ascii="Arial" w:hAnsi="Arial" w:cs="Arial"/>
        </w:rPr>
        <w:t>Decisioning creates a continuous feedback loop with engineering, security, legal, and procurement teams. This turns SBOMs into a real</w:t>
      </w:r>
      <w:r w:rsidRPr="00123FC1">
        <w:rPr>
          <w:rFonts w:ascii="Arial" w:hAnsi="Arial" w:cs="Arial"/>
        </w:rPr>
        <w:noBreakHyphen/>
        <w:t>time compliance gate, not a passive reporting requirement.</w:t>
      </w:r>
    </w:p>
    <w:p w14:paraId="5A225AD8" w14:textId="77777777" w:rsidR="00123FC1" w:rsidRPr="00123FC1" w:rsidRDefault="00000000" w:rsidP="00123FC1">
      <w:pPr>
        <w:rPr>
          <w:rFonts w:ascii="Arial" w:hAnsi="Arial" w:cs="Arial"/>
        </w:rPr>
      </w:pPr>
      <w:r>
        <w:rPr>
          <w:rFonts w:ascii="Arial" w:hAnsi="Arial" w:cs="Arial"/>
        </w:rPr>
        <w:pict w14:anchorId="3880CB84">
          <v:rect id="_x0000_i1030" style="width:0;height:1.5pt" o:hralign="center" o:hrstd="t" o:hr="t" fillcolor="#a0a0a0" stroked="f"/>
        </w:pict>
      </w:r>
    </w:p>
    <w:p w14:paraId="7303FC4A" w14:textId="77777777" w:rsidR="00123FC1" w:rsidRPr="00123FC1" w:rsidRDefault="00123FC1" w:rsidP="00123FC1">
      <w:pPr>
        <w:rPr>
          <w:rFonts w:ascii="Arial" w:hAnsi="Arial" w:cs="Arial"/>
          <w:b/>
          <w:bCs/>
        </w:rPr>
      </w:pPr>
      <w:r w:rsidRPr="00123FC1">
        <w:rPr>
          <w:rFonts w:ascii="Arial" w:hAnsi="Arial" w:cs="Arial"/>
          <w:b/>
          <w:bCs/>
        </w:rPr>
        <w:t>6. Evidence (Dashboards, Audit, Reporting &amp; Traceability)</w:t>
      </w:r>
    </w:p>
    <w:p w14:paraId="7AF28B54" w14:textId="77777777" w:rsidR="00123FC1" w:rsidRPr="00123FC1" w:rsidRDefault="00123FC1" w:rsidP="00123FC1">
      <w:pPr>
        <w:rPr>
          <w:rFonts w:ascii="Arial" w:hAnsi="Arial" w:cs="Arial"/>
        </w:rPr>
      </w:pPr>
      <w:r w:rsidRPr="00123FC1">
        <w:rPr>
          <w:rFonts w:ascii="Arial" w:hAnsi="Arial" w:cs="Arial"/>
        </w:rPr>
        <w:t>Every action in the pipeline produces verifiable evidence, stored centrally for audit, regulatory reporting, and cross</w:t>
      </w:r>
      <w:r w:rsidRPr="00123FC1">
        <w:rPr>
          <w:rFonts w:ascii="Arial" w:hAnsi="Arial" w:cs="Arial"/>
        </w:rPr>
        <w:noBreakHyphen/>
        <w:t>functional visibility.</w:t>
      </w:r>
      <w:r w:rsidRPr="00123FC1">
        <w:rPr>
          <w:rFonts w:ascii="Arial" w:hAnsi="Arial" w:cs="Arial"/>
        </w:rPr>
        <w:br/>
        <w:t>This includes:</w:t>
      </w:r>
    </w:p>
    <w:p w14:paraId="45D81DCF" w14:textId="77777777" w:rsidR="00123FC1" w:rsidRPr="00123FC1" w:rsidRDefault="00123FC1" w:rsidP="00123FC1">
      <w:pPr>
        <w:numPr>
          <w:ilvl w:val="0"/>
          <w:numId w:val="35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Compliance dashboards</w:t>
      </w:r>
    </w:p>
    <w:p w14:paraId="0EFC77A0" w14:textId="77777777" w:rsidR="00123FC1" w:rsidRPr="00123FC1" w:rsidRDefault="00123FC1" w:rsidP="00123FC1">
      <w:pPr>
        <w:numPr>
          <w:ilvl w:val="0"/>
          <w:numId w:val="35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Historical SBOM versions and policy decisions</w:t>
      </w:r>
    </w:p>
    <w:p w14:paraId="0685FE69" w14:textId="77777777" w:rsidR="00123FC1" w:rsidRPr="00123FC1" w:rsidRDefault="00123FC1" w:rsidP="00123FC1">
      <w:pPr>
        <w:numPr>
          <w:ilvl w:val="0"/>
          <w:numId w:val="35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Supplier performance and trust scores</w:t>
      </w:r>
    </w:p>
    <w:p w14:paraId="5D7DA7FB" w14:textId="77777777" w:rsidR="00123FC1" w:rsidRPr="00123FC1" w:rsidRDefault="00123FC1" w:rsidP="00123FC1">
      <w:pPr>
        <w:numPr>
          <w:ilvl w:val="0"/>
          <w:numId w:val="35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Audit trails for vulnerability response</w:t>
      </w:r>
    </w:p>
    <w:p w14:paraId="38A23DF9" w14:textId="77777777" w:rsidR="00123FC1" w:rsidRPr="00123FC1" w:rsidRDefault="00123FC1" w:rsidP="00123FC1">
      <w:pPr>
        <w:numPr>
          <w:ilvl w:val="0"/>
          <w:numId w:val="35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Regulatory evidence packs (e.g., FDA, EU CRA, DoD, NIST SSDF)</w:t>
      </w:r>
    </w:p>
    <w:p w14:paraId="4330419D" w14:textId="77777777" w:rsidR="00123FC1" w:rsidRPr="00123FC1" w:rsidRDefault="00123FC1" w:rsidP="00123FC1">
      <w:pPr>
        <w:rPr>
          <w:rFonts w:ascii="Arial" w:hAnsi="Arial" w:cs="Arial"/>
        </w:rPr>
      </w:pPr>
      <w:r w:rsidRPr="00123FC1">
        <w:rPr>
          <w:rFonts w:ascii="Arial" w:hAnsi="Arial" w:cs="Arial"/>
        </w:rPr>
        <w:t>Evidence enables organizations to demonstrate governance maturity, satisfy external requirements, and support business decisions around risk acceptance or supplier management.</w:t>
      </w:r>
    </w:p>
    <w:p w14:paraId="2D51FACE" w14:textId="77777777" w:rsidR="00123FC1" w:rsidRPr="00123FC1" w:rsidRDefault="00000000" w:rsidP="00123FC1">
      <w:pPr>
        <w:rPr>
          <w:rFonts w:ascii="Arial" w:hAnsi="Arial" w:cs="Arial"/>
        </w:rPr>
      </w:pPr>
      <w:r>
        <w:rPr>
          <w:rFonts w:ascii="Arial" w:hAnsi="Arial" w:cs="Arial"/>
        </w:rPr>
        <w:pict w14:anchorId="400C6669">
          <v:rect id="_x0000_i1031" style="width:0;height:1.5pt" o:hralign="center" o:hrstd="t" o:hr="t" fillcolor="#a0a0a0" stroked="f"/>
        </w:pict>
      </w:r>
    </w:p>
    <w:p w14:paraId="3D0F715A" w14:textId="77777777" w:rsidR="00123FC1" w:rsidRPr="00123FC1" w:rsidRDefault="00123FC1" w:rsidP="00123FC1">
      <w:pPr>
        <w:rPr>
          <w:rFonts w:ascii="Arial" w:hAnsi="Arial" w:cs="Arial"/>
          <w:b/>
          <w:bCs/>
        </w:rPr>
      </w:pPr>
      <w:r w:rsidRPr="00123FC1">
        <w:rPr>
          <w:rFonts w:ascii="Arial" w:hAnsi="Arial" w:cs="Arial"/>
          <w:b/>
          <w:bCs/>
        </w:rPr>
        <w:t>Putting It All Together</w:t>
      </w:r>
    </w:p>
    <w:p w14:paraId="147C4C3C" w14:textId="77777777" w:rsidR="00123FC1" w:rsidRPr="00123FC1" w:rsidRDefault="00123FC1" w:rsidP="00123FC1">
      <w:pPr>
        <w:rPr>
          <w:rFonts w:ascii="Arial" w:hAnsi="Arial" w:cs="Arial"/>
        </w:rPr>
      </w:pPr>
      <w:r w:rsidRPr="00123FC1">
        <w:rPr>
          <w:rFonts w:ascii="Arial" w:hAnsi="Arial" w:cs="Arial"/>
        </w:rPr>
        <w:lastRenderedPageBreak/>
        <w:t>This reference architecture represents a shift from static SBOM documents to a dynamic governance pipeline, where every SBOM is:</w:t>
      </w:r>
    </w:p>
    <w:p w14:paraId="7F8558A8" w14:textId="77777777" w:rsidR="00123FC1" w:rsidRPr="00123FC1" w:rsidRDefault="00123FC1" w:rsidP="00123FC1">
      <w:pPr>
        <w:numPr>
          <w:ilvl w:val="0"/>
          <w:numId w:val="36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validated</w:t>
      </w:r>
    </w:p>
    <w:p w14:paraId="39A73472" w14:textId="77777777" w:rsidR="00123FC1" w:rsidRPr="00123FC1" w:rsidRDefault="00123FC1" w:rsidP="00123FC1">
      <w:pPr>
        <w:numPr>
          <w:ilvl w:val="0"/>
          <w:numId w:val="36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enriched</w:t>
      </w:r>
    </w:p>
    <w:p w14:paraId="5E93C65D" w14:textId="77777777" w:rsidR="00123FC1" w:rsidRPr="00123FC1" w:rsidRDefault="00123FC1" w:rsidP="00123FC1">
      <w:pPr>
        <w:numPr>
          <w:ilvl w:val="0"/>
          <w:numId w:val="36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evaluated by policy-as-code</w:t>
      </w:r>
    </w:p>
    <w:p w14:paraId="662DCC87" w14:textId="77777777" w:rsidR="00123FC1" w:rsidRPr="00123FC1" w:rsidRDefault="00123FC1" w:rsidP="00123FC1">
      <w:pPr>
        <w:numPr>
          <w:ilvl w:val="0"/>
          <w:numId w:val="36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subject to automated decisioning</w:t>
      </w:r>
    </w:p>
    <w:p w14:paraId="060C42B8" w14:textId="77777777" w:rsidR="00123FC1" w:rsidRPr="00123FC1" w:rsidRDefault="00123FC1" w:rsidP="00123FC1">
      <w:pPr>
        <w:numPr>
          <w:ilvl w:val="0"/>
          <w:numId w:val="36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stored with complete audit evidence</w:t>
      </w:r>
    </w:p>
    <w:p w14:paraId="1F6840FF" w14:textId="77777777" w:rsidR="00123FC1" w:rsidRPr="00123FC1" w:rsidRDefault="00123FC1" w:rsidP="00123FC1">
      <w:pPr>
        <w:rPr>
          <w:rFonts w:ascii="Arial" w:hAnsi="Arial" w:cs="Arial"/>
        </w:rPr>
      </w:pPr>
      <w:r w:rsidRPr="00123FC1">
        <w:rPr>
          <w:rFonts w:ascii="Arial" w:hAnsi="Arial" w:cs="Arial"/>
        </w:rPr>
        <w:t>The result is a robust, scalable, and defensible software supply chain governance posture that meets both enterprise security demands and regulatory expectations.</w:t>
      </w:r>
    </w:p>
    <w:p w14:paraId="61540A33" w14:textId="77777777" w:rsidR="00123FC1" w:rsidRPr="00123FC1" w:rsidRDefault="00123FC1" w:rsidP="00123FC1">
      <w:pPr>
        <w:rPr>
          <w:rFonts w:ascii="Arial" w:hAnsi="Arial" w:cs="Arial"/>
        </w:rPr>
      </w:pPr>
    </w:p>
    <w:p w14:paraId="55291149" w14:textId="77777777" w:rsidR="00922797" w:rsidRPr="00123FC1" w:rsidRDefault="00922797" w:rsidP="00922797">
      <w:pPr>
        <w:rPr>
          <w:rFonts w:ascii="Arial" w:hAnsi="Arial" w:cs="Arial"/>
        </w:rPr>
      </w:pPr>
      <w:r w:rsidRPr="00123FC1">
        <w:rPr>
          <w:rFonts w:ascii="Arial" w:hAnsi="Arial" w:cs="Arial"/>
          <w:noProof/>
        </w:rPr>
        <w:drawing>
          <wp:inline distT="0" distB="0" distL="0" distR="0" wp14:anchorId="23890BF7" wp14:editId="5B9CD287">
            <wp:extent cx="5486400" cy="2962275"/>
            <wp:effectExtent l="0" t="0" r="0" b="9525"/>
            <wp:docPr id="1875536601" name="Picture 6" descr="A diagram of a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36601" name="Picture 6" descr="A diagram of a proces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34" cy="296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6BC69" w14:textId="77777777" w:rsidR="00372E60" w:rsidRPr="00123FC1" w:rsidRDefault="00372E60" w:rsidP="009B0300">
      <w:pPr>
        <w:pStyle w:val="Heading1"/>
        <w:rPr>
          <w:rFonts w:ascii="Arial" w:hAnsi="Arial" w:cs="Arial"/>
          <w:sz w:val="22"/>
          <w:szCs w:val="22"/>
        </w:rPr>
      </w:pPr>
    </w:p>
    <w:p w14:paraId="31FDBDFB" w14:textId="51C6DFDB" w:rsidR="009B0300" w:rsidRPr="00123FC1" w:rsidRDefault="009B0300" w:rsidP="00372E60">
      <w:pPr>
        <w:pStyle w:val="Heading2"/>
        <w:rPr>
          <w:rFonts w:ascii="Arial" w:hAnsi="Arial" w:cs="Arial"/>
          <w:sz w:val="22"/>
          <w:szCs w:val="22"/>
        </w:rPr>
      </w:pPr>
      <w:bookmarkStart w:id="22" w:name="_Toc218324659"/>
      <w:r w:rsidRPr="00123FC1">
        <w:rPr>
          <w:rFonts w:ascii="Arial" w:hAnsi="Arial" w:cs="Arial"/>
          <w:sz w:val="22"/>
          <w:szCs w:val="22"/>
        </w:rPr>
        <w:t>Tools Integration Architecture</w:t>
      </w:r>
      <w:bookmarkEnd w:id="22"/>
      <w:r w:rsidRPr="00123FC1">
        <w:rPr>
          <w:rFonts w:ascii="Arial" w:hAnsi="Arial" w:cs="Arial"/>
          <w:sz w:val="22"/>
          <w:szCs w:val="22"/>
        </w:rPr>
        <w:t xml:space="preserve"> </w:t>
      </w:r>
    </w:p>
    <w:p w14:paraId="5DA5DEDC" w14:textId="77777777" w:rsidR="009B0300" w:rsidRPr="00123FC1" w:rsidRDefault="009B0300" w:rsidP="009B0300">
      <w:pPr>
        <w:spacing w:before="100" w:beforeAutospacing="1" w:after="100" w:afterAutospacing="1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  <w:b/>
          <w:bCs/>
        </w:rPr>
        <w:t>Components</w:t>
      </w:r>
    </w:p>
    <w:p w14:paraId="3F638B8B" w14:textId="77777777" w:rsidR="009B0300" w:rsidRPr="00123FC1" w:rsidRDefault="009B0300" w:rsidP="009B030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>CI/CD (build + release)</w:t>
      </w:r>
    </w:p>
    <w:p w14:paraId="68ED235E" w14:textId="77777777" w:rsidR="009B0300" w:rsidRPr="00123FC1" w:rsidRDefault="009B0300" w:rsidP="009B030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>SBOM generators (Syft/CycloneDX/SPDX)</w:t>
      </w:r>
    </w:p>
    <w:p w14:paraId="6C72BF1D" w14:textId="77777777" w:rsidR="009B0300" w:rsidRPr="00123FC1" w:rsidRDefault="009B0300" w:rsidP="009B030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>Signing/attestation (Cosign, in</w:t>
      </w:r>
      <w:r w:rsidRPr="00123FC1">
        <w:rPr>
          <w:rFonts w:ascii="Arial" w:eastAsia="Times New Roman" w:hAnsi="Arial" w:cs="Arial"/>
        </w:rPr>
        <w:noBreakHyphen/>
        <w:t>toto)</w:t>
      </w:r>
    </w:p>
    <w:p w14:paraId="091A9FF1" w14:textId="77777777" w:rsidR="009B0300" w:rsidRPr="00123FC1" w:rsidRDefault="009B0300" w:rsidP="009B030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>Ingestion APIs (supplier + internal)</w:t>
      </w:r>
    </w:p>
    <w:p w14:paraId="5D76A34F" w14:textId="77777777" w:rsidR="009B0300" w:rsidRPr="00123FC1" w:rsidRDefault="009B0300" w:rsidP="009B030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>Normalization service (SPDX/CycloneDX, purl/CPE/SWID)</w:t>
      </w:r>
    </w:p>
    <w:p w14:paraId="2B6407D5" w14:textId="77777777" w:rsidR="009B0300" w:rsidRPr="00123FC1" w:rsidRDefault="009B0300" w:rsidP="009B030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lastRenderedPageBreak/>
        <w:t>Enrichment (SCA, CVE, VEX/CSAF, license)</w:t>
      </w:r>
    </w:p>
    <w:p w14:paraId="378D5311" w14:textId="77777777" w:rsidR="009B0300" w:rsidRPr="00123FC1" w:rsidRDefault="009B0300" w:rsidP="009B030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>Policy</w:t>
      </w:r>
      <w:r w:rsidRPr="00123FC1">
        <w:rPr>
          <w:rFonts w:ascii="Arial" w:eastAsia="Times New Roman" w:hAnsi="Arial" w:cs="Arial"/>
        </w:rPr>
        <w:noBreakHyphen/>
        <w:t>as</w:t>
      </w:r>
      <w:r w:rsidRPr="00123FC1">
        <w:rPr>
          <w:rFonts w:ascii="Arial" w:eastAsia="Times New Roman" w:hAnsi="Arial" w:cs="Arial"/>
        </w:rPr>
        <w:noBreakHyphen/>
        <w:t>code engine (e.g., OPA/Rego or rule service)</w:t>
      </w:r>
    </w:p>
    <w:p w14:paraId="43B8811A" w14:textId="77777777" w:rsidR="009B0300" w:rsidRPr="00123FC1" w:rsidRDefault="009B0300" w:rsidP="009B030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>Orchestrator (Dependency</w:t>
      </w:r>
      <w:r w:rsidRPr="00123FC1">
        <w:rPr>
          <w:rFonts w:ascii="Arial" w:eastAsia="Times New Roman" w:hAnsi="Arial" w:cs="Arial"/>
        </w:rPr>
        <w:noBreakHyphen/>
        <w:t>Track)</w:t>
      </w:r>
    </w:p>
    <w:p w14:paraId="183D98B1" w14:textId="77777777" w:rsidR="009B0300" w:rsidRPr="00123FC1" w:rsidRDefault="009B0300" w:rsidP="009B030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>Evidence store &amp; dashboards (SSDF/CRA)</w:t>
      </w:r>
    </w:p>
    <w:p w14:paraId="0E177467" w14:textId="77777777" w:rsidR="009B0300" w:rsidRPr="00123FC1" w:rsidRDefault="009B0300" w:rsidP="009B0300">
      <w:pPr>
        <w:spacing w:before="100" w:beforeAutospacing="1" w:after="100" w:afterAutospacing="1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  <w:b/>
          <w:bCs/>
        </w:rPr>
        <w:t>Rationale</w:t>
      </w:r>
    </w:p>
    <w:p w14:paraId="34D94C70" w14:textId="77777777" w:rsidR="009B0300" w:rsidRPr="00123FC1" w:rsidRDefault="009B0300" w:rsidP="009B030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>One authoritative SBOM registry per enterprise</w:t>
      </w:r>
    </w:p>
    <w:p w14:paraId="0F56474C" w14:textId="77777777" w:rsidR="009B0300" w:rsidRPr="00123FC1" w:rsidRDefault="009B0300" w:rsidP="009B030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>Immutable attestations tied to artifacts</w:t>
      </w:r>
    </w:p>
    <w:p w14:paraId="7BF9E395" w14:textId="77777777" w:rsidR="009B0300" w:rsidRPr="00123FC1" w:rsidRDefault="009B0300" w:rsidP="009B030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</w:rPr>
      </w:pPr>
      <w:r w:rsidRPr="00123FC1">
        <w:rPr>
          <w:rFonts w:ascii="Arial" w:eastAsia="Times New Roman" w:hAnsi="Arial" w:cs="Arial"/>
        </w:rPr>
        <w:t>Event</w:t>
      </w:r>
      <w:r w:rsidRPr="00123FC1">
        <w:rPr>
          <w:rFonts w:ascii="Arial" w:eastAsia="Times New Roman" w:hAnsi="Arial" w:cs="Arial"/>
        </w:rPr>
        <w:noBreakHyphen/>
        <w:t>driven gates triggered on new SBOMs or VEX updates</w:t>
      </w:r>
    </w:p>
    <w:p w14:paraId="752C108A" w14:textId="15E9D2E8" w:rsidR="00EA2BD6" w:rsidRPr="00123FC1" w:rsidRDefault="00EA2BD6" w:rsidP="00EA2BD6">
      <w:pPr>
        <w:spacing w:before="100" w:beforeAutospacing="1" w:after="100" w:afterAutospacing="1" w:line="300" w:lineRule="atLeast"/>
        <w:ind w:left="720"/>
        <w:rPr>
          <w:rFonts w:ascii="Arial" w:eastAsia="Times New Roman" w:hAnsi="Arial" w:cs="Arial"/>
        </w:rPr>
      </w:pPr>
      <w:r w:rsidRPr="00123FC1">
        <w:rPr>
          <w:rFonts w:ascii="Arial" w:hAnsi="Arial" w:cs="Arial"/>
          <w:noProof/>
        </w:rPr>
        <w:drawing>
          <wp:inline distT="0" distB="0" distL="0" distR="0" wp14:anchorId="464CD5D6" wp14:editId="1C070D64">
            <wp:extent cx="5486400" cy="3657600"/>
            <wp:effectExtent l="0" t="0" r="0" b="0"/>
            <wp:docPr id="1302387683" name="Picture 12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69261" name="Picture 12" descr="A diagram of a software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20978" w14:textId="77777777" w:rsidR="009B0300" w:rsidRPr="00123FC1" w:rsidRDefault="009B0300">
      <w:pPr>
        <w:pStyle w:val="Heading1"/>
        <w:rPr>
          <w:rFonts w:ascii="Arial" w:hAnsi="Arial" w:cs="Arial"/>
          <w:b w:val="0"/>
          <w:bCs w:val="0"/>
          <w:sz w:val="22"/>
          <w:szCs w:val="22"/>
        </w:rPr>
      </w:pPr>
    </w:p>
    <w:p w14:paraId="606DF711" w14:textId="77777777" w:rsidR="00922797" w:rsidRPr="00123FC1" w:rsidRDefault="00922797" w:rsidP="00922797">
      <w:pPr>
        <w:pStyle w:val="Heading2"/>
        <w:rPr>
          <w:rFonts w:ascii="Arial" w:hAnsi="Arial" w:cs="Arial"/>
          <w:sz w:val="22"/>
          <w:szCs w:val="22"/>
        </w:rPr>
      </w:pPr>
      <w:bookmarkStart w:id="23" w:name="_Toc218324660"/>
      <w:r w:rsidRPr="00123FC1">
        <w:rPr>
          <w:rFonts w:ascii="Arial" w:hAnsi="Arial" w:cs="Arial"/>
          <w:sz w:val="22"/>
          <w:szCs w:val="22"/>
        </w:rPr>
        <w:t>Evolution from Static SBOMs to Governance-Driven SBOMs</w:t>
      </w:r>
      <w:bookmarkEnd w:id="23"/>
    </w:p>
    <w:p w14:paraId="75AC27C1" w14:textId="77777777" w:rsidR="00922797" w:rsidRPr="00123FC1" w:rsidRDefault="00922797" w:rsidP="00922797">
      <w:pPr>
        <w:rPr>
          <w:rFonts w:ascii="Arial" w:hAnsi="Arial" w:cs="Arial"/>
        </w:rPr>
      </w:pPr>
      <w:r w:rsidRPr="00123FC1">
        <w:rPr>
          <w:rFonts w:ascii="Arial" w:hAnsi="Arial" w:cs="Arial"/>
        </w:rPr>
        <w:t>contrasts traditional SBOM practices focused on artifact generation with governance-driven SBOM programs that enable continuous risk assessment, automated decisioning, and regulatory evidence.</w:t>
      </w:r>
    </w:p>
    <w:p w14:paraId="687E1C7C" w14:textId="77777777" w:rsidR="00922797" w:rsidRPr="00123FC1" w:rsidRDefault="00922797" w:rsidP="00922797">
      <w:pPr>
        <w:rPr>
          <w:rFonts w:ascii="Arial" w:hAnsi="Arial" w:cs="Arial"/>
        </w:rPr>
      </w:pPr>
      <w:r w:rsidRPr="00123FC1">
        <w:rPr>
          <w:rFonts w:ascii="Arial" w:hAnsi="Arial" w:cs="Arial"/>
        </w:rPr>
        <w:t>This transformation highlights the shift from compliance-only SBOM practices to continuous, decision-driven supply-chain governance.</w:t>
      </w:r>
    </w:p>
    <w:p w14:paraId="4917A72D" w14:textId="77777777" w:rsidR="00922797" w:rsidRPr="00123FC1" w:rsidRDefault="00922797" w:rsidP="00922797">
      <w:pPr>
        <w:rPr>
          <w:rFonts w:ascii="Arial" w:hAnsi="Arial" w:cs="Arial"/>
        </w:rPr>
      </w:pPr>
      <w:r w:rsidRPr="00123FC1">
        <w:rPr>
          <w:rFonts w:ascii="Arial" w:hAnsi="Arial" w:cs="Arial"/>
          <w:b/>
          <w:bCs/>
        </w:rPr>
        <w:t>Before (Static SBOMs):</w:t>
      </w:r>
    </w:p>
    <w:p w14:paraId="2B7532EE" w14:textId="77777777" w:rsidR="00922797" w:rsidRPr="00123FC1" w:rsidRDefault="00922797" w:rsidP="00922797">
      <w:pPr>
        <w:numPr>
          <w:ilvl w:val="0"/>
          <w:numId w:val="24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Manual SBOM generation</w:t>
      </w:r>
    </w:p>
    <w:p w14:paraId="4A2F962C" w14:textId="77777777" w:rsidR="00922797" w:rsidRPr="00123FC1" w:rsidRDefault="00922797" w:rsidP="00922797">
      <w:pPr>
        <w:numPr>
          <w:ilvl w:val="0"/>
          <w:numId w:val="24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lastRenderedPageBreak/>
        <w:t>PDF or email-based delivery</w:t>
      </w:r>
    </w:p>
    <w:p w14:paraId="1EA0FB4A" w14:textId="77777777" w:rsidR="00922797" w:rsidRPr="00123FC1" w:rsidRDefault="00922797" w:rsidP="00922797">
      <w:pPr>
        <w:numPr>
          <w:ilvl w:val="0"/>
          <w:numId w:val="24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No integrity validation</w:t>
      </w:r>
    </w:p>
    <w:p w14:paraId="20D50F8A" w14:textId="77777777" w:rsidR="00922797" w:rsidRPr="00123FC1" w:rsidRDefault="00922797" w:rsidP="00922797">
      <w:pPr>
        <w:numPr>
          <w:ilvl w:val="0"/>
          <w:numId w:val="24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CVE noise without exploitability context</w:t>
      </w:r>
    </w:p>
    <w:p w14:paraId="28C1E9D1" w14:textId="77777777" w:rsidR="00922797" w:rsidRPr="00123FC1" w:rsidRDefault="00922797" w:rsidP="00922797">
      <w:pPr>
        <w:numPr>
          <w:ilvl w:val="0"/>
          <w:numId w:val="24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Reactive audit preparation</w:t>
      </w:r>
    </w:p>
    <w:p w14:paraId="3233B1BF" w14:textId="77777777" w:rsidR="00922797" w:rsidRPr="00123FC1" w:rsidRDefault="00922797" w:rsidP="00922797">
      <w:pPr>
        <w:rPr>
          <w:rFonts w:ascii="Arial" w:hAnsi="Arial" w:cs="Arial"/>
        </w:rPr>
      </w:pPr>
      <w:r w:rsidRPr="00123FC1">
        <w:rPr>
          <w:rFonts w:ascii="Arial" w:hAnsi="Arial" w:cs="Arial"/>
          <w:b/>
          <w:bCs/>
        </w:rPr>
        <w:t>After (Governance-Driven SBOMs):</w:t>
      </w:r>
    </w:p>
    <w:p w14:paraId="0436B66B" w14:textId="77777777" w:rsidR="00922797" w:rsidRPr="00123FC1" w:rsidRDefault="00922797" w:rsidP="00922797">
      <w:pPr>
        <w:numPr>
          <w:ilvl w:val="0"/>
          <w:numId w:val="25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CI/CD-integrated SBOM generation</w:t>
      </w:r>
    </w:p>
    <w:p w14:paraId="4200EC08" w14:textId="77777777" w:rsidR="00922797" w:rsidRPr="00123FC1" w:rsidRDefault="00922797" w:rsidP="00922797">
      <w:pPr>
        <w:numPr>
          <w:ilvl w:val="0"/>
          <w:numId w:val="25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Signed, machine-readable artifacts</w:t>
      </w:r>
    </w:p>
    <w:p w14:paraId="386BBB7C" w14:textId="77777777" w:rsidR="00922797" w:rsidRPr="00123FC1" w:rsidRDefault="00922797" w:rsidP="00922797">
      <w:pPr>
        <w:numPr>
          <w:ilvl w:val="0"/>
          <w:numId w:val="25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Continuous enrichment with VEX</w:t>
      </w:r>
    </w:p>
    <w:p w14:paraId="18044FF4" w14:textId="77777777" w:rsidR="00922797" w:rsidRPr="00123FC1" w:rsidRDefault="00922797" w:rsidP="00922797">
      <w:pPr>
        <w:numPr>
          <w:ilvl w:val="0"/>
          <w:numId w:val="25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Policy-as-code release gates</w:t>
      </w:r>
    </w:p>
    <w:p w14:paraId="787BF730" w14:textId="77777777" w:rsidR="00922797" w:rsidRPr="00123FC1" w:rsidRDefault="00922797" w:rsidP="00922797">
      <w:pPr>
        <w:numPr>
          <w:ilvl w:val="0"/>
          <w:numId w:val="25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Always-on audit evidence</w:t>
      </w:r>
    </w:p>
    <w:p w14:paraId="46C6EB71" w14:textId="77777777" w:rsidR="00922797" w:rsidRPr="00123FC1" w:rsidRDefault="00922797" w:rsidP="00922797">
      <w:pPr>
        <w:rPr>
          <w:rFonts w:ascii="Arial" w:hAnsi="Arial" w:cs="Arial"/>
        </w:rPr>
      </w:pPr>
      <w:r w:rsidRPr="00123FC1">
        <w:rPr>
          <w:rFonts w:ascii="Arial" w:hAnsi="Arial" w:cs="Arial"/>
          <w:noProof/>
        </w:rPr>
        <w:drawing>
          <wp:inline distT="0" distB="0" distL="0" distR="0" wp14:anchorId="58432365" wp14:editId="22B1AF43">
            <wp:extent cx="5486400" cy="3657600"/>
            <wp:effectExtent l="0" t="0" r="0" b="0"/>
            <wp:docPr id="451240712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40712" name="Picture 4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66357" w14:textId="77777777" w:rsidR="00922797" w:rsidRPr="00123FC1" w:rsidRDefault="00922797" w:rsidP="00B66BFC">
      <w:pPr>
        <w:pStyle w:val="Heading1"/>
        <w:rPr>
          <w:rFonts w:ascii="Arial" w:hAnsi="Arial" w:cs="Arial"/>
          <w:sz w:val="22"/>
          <w:szCs w:val="22"/>
        </w:rPr>
      </w:pPr>
    </w:p>
    <w:p w14:paraId="3ADB7E2B" w14:textId="0F4531DB" w:rsidR="00B66BFC" w:rsidRPr="00123FC1" w:rsidRDefault="00B66BFC" w:rsidP="00922797">
      <w:pPr>
        <w:pStyle w:val="Heading2"/>
        <w:rPr>
          <w:rFonts w:ascii="Arial" w:hAnsi="Arial" w:cs="Arial"/>
          <w:sz w:val="22"/>
          <w:szCs w:val="22"/>
        </w:rPr>
      </w:pPr>
      <w:bookmarkStart w:id="24" w:name="_Toc218324661"/>
      <w:r w:rsidRPr="00123FC1">
        <w:rPr>
          <w:rFonts w:ascii="Arial" w:hAnsi="Arial" w:cs="Arial"/>
          <w:sz w:val="22"/>
          <w:szCs w:val="22"/>
        </w:rPr>
        <w:t>Differentiating AI/ML SBOMs: Supply</w:t>
      </w:r>
      <w:r w:rsidRPr="00123FC1">
        <w:rPr>
          <w:rFonts w:ascii="Arial" w:hAnsi="Arial" w:cs="Arial"/>
          <w:sz w:val="22"/>
          <w:szCs w:val="22"/>
        </w:rPr>
        <w:noBreakHyphen/>
        <w:t>Chain Governance for Model</w:t>
      </w:r>
      <w:r w:rsidRPr="00123FC1">
        <w:rPr>
          <w:rFonts w:ascii="Arial" w:hAnsi="Arial" w:cs="Arial"/>
          <w:sz w:val="22"/>
          <w:szCs w:val="22"/>
        </w:rPr>
        <w:noBreakHyphen/>
        <w:t>Driven Systems</w:t>
      </w:r>
      <w:bookmarkEnd w:id="24"/>
    </w:p>
    <w:p w14:paraId="5BF18F10" w14:textId="2E7642AA" w:rsidR="00B66BFC" w:rsidRPr="00123FC1" w:rsidRDefault="00B66BFC" w:rsidP="00B66BFC">
      <w:pPr>
        <w:rPr>
          <w:rFonts w:ascii="Arial" w:hAnsi="Arial" w:cs="Arial"/>
        </w:rPr>
      </w:pPr>
      <w:r w:rsidRPr="00123FC1">
        <w:rPr>
          <w:rFonts w:ascii="Arial" w:hAnsi="Arial" w:cs="Arial"/>
        </w:rPr>
        <w:t xml:space="preserve">Traditional SBOMs were designed for deterministic software binaries, where components, versions, and dependencies follow predictable build pipelines. AI/ML </w:t>
      </w:r>
      <w:r w:rsidRPr="00123FC1">
        <w:rPr>
          <w:rFonts w:ascii="Arial" w:hAnsi="Arial" w:cs="Arial"/>
        </w:rPr>
        <w:lastRenderedPageBreak/>
        <w:t>systems break this pattern. Their supply chains span not only code but also data, models, training pipelines, and hardware</w:t>
      </w:r>
      <w:r w:rsidR="00605C34" w:rsidRPr="00123FC1">
        <w:rPr>
          <w:rFonts w:ascii="Arial" w:hAnsi="Arial" w:cs="Arial"/>
        </w:rPr>
        <w:t xml:space="preserve"> </w:t>
      </w:r>
      <w:r w:rsidRPr="00123FC1">
        <w:rPr>
          <w:rFonts w:ascii="Arial" w:hAnsi="Arial" w:cs="Arial"/>
        </w:rPr>
        <w:t>specific optimizations</w:t>
      </w:r>
      <w:r w:rsidR="00605C34" w:rsidRPr="00123FC1">
        <w:rPr>
          <w:rFonts w:ascii="Arial" w:hAnsi="Arial" w:cs="Arial"/>
        </w:rPr>
        <w:t xml:space="preserve"> </w:t>
      </w:r>
      <w:r w:rsidRPr="00123FC1">
        <w:rPr>
          <w:rFonts w:ascii="Arial" w:hAnsi="Arial" w:cs="Arial"/>
        </w:rPr>
        <w:t>each introducing new provenance, integrity, and licensing risks. As AI becomes deeply integrated into safety</w:t>
      </w:r>
      <w:r w:rsidRPr="00123FC1">
        <w:rPr>
          <w:rFonts w:ascii="Cambria Math" w:hAnsi="Cambria Math" w:cs="Cambria Math"/>
        </w:rPr>
        <w:t>‑</w:t>
      </w:r>
      <w:r w:rsidRPr="00123FC1">
        <w:rPr>
          <w:rFonts w:ascii="Arial" w:hAnsi="Arial" w:cs="Arial"/>
        </w:rPr>
        <w:t>critical systems (e.g., automotive ADAS stacks) and high</w:t>
      </w:r>
      <w:r w:rsidRPr="00123FC1">
        <w:rPr>
          <w:rFonts w:ascii="Cambria Math" w:hAnsi="Cambria Math" w:cs="Cambria Math"/>
        </w:rPr>
        <w:t>‑</w:t>
      </w:r>
      <w:r w:rsidRPr="00123FC1">
        <w:rPr>
          <w:rFonts w:ascii="Arial" w:hAnsi="Arial" w:cs="Arial"/>
        </w:rPr>
        <w:t>assurance enterprise platforms, organizations require SBOM governance models tailored to the unique characteristics of machine</w:t>
      </w:r>
      <w:r w:rsidRPr="00123FC1">
        <w:rPr>
          <w:rFonts w:ascii="Cambria Math" w:hAnsi="Cambria Math" w:cs="Cambria Math"/>
        </w:rPr>
        <w:t>‑</w:t>
      </w:r>
      <w:r w:rsidRPr="00123FC1">
        <w:rPr>
          <w:rFonts w:ascii="Arial" w:hAnsi="Arial" w:cs="Arial"/>
        </w:rPr>
        <w:t>learning software ecosystems.</w:t>
      </w:r>
    </w:p>
    <w:p w14:paraId="2E2CE1AD" w14:textId="77777777" w:rsidR="00922797" w:rsidRPr="00123FC1" w:rsidRDefault="00922797" w:rsidP="00922797">
      <w:pPr>
        <w:pStyle w:val="Heading2"/>
        <w:rPr>
          <w:rFonts w:ascii="Arial" w:hAnsi="Arial" w:cs="Arial"/>
          <w:sz w:val="22"/>
          <w:szCs w:val="22"/>
        </w:rPr>
      </w:pPr>
      <w:bookmarkStart w:id="25" w:name="_Toc218324662"/>
      <w:r w:rsidRPr="00123FC1">
        <w:rPr>
          <w:rFonts w:ascii="Arial" w:hAnsi="Arial" w:cs="Arial"/>
          <w:sz w:val="22"/>
          <w:szCs w:val="22"/>
        </w:rPr>
        <w:t>Handling Third</w:t>
      </w:r>
      <w:r w:rsidRPr="00123FC1">
        <w:rPr>
          <w:rFonts w:ascii="Cambria Math" w:hAnsi="Cambria Math" w:cs="Cambria Math"/>
          <w:sz w:val="22"/>
          <w:szCs w:val="22"/>
        </w:rPr>
        <w:t>‑</w:t>
      </w:r>
      <w:r w:rsidRPr="00123FC1">
        <w:rPr>
          <w:rFonts w:ascii="Arial" w:hAnsi="Arial" w:cs="Arial"/>
          <w:sz w:val="22"/>
          <w:szCs w:val="22"/>
        </w:rPr>
        <w:t>Party SBOMs</w:t>
      </w:r>
      <w:bookmarkEnd w:id="25"/>
    </w:p>
    <w:p w14:paraId="0ADA6AAA" w14:textId="77777777" w:rsidR="00922797" w:rsidRPr="00123FC1" w:rsidRDefault="00922797" w:rsidP="00922797">
      <w:pPr>
        <w:rPr>
          <w:rFonts w:ascii="Arial" w:hAnsi="Arial" w:cs="Arial"/>
        </w:rPr>
      </w:pPr>
      <w:r w:rsidRPr="00123FC1">
        <w:rPr>
          <w:rFonts w:ascii="Arial" w:hAnsi="Arial" w:cs="Arial"/>
        </w:rPr>
        <w:t>Expect format/version drift (SPDX 2.x/3.x; CycloneDX 1.4–1.7). Require declarations of known</w:t>
      </w:r>
      <w:r w:rsidRPr="00123FC1">
        <w:rPr>
          <w:rFonts w:ascii="Cambria Math" w:hAnsi="Cambria Math" w:cs="Cambria Math"/>
        </w:rPr>
        <w:t>‑</w:t>
      </w:r>
      <w:r w:rsidRPr="00123FC1">
        <w:rPr>
          <w:rFonts w:ascii="Arial" w:hAnsi="Arial" w:cs="Arial"/>
        </w:rPr>
        <w:t>unknowns and signed, authenticated delivery. Centralize intake through APIs; validate schemas; normalize identifiers (purl/CPE/SWID).</w:t>
      </w:r>
    </w:p>
    <w:p w14:paraId="51A47BC4" w14:textId="77777777" w:rsidR="00922797" w:rsidRPr="00123FC1" w:rsidRDefault="00922797" w:rsidP="000254CD">
      <w:pPr>
        <w:pStyle w:val="Heading1"/>
        <w:rPr>
          <w:rFonts w:ascii="Arial" w:hAnsi="Arial" w:cs="Arial"/>
          <w:sz w:val="22"/>
          <w:szCs w:val="22"/>
        </w:rPr>
      </w:pPr>
    </w:p>
    <w:p w14:paraId="7598FBE5" w14:textId="77777777" w:rsidR="00922797" w:rsidRPr="00123FC1" w:rsidRDefault="00922797" w:rsidP="00922797">
      <w:pPr>
        <w:pStyle w:val="Heading2"/>
        <w:rPr>
          <w:rFonts w:ascii="Arial" w:hAnsi="Arial" w:cs="Arial"/>
          <w:sz w:val="22"/>
          <w:szCs w:val="22"/>
        </w:rPr>
      </w:pPr>
      <w:bookmarkStart w:id="26" w:name="_Toc218324663"/>
      <w:r w:rsidRPr="00123FC1">
        <w:rPr>
          <w:rFonts w:ascii="Arial" w:hAnsi="Arial" w:cs="Arial"/>
          <w:sz w:val="22"/>
          <w:szCs w:val="22"/>
        </w:rPr>
        <w:t>Minimum Required SBOM Fields</w:t>
      </w:r>
      <w:bookmarkEnd w:id="26"/>
    </w:p>
    <w:p w14:paraId="09046DBE" w14:textId="77777777" w:rsidR="00922797" w:rsidRPr="00123FC1" w:rsidRDefault="00922797" w:rsidP="00922797">
      <w:pPr>
        <w:rPr>
          <w:rFonts w:ascii="Arial" w:hAnsi="Arial" w:cs="Arial"/>
        </w:rPr>
      </w:pPr>
    </w:p>
    <w:p w14:paraId="09F2B4B8" w14:textId="77777777" w:rsidR="00922797" w:rsidRPr="00123FC1" w:rsidRDefault="00922797" w:rsidP="00922797">
      <w:pPr>
        <w:rPr>
          <w:rFonts w:ascii="Arial" w:hAnsi="Arial" w:cs="Arial"/>
        </w:rPr>
      </w:pPr>
      <w:r w:rsidRPr="00123FC1">
        <w:rPr>
          <w:rFonts w:ascii="Arial" w:hAnsi="Arial" w:cs="Arial"/>
        </w:rPr>
        <w:t>To support traceability, triage, and regulatory</w:t>
      </w:r>
      <w:r w:rsidRPr="00123FC1">
        <w:rPr>
          <w:rFonts w:ascii="Arial" w:hAnsi="Arial" w:cs="Arial"/>
        </w:rPr>
        <w:noBreakHyphen/>
        <w:t>grade evidence, all SBOMs—whether internally generated or supplied by third parties—must include a minimal, machine</w:t>
      </w:r>
      <w:r w:rsidRPr="00123FC1">
        <w:rPr>
          <w:rFonts w:ascii="Arial" w:hAnsi="Arial" w:cs="Arial"/>
        </w:rPr>
        <w:noBreakHyphen/>
        <w:t>readable set of fields. These required fields ensure consistent ingestion, normalization, enrichment, and policy evaluation across the enterprise SBOM pipeline.</w:t>
      </w:r>
    </w:p>
    <w:p w14:paraId="3F0BAE24" w14:textId="77777777" w:rsidR="00922797" w:rsidRPr="00123FC1" w:rsidRDefault="00922797" w:rsidP="00922797">
      <w:pPr>
        <w:rPr>
          <w:rFonts w:ascii="Arial" w:hAnsi="Arial" w:cs="Arial"/>
          <w:b/>
          <w:bCs/>
        </w:rPr>
      </w:pPr>
      <w:r w:rsidRPr="00123FC1">
        <w:rPr>
          <w:rFonts w:ascii="Arial" w:hAnsi="Arial" w:cs="Arial"/>
          <w:b/>
          <w:bCs/>
        </w:rPr>
        <w:t>Required Fields</w:t>
      </w:r>
    </w:p>
    <w:p w14:paraId="3E2476DE" w14:textId="77777777" w:rsidR="00922797" w:rsidRPr="00123FC1" w:rsidRDefault="00922797" w:rsidP="00922797">
      <w:pPr>
        <w:numPr>
          <w:ilvl w:val="0"/>
          <w:numId w:val="27"/>
        </w:numPr>
        <w:rPr>
          <w:rFonts w:ascii="Arial" w:hAnsi="Arial" w:cs="Arial"/>
        </w:rPr>
      </w:pPr>
      <w:r w:rsidRPr="00123FC1">
        <w:rPr>
          <w:rFonts w:ascii="Arial" w:hAnsi="Arial" w:cs="Arial"/>
          <w:b/>
          <w:bCs/>
        </w:rPr>
        <w:t>Package Name</w:t>
      </w:r>
      <w:r w:rsidRPr="00123FC1">
        <w:rPr>
          <w:rFonts w:ascii="Arial" w:hAnsi="Arial" w:cs="Arial"/>
        </w:rPr>
        <w:t xml:space="preserve"> – Canonical component identifier</w:t>
      </w:r>
    </w:p>
    <w:p w14:paraId="17F0E9AF" w14:textId="77777777" w:rsidR="00922797" w:rsidRPr="00123FC1" w:rsidRDefault="00922797" w:rsidP="00922797">
      <w:pPr>
        <w:numPr>
          <w:ilvl w:val="0"/>
          <w:numId w:val="27"/>
        </w:numPr>
        <w:rPr>
          <w:rFonts w:ascii="Arial" w:hAnsi="Arial" w:cs="Arial"/>
        </w:rPr>
      </w:pPr>
      <w:r w:rsidRPr="00123FC1">
        <w:rPr>
          <w:rFonts w:ascii="Arial" w:hAnsi="Arial" w:cs="Arial"/>
          <w:b/>
          <w:bCs/>
        </w:rPr>
        <w:t>Version</w:t>
      </w:r>
      <w:r w:rsidRPr="00123FC1">
        <w:rPr>
          <w:rFonts w:ascii="Arial" w:hAnsi="Arial" w:cs="Arial"/>
        </w:rPr>
        <w:t xml:space="preserve"> – Exact version or commit hash</w:t>
      </w:r>
    </w:p>
    <w:p w14:paraId="1041998C" w14:textId="77777777" w:rsidR="00922797" w:rsidRPr="00123FC1" w:rsidRDefault="00922797" w:rsidP="00922797">
      <w:pPr>
        <w:numPr>
          <w:ilvl w:val="0"/>
          <w:numId w:val="27"/>
        </w:numPr>
        <w:rPr>
          <w:rFonts w:ascii="Arial" w:hAnsi="Arial" w:cs="Arial"/>
        </w:rPr>
      </w:pPr>
      <w:r w:rsidRPr="00123FC1">
        <w:rPr>
          <w:rFonts w:ascii="Arial" w:hAnsi="Arial" w:cs="Arial"/>
          <w:b/>
          <w:bCs/>
        </w:rPr>
        <w:t>Recipe Name</w:t>
      </w:r>
      <w:r w:rsidRPr="00123FC1">
        <w:rPr>
          <w:rFonts w:ascii="Arial" w:hAnsi="Arial" w:cs="Arial"/>
        </w:rPr>
        <w:t xml:space="preserve"> – Build recipe, manifest reference, or internal component key</w:t>
      </w:r>
    </w:p>
    <w:p w14:paraId="3FAC4176" w14:textId="77777777" w:rsidR="00922797" w:rsidRPr="00123FC1" w:rsidRDefault="00922797" w:rsidP="00922797">
      <w:pPr>
        <w:numPr>
          <w:ilvl w:val="0"/>
          <w:numId w:val="27"/>
        </w:numPr>
        <w:rPr>
          <w:rFonts w:ascii="Arial" w:hAnsi="Arial" w:cs="Arial"/>
        </w:rPr>
      </w:pPr>
      <w:r w:rsidRPr="00123FC1">
        <w:rPr>
          <w:rFonts w:ascii="Arial" w:hAnsi="Arial" w:cs="Arial"/>
          <w:b/>
          <w:bCs/>
        </w:rPr>
        <w:t>License</w:t>
      </w:r>
      <w:r w:rsidRPr="00123FC1">
        <w:rPr>
          <w:rFonts w:ascii="Arial" w:hAnsi="Arial" w:cs="Arial"/>
        </w:rPr>
        <w:t xml:space="preserve"> – SPDX license identifier (e.g., MIT, Apache</w:t>
      </w:r>
      <w:r w:rsidRPr="00123FC1">
        <w:rPr>
          <w:rFonts w:ascii="Arial" w:hAnsi="Arial" w:cs="Arial"/>
        </w:rPr>
        <w:noBreakHyphen/>
        <w:t>2.0)</w:t>
      </w:r>
    </w:p>
    <w:p w14:paraId="4E582F26" w14:textId="2D9453AC" w:rsidR="00922797" w:rsidRPr="00123FC1" w:rsidRDefault="00922797" w:rsidP="00922797">
      <w:pPr>
        <w:numPr>
          <w:ilvl w:val="0"/>
          <w:numId w:val="27"/>
        </w:numPr>
        <w:rPr>
          <w:rFonts w:ascii="Arial" w:hAnsi="Arial" w:cs="Arial"/>
        </w:rPr>
      </w:pPr>
      <w:r w:rsidRPr="00123FC1">
        <w:rPr>
          <w:rFonts w:ascii="Arial" w:hAnsi="Arial" w:cs="Arial"/>
          <w:b/>
          <w:bCs/>
        </w:rPr>
        <w:t>Component Type</w:t>
      </w:r>
      <w:r w:rsidRPr="00123FC1">
        <w:rPr>
          <w:rFonts w:ascii="Arial" w:hAnsi="Arial" w:cs="Arial"/>
        </w:rPr>
        <w:t xml:space="preserve"> – Library, binary, container, model, etc.</w:t>
      </w:r>
      <w:r w:rsidRPr="00123FC1">
        <w:rPr>
          <w:rFonts w:ascii="Arial" w:hAnsi="Arial" w:cs="Arial"/>
          <w:i/>
          <w:iCs/>
        </w:rPr>
        <w:t xml:space="preserve"> (Optional but recommended)</w:t>
      </w:r>
    </w:p>
    <w:p w14:paraId="28159222" w14:textId="77777777" w:rsidR="00922797" w:rsidRPr="00123FC1" w:rsidRDefault="00922797" w:rsidP="00922797">
      <w:pPr>
        <w:rPr>
          <w:rFonts w:ascii="Arial" w:hAnsi="Arial" w:cs="Arial"/>
          <w:b/>
          <w:bCs/>
        </w:rPr>
      </w:pPr>
      <w:r w:rsidRPr="00123FC1">
        <w:rPr>
          <w:rFonts w:ascii="Arial" w:hAnsi="Arial" w:cs="Arial"/>
          <w:b/>
          <w:bCs/>
        </w:rPr>
        <w:t>Recommended Field</w:t>
      </w:r>
    </w:p>
    <w:p w14:paraId="5E93E736" w14:textId="77777777" w:rsidR="00922797" w:rsidRPr="00123FC1" w:rsidRDefault="00922797" w:rsidP="00922797">
      <w:pPr>
        <w:numPr>
          <w:ilvl w:val="0"/>
          <w:numId w:val="28"/>
        </w:numPr>
        <w:rPr>
          <w:rFonts w:ascii="Arial" w:hAnsi="Arial" w:cs="Arial"/>
        </w:rPr>
      </w:pPr>
      <w:r w:rsidRPr="00123FC1">
        <w:rPr>
          <w:rFonts w:ascii="Arial" w:hAnsi="Arial" w:cs="Arial"/>
          <w:b/>
          <w:bCs/>
        </w:rPr>
        <w:t>Unique Key</w:t>
      </w:r>
      <w:r w:rsidRPr="00123FC1">
        <w:rPr>
          <w:rFonts w:ascii="Arial" w:hAnsi="Arial" w:cs="Arial"/>
        </w:rPr>
        <w:t xml:space="preserve"> – Deterministic artifact identifier (e.g., SHA</w:t>
      </w:r>
      <w:r w:rsidRPr="00123FC1">
        <w:rPr>
          <w:rFonts w:ascii="Arial" w:hAnsi="Arial" w:cs="Arial"/>
        </w:rPr>
        <w:noBreakHyphen/>
        <w:t>256 digest, purl</w:t>
      </w:r>
      <w:r w:rsidRPr="00123FC1">
        <w:rPr>
          <w:rFonts w:ascii="Arial" w:hAnsi="Arial" w:cs="Arial"/>
        </w:rPr>
        <w:noBreakHyphen/>
        <w:t>derived hash, UUID) that supports traceability across releases and artifact binding.</w:t>
      </w:r>
      <w:r w:rsidRPr="00123FC1">
        <w:rPr>
          <w:rFonts w:ascii="Arial" w:hAnsi="Arial" w:cs="Arial"/>
        </w:rPr>
        <w:br/>
      </w:r>
      <w:r w:rsidRPr="00123FC1">
        <w:rPr>
          <w:rFonts w:ascii="Arial" w:hAnsi="Arial" w:cs="Arial"/>
          <w:i/>
          <w:iCs/>
        </w:rPr>
        <w:t>Included as a recommendation to maintain supplier compatibility.</w:t>
      </w:r>
    </w:p>
    <w:p w14:paraId="6B19D9AE" w14:textId="77777777" w:rsidR="00922797" w:rsidRPr="00123FC1" w:rsidRDefault="00922797" w:rsidP="00922797">
      <w:pPr>
        <w:rPr>
          <w:rFonts w:ascii="Arial" w:hAnsi="Arial" w:cs="Arial"/>
          <w:b/>
          <w:bCs/>
        </w:rPr>
      </w:pPr>
      <w:r w:rsidRPr="00123FC1">
        <w:rPr>
          <w:rFonts w:ascii="Arial" w:hAnsi="Arial" w:cs="Arial"/>
          <w:b/>
          <w:bCs/>
        </w:rPr>
        <w:t>Confidentiality &amp; Distribution Controls (Delivery Requirements, Not SBOM Fields)</w:t>
      </w:r>
    </w:p>
    <w:p w14:paraId="59C0EAF6" w14:textId="77777777" w:rsidR="00922797" w:rsidRPr="00123FC1" w:rsidRDefault="00922797" w:rsidP="00922797">
      <w:pPr>
        <w:rPr>
          <w:rFonts w:ascii="Arial" w:hAnsi="Arial" w:cs="Arial"/>
        </w:rPr>
      </w:pPr>
      <w:r w:rsidRPr="00123FC1">
        <w:rPr>
          <w:rFonts w:ascii="Arial" w:hAnsi="Arial" w:cs="Arial"/>
        </w:rPr>
        <w:t xml:space="preserve">These controls apply to SBOM </w:t>
      </w:r>
      <w:r w:rsidRPr="00123FC1">
        <w:rPr>
          <w:rFonts w:ascii="Arial" w:hAnsi="Arial" w:cs="Arial"/>
          <w:b/>
          <w:bCs/>
        </w:rPr>
        <w:t>exports</w:t>
      </w:r>
      <w:r w:rsidRPr="00123FC1">
        <w:rPr>
          <w:rFonts w:ascii="Arial" w:hAnsi="Arial" w:cs="Arial"/>
        </w:rPr>
        <w:t>, not the underlying SBOM schema:</w:t>
      </w:r>
    </w:p>
    <w:p w14:paraId="5902B7DB" w14:textId="77777777" w:rsidR="00922797" w:rsidRPr="00123FC1" w:rsidRDefault="00922797" w:rsidP="00922797">
      <w:pPr>
        <w:numPr>
          <w:ilvl w:val="0"/>
          <w:numId w:val="29"/>
        </w:numPr>
        <w:rPr>
          <w:rFonts w:ascii="Arial" w:hAnsi="Arial" w:cs="Arial"/>
        </w:rPr>
      </w:pPr>
      <w:r w:rsidRPr="00123FC1">
        <w:rPr>
          <w:rFonts w:ascii="Arial" w:hAnsi="Arial" w:cs="Arial"/>
          <w:b/>
          <w:bCs/>
        </w:rPr>
        <w:t>Data Classification</w:t>
      </w:r>
      <w:r w:rsidRPr="00123FC1">
        <w:rPr>
          <w:rFonts w:ascii="Arial" w:hAnsi="Arial" w:cs="Arial"/>
        </w:rPr>
        <w:t xml:space="preserve"> – Applied in headers, footers, or watermarks</w:t>
      </w:r>
    </w:p>
    <w:p w14:paraId="58543A41" w14:textId="77777777" w:rsidR="00922797" w:rsidRPr="00123FC1" w:rsidRDefault="00922797" w:rsidP="00922797">
      <w:pPr>
        <w:numPr>
          <w:ilvl w:val="0"/>
          <w:numId w:val="29"/>
        </w:numPr>
        <w:rPr>
          <w:rFonts w:ascii="Arial" w:hAnsi="Arial" w:cs="Arial"/>
        </w:rPr>
      </w:pPr>
      <w:r w:rsidRPr="00123FC1">
        <w:rPr>
          <w:rFonts w:ascii="Arial" w:hAnsi="Arial" w:cs="Arial"/>
          <w:b/>
          <w:bCs/>
        </w:rPr>
        <w:t>Footer Information</w:t>
      </w:r>
      <w:r w:rsidRPr="00123FC1">
        <w:rPr>
          <w:rFonts w:ascii="Arial" w:hAnsi="Arial" w:cs="Arial"/>
        </w:rPr>
        <w:t xml:space="preserve"> – e.g., </w:t>
      </w:r>
      <w:r w:rsidRPr="00123FC1">
        <w:rPr>
          <w:rFonts w:ascii="Arial" w:hAnsi="Arial" w:cs="Arial"/>
          <w:i/>
          <w:iCs/>
        </w:rPr>
        <w:t>“Prepared and provided under NDA.”</w:t>
      </w:r>
    </w:p>
    <w:p w14:paraId="324BA675" w14:textId="77777777" w:rsidR="00922797" w:rsidRPr="00123FC1" w:rsidRDefault="00922797" w:rsidP="00922797">
      <w:pPr>
        <w:rPr>
          <w:rFonts w:ascii="Arial" w:hAnsi="Arial" w:cs="Arial"/>
          <w:b/>
          <w:bCs/>
        </w:rPr>
      </w:pPr>
      <w:r w:rsidRPr="00123FC1">
        <w:rPr>
          <w:rFonts w:ascii="Arial" w:hAnsi="Arial" w:cs="Arial"/>
          <w:b/>
          <w:bCs/>
        </w:rPr>
        <w:lastRenderedPageBreak/>
        <w:t>Optional Extension Fields (Customer or Regulatory Requirements)</w:t>
      </w:r>
    </w:p>
    <w:p w14:paraId="1B3D9DFD" w14:textId="77777777" w:rsidR="00922797" w:rsidRPr="00123FC1" w:rsidRDefault="00922797" w:rsidP="00922797">
      <w:pPr>
        <w:rPr>
          <w:rFonts w:ascii="Arial" w:hAnsi="Arial" w:cs="Arial"/>
        </w:rPr>
      </w:pPr>
      <w:r w:rsidRPr="00123FC1">
        <w:rPr>
          <w:rFonts w:ascii="Arial" w:hAnsi="Arial" w:cs="Arial"/>
        </w:rPr>
        <w:t>Additional metadata may be included when explicitly required for certification, customer delivery, or contractual obligations.</w:t>
      </w:r>
      <w:r w:rsidRPr="00123FC1">
        <w:rPr>
          <w:rFonts w:ascii="Arial" w:hAnsi="Arial" w:cs="Arial"/>
        </w:rPr>
        <w:br/>
        <w:t>These fields are intentionally minimal to preserve supplier compatibility and ensure schema validation under SPDX and CycloneDX.</w:t>
      </w:r>
    </w:p>
    <w:p w14:paraId="25E2B154" w14:textId="77777777" w:rsidR="00922797" w:rsidRPr="00123FC1" w:rsidRDefault="00922797" w:rsidP="00922797">
      <w:pPr>
        <w:rPr>
          <w:rFonts w:ascii="Arial" w:hAnsi="Arial" w:cs="Arial"/>
          <w:color w:val="FF0000"/>
        </w:rPr>
      </w:pPr>
    </w:p>
    <w:p w14:paraId="32C2C8AA" w14:textId="77777777" w:rsidR="00922797" w:rsidRPr="00123FC1" w:rsidRDefault="00922797" w:rsidP="000254CD">
      <w:pPr>
        <w:pStyle w:val="Heading1"/>
        <w:rPr>
          <w:rFonts w:ascii="Arial" w:hAnsi="Arial" w:cs="Arial"/>
          <w:sz w:val="22"/>
          <w:szCs w:val="22"/>
        </w:rPr>
      </w:pPr>
    </w:p>
    <w:p w14:paraId="440E1791" w14:textId="77777777" w:rsidR="00922797" w:rsidRPr="00123FC1" w:rsidRDefault="00922797" w:rsidP="00922797">
      <w:pPr>
        <w:pStyle w:val="Heading1"/>
        <w:rPr>
          <w:rFonts w:ascii="Arial" w:hAnsi="Arial" w:cs="Arial"/>
          <w:sz w:val="22"/>
          <w:szCs w:val="22"/>
        </w:rPr>
      </w:pPr>
      <w:bookmarkStart w:id="27" w:name="_Toc218324664"/>
      <w:r w:rsidRPr="00123FC1">
        <w:rPr>
          <w:rFonts w:ascii="Arial" w:hAnsi="Arial" w:cs="Arial"/>
          <w:sz w:val="22"/>
          <w:szCs w:val="22"/>
        </w:rPr>
        <w:t>Operating Model &amp; Transformation</w:t>
      </w:r>
      <w:bookmarkEnd w:id="27"/>
    </w:p>
    <w:p w14:paraId="5B601D27" w14:textId="77777777" w:rsidR="00642C64" w:rsidRPr="00123FC1" w:rsidRDefault="00642C64" w:rsidP="00642C64">
      <w:pPr>
        <w:rPr>
          <w:rFonts w:ascii="Arial" w:hAnsi="Arial" w:cs="Arial"/>
        </w:rPr>
      </w:pPr>
    </w:p>
    <w:p w14:paraId="37BBF794" w14:textId="77777777" w:rsidR="00CC325F" w:rsidRPr="00123FC1" w:rsidRDefault="00CC325F" w:rsidP="00CC325F">
      <w:pPr>
        <w:pStyle w:val="Heading2"/>
        <w:rPr>
          <w:rFonts w:ascii="Arial" w:hAnsi="Arial" w:cs="Arial"/>
          <w:sz w:val="22"/>
          <w:szCs w:val="22"/>
        </w:rPr>
      </w:pPr>
      <w:bookmarkStart w:id="28" w:name="_Toc218324665"/>
      <w:r w:rsidRPr="00123FC1">
        <w:rPr>
          <w:rFonts w:ascii="Arial" w:hAnsi="Arial" w:cs="Arial"/>
          <w:sz w:val="22"/>
          <w:szCs w:val="22"/>
        </w:rPr>
        <w:t>Implementation Roles &amp; Responsibilities (RACI)</w:t>
      </w:r>
      <w:bookmarkEnd w:id="28"/>
    </w:p>
    <w:tbl>
      <w:tblPr>
        <w:tblW w:w="0" w:type="auto"/>
        <w:tblLook w:val="04A0" w:firstRow="1" w:lastRow="0" w:firstColumn="1" w:lastColumn="0" w:noHBand="0" w:noVBand="1"/>
      </w:tblPr>
      <w:tblGrid>
        <w:gridCol w:w="1716"/>
        <w:gridCol w:w="1716"/>
        <w:gridCol w:w="1727"/>
        <w:gridCol w:w="1978"/>
        <w:gridCol w:w="1719"/>
      </w:tblGrid>
      <w:tr w:rsidR="00CC325F" w:rsidRPr="00123FC1" w14:paraId="1CE72280" w14:textId="77777777" w:rsidTr="00105EC1">
        <w:tc>
          <w:tcPr>
            <w:tcW w:w="1728" w:type="dxa"/>
          </w:tcPr>
          <w:p w14:paraId="4115BA83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Activity</w:t>
            </w:r>
          </w:p>
        </w:tc>
        <w:tc>
          <w:tcPr>
            <w:tcW w:w="1728" w:type="dxa"/>
          </w:tcPr>
          <w:p w14:paraId="79A113F2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Engineering</w:t>
            </w:r>
          </w:p>
        </w:tc>
        <w:tc>
          <w:tcPr>
            <w:tcW w:w="1728" w:type="dxa"/>
          </w:tcPr>
          <w:p w14:paraId="33871B62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Product Security/OSPO</w:t>
            </w:r>
          </w:p>
        </w:tc>
        <w:tc>
          <w:tcPr>
            <w:tcW w:w="1728" w:type="dxa"/>
          </w:tcPr>
          <w:p w14:paraId="61324ACD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Legal/Compliance</w:t>
            </w:r>
          </w:p>
        </w:tc>
        <w:tc>
          <w:tcPr>
            <w:tcW w:w="1728" w:type="dxa"/>
          </w:tcPr>
          <w:p w14:paraId="616C9042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Procurement</w:t>
            </w:r>
          </w:p>
        </w:tc>
      </w:tr>
      <w:tr w:rsidR="00CC325F" w:rsidRPr="00123FC1" w14:paraId="25915C4A" w14:textId="77777777" w:rsidTr="00105EC1">
        <w:tc>
          <w:tcPr>
            <w:tcW w:w="1728" w:type="dxa"/>
          </w:tcPr>
          <w:p w14:paraId="6A2338E7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SBOM generation in CI/CD</w:t>
            </w:r>
          </w:p>
        </w:tc>
        <w:tc>
          <w:tcPr>
            <w:tcW w:w="1728" w:type="dxa"/>
          </w:tcPr>
          <w:p w14:paraId="644ADCCB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R</w:t>
            </w:r>
          </w:p>
        </w:tc>
        <w:tc>
          <w:tcPr>
            <w:tcW w:w="1728" w:type="dxa"/>
          </w:tcPr>
          <w:p w14:paraId="270540A6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A/C</w:t>
            </w:r>
          </w:p>
        </w:tc>
        <w:tc>
          <w:tcPr>
            <w:tcW w:w="1728" w:type="dxa"/>
          </w:tcPr>
          <w:p w14:paraId="0F8DDF2C" w14:textId="77777777" w:rsidR="00CC325F" w:rsidRPr="00123FC1" w:rsidRDefault="00CC325F" w:rsidP="00105EC1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</w:tcPr>
          <w:p w14:paraId="50B75DAB" w14:textId="77777777" w:rsidR="00CC325F" w:rsidRPr="00123FC1" w:rsidRDefault="00CC325F" w:rsidP="00105EC1">
            <w:pPr>
              <w:rPr>
                <w:rFonts w:ascii="Arial" w:hAnsi="Arial" w:cs="Arial"/>
              </w:rPr>
            </w:pPr>
          </w:p>
        </w:tc>
      </w:tr>
      <w:tr w:rsidR="00CC325F" w:rsidRPr="00123FC1" w14:paraId="0D2AFA43" w14:textId="77777777" w:rsidTr="00105EC1">
        <w:tc>
          <w:tcPr>
            <w:tcW w:w="1728" w:type="dxa"/>
          </w:tcPr>
          <w:p w14:paraId="548E3D53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Schema validation &amp; signing</w:t>
            </w:r>
          </w:p>
        </w:tc>
        <w:tc>
          <w:tcPr>
            <w:tcW w:w="1728" w:type="dxa"/>
          </w:tcPr>
          <w:p w14:paraId="6FD38D10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R</w:t>
            </w:r>
          </w:p>
        </w:tc>
        <w:tc>
          <w:tcPr>
            <w:tcW w:w="1728" w:type="dxa"/>
          </w:tcPr>
          <w:p w14:paraId="21D79EF1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A</w:t>
            </w:r>
          </w:p>
        </w:tc>
        <w:tc>
          <w:tcPr>
            <w:tcW w:w="1728" w:type="dxa"/>
          </w:tcPr>
          <w:p w14:paraId="67F94E67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C</w:t>
            </w:r>
          </w:p>
        </w:tc>
        <w:tc>
          <w:tcPr>
            <w:tcW w:w="1728" w:type="dxa"/>
          </w:tcPr>
          <w:p w14:paraId="6241B0DD" w14:textId="77777777" w:rsidR="00CC325F" w:rsidRPr="00123FC1" w:rsidRDefault="00CC325F" w:rsidP="00105EC1">
            <w:pPr>
              <w:rPr>
                <w:rFonts w:ascii="Arial" w:hAnsi="Arial" w:cs="Arial"/>
              </w:rPr>
            </w:pPr>
          </w:p>
        </w:tc>
      </w:tr>
      <w:tr w:rsidR="00CC325F" w:rsidRPr="00123FC1" w14:paraId="43DB58C0" w14:textId="77777777" w:rsidTr="00105EC1">
        <w:tc>
          <w:tcPr>
            <w:tcW w:w="1728" w:type="dxa"/>
          </w:tcPr>
          <w:p w14:paraId="44CF8600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License governance policy</w:t>
            </w:r>
          </w:p>
        </w:tc>
        <w:tc>
          <w:tcPr>
            <w:tcW w:w="1728" w:type="dxa"/>
          </w:tcPr>
          <w:p w14:paraId="6854878A" w14:textId="77777777" w:rsidR="00CC325F" w:rsidRPr="00123FC1" w:rsidRDefault="00CC325F" w:rsidP="00105EC1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</w:tcPr>
          <w:p w14:paraId="0DE0954C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A</w:t>
            </w:r>
          </w:p>
        </w:tc>
        <w:tc>
          <w:tcPr>
            <w:tcW w:w="1728" w:type="dxa"/>
          </w:tcPr>
          <w:p w14:paraId="7BCC481E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R</w:t>
            </w:r>
          </w:p>
        </w:tc>
        <w:tc>
          <w:tcPr>
            <w:tcW w:w="1728" w:type="dxa"/>
          </w:tcPr>
          <w:p w14:paraId="66F799FC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C</w:t>
            </w:r>
          </w:p>
        </w:tc>
      </w:tr>
      <w:tr w:rsidR="00CC325F" w:rsidRPr="00123FC1" w14:paraId="201AB2FF" w14:textId="77777777" w:rsidTr="00105EC1">
        <w:tc>
          <w:tcPr>
            <w:tcW w:w="1728" w:type="dxa"/>
          </w:tcPr>
          <w:p w14:paraId="50E88F6C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Supplier SBOM intake (API)</w:t>
            </w:r>
          </w:p>
        </w:tc>
        <w:tc>
          <w:tcPr>
            <w:tcW w:w="1728" w:type="dxa"/>
          </w:tcPr>
          <w:p w14:paraId="04D2FBA1" w14:textId="77777777" w:rsidR="00CC325F" w:rsidRPr="00123FC1" w:rsidRDefault="00CC325F" w:rsidP="00105EC1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</w:tcPr>
          <w:p w14:paraId="2D0BF75A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A/R</w:t>
            </w:r>
          </w:p>
        </w:tc>
        <w:tc>
          <w:tcPr>
            <w:tcW w:w="1728" w:type="dxa"/>
          </w:tcPr>
          <w:p w14:paraId="3F1D0373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C</w:t>
            </w:r>
          </w:p>
        </w:tc>
        <w:tc>
          <w:tcPr>
            <w:tcW w:w="1728" w:type="dxa"/>
          </w:tcPr>
          <w:p w14:paraId="571A1EC1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C</w:t>
            </w:r>
          </w:p>
        </w:tc>
      </w:tr>
      <w:tr w:rsidR="00CC325F" w:rsidRPr="00123FC1" w14:paraId="7186A197" w14:textId="77777777" w:rsidTr="00105EC1">
        <w:tc>
          <w:tcPr>
            <w:tcW w:w="1728" w:type="dxa"/>
          </w:tcPr>
          <w:p w14:paraId="3B51B528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VEX authoring &amp; publishing</w:t>
            </w:r>
          </w:p>
        </w:tc>
        <w:tc>
          <w:tcPr>
            <w:tcW w:w="1728" w:type="dxa"/>
          </w:tcPr>
          <w:p w14:paraId="489F952D" w14:textId="77777777" w:rsidR="00CC325F" w:rsidRPr="00123FC1" w:rsidRDefault="00CC325F" w:rsidP="00105EC1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</w:tcPr>
          <w:p w14:paraId="2D2AAA6D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A/R</w:t>
            </w:r>
          </w:p>
        </w:tc>
        <w:tc>
          <w:tcPr>
            <w:tcW w:w="1728" w:type="dxa"/>
          </w:tcPr>
          <w:p w14:paraId="58D8F196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C</w:t>
            </w:r>
          </w:p>
        </w:tc>
        <w:tc>
          <w:tcPr>
            <w:tcW w:w="1728" w:type="dxa"/>
          </w:tcPr>
          <w:p w14:paraId="15B8E71B" w14:textId="77777777" w:rsidR="00CC325F" w:rsidRPr="00123FC1" w:rsidRDefault="00CC325F" w:rsidP="00105EC1">
            <w:pPr>
              <w:rPr>
                <w:rFonts w:ascii="Arial" w:hAnsi="Arial" w:cs="Arial"/>
              </w:rPr>
            </w:pPr>
          </w:p>
        </w:tc>
      </w:tr>
      <w:tr w:rsidR="00CC325F" w:rsidRPr="00123FC1" w14:paraId="181C9633" w14:textId="77777777" w:rsidTr="00105EC1">
        <w:tc>
          <w:tcPr>
            <w:tcW w:w="1728" w:type="dxa"/>
          </w:tcPr>
          <w:p w14:paraId="54F21331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Exceptions &amp; risk acceptance</w:t>
            </w:r>
          </w:p>
        </w:tc>
        <w:tc>
          <w:tcPr>
            <w:tcW w:w="1728" w:type="dxa"/>
          </w:tcPr>
          <w:p w14:paraId="65D72A05" w14:textId="77777777" w:rsidR="00CC325F" w:rsidRPr="00123FC1" w:rsidRDefault="00CC325F" w:rsidP="00105EC1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</w:tcPr>
          <w:p w14:paraId="0A73FF40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A</w:t>
            </w:r>
          </w:p>
        </w:tc>
        <w:tc>
          <w:tcPr>
            <w:tcW w:w="1728" w:type="dxa"/>
          </w:tcPr>
          <w:p w14:paraId="1F13F047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R</w:t>
            </w:r>
          </w:p>
        </w:tc>
        <w:tc>
          <w:tcPr>
            <w:tcW w:w="1728" w:type="dxa"/>
          </w:tcPr>
          <w:p w14:paraId="5AF585D8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C</w:t>
            </w:r>
          </w:p>
        </w:tc>
      </w:tr>
      <w:tr w:rsidR="00CC325F" w:rsidRPr="00123FC1" w14:paraId="3228BBAE" w14:textId="77777777" w:rsidTr="00105EC1">
        <w:tc>
          <w:tcPr>
            <w:tcW w:w="1728" w:type="dxa"/>
          </w:tcPr>
          <w:p w14:paraId="1BBAD721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Customer SBOM delivery</w:t>
            </w:r>
          </w:p>
        </w:tc>
        <w:tc>
          <w:tcPr>
            <w:tcW w:w="1728" w:type="dxa"/>
          </w:tcPr>
          <w:p w14:paraId="69DBD418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C</w:t>
            </w:r>
          </w:p>
        </w:tc>
        <w:tc>
          <w:tcPr>
            <w:tcW w:w="1728" w:type="dxa"/>
          </w:tcPr>
          <w:p w14:paraId="31648505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A</w:t>
            </w:r>
          </w:p>
        </w:tc>
        <w:tc>
          <w:tcPr>
            <w:tcW w:w="1728" w:type="dxa"/>
          </w:tcPr>
          <w:p w14:paraId="784FE4A8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R</w:t>
            </w:r>
          </w:p>
        </w:tc>
        <w:tc>
          <w:tcPr>
            <w:tcW w:w="1728" w:type="dxa"/>
          </w:tcPr>
          <w:p w14:paraId="2C040B0D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C</w:t>
            </w:r>
          </w:p>
        </w:tc>
      </w:tr>
    </w:tbl>
    <w:p w14:paraId="4DC61B31" w14:textId="77777777" w:rsidR="00922797" w:rsidRPr="00123FC1" w:rsidRDefault="00922797" w:rsidP="000254CD">
      <w:pPr>
        <w:pStyle w:val="Heading1"/>
        <w:rPr>
          <w:rFonts w:ascii="Arial" w:hAnsi="Arial" w:cs="Arial"/>
          <w:sz w:val="22"/>
          <w:szCs w:val="22"/>
        </w:rPr>
      </w:pPr>
    </w:p>
    <w:p w14:paraId="00515699" w14:textId="31849BBC" w:rsidR="009C233D" w:rsidRPr="00123FC1" w:rsidRDefault="009C233D" w:rsidP="00CC325F">
      <w:pPr>
        <w:pStyle w:val="Heading2"/>
        <w:rPr>
          <w:rFonts w:ascii="Arial" w:hAnsi="Arial" w:cs="Arial"/>
          <w:sz w:val="22"/>
          <w:szCs w:val="22"/>
        </w:rPr>
      </w:pPr>
      <w:bookmarkStart w:id="29" w:name="_Toc218324666"/>
      <w:r w:rsidRPr="00123FC1">
        <w:rPr>
          <w:rFonts w:ascii="Arial" w:hAnsi="Arial" w:cs="Arial"/>
          <w:sz w:val="22"/>
          <w:szCs w:val="22"/>
        </w:rPr>
        <w:t>RACI / Swimlane Diagram</w:t>
      </w:r>
      <w:bookmarkEnd w:id="29"/>
    </w:p>
    <w:p w14:paraId="7A6A9F30" w14:textId="3E969CB8" w:rsidR="009C233D" w:rsidRPr="00123FC1" w:rsidRDefault="009C233D" w:rsidP="009C233D">
      <w:pPr>
        <w:rPr>
          <w:rFonts w:ascii="Arial" w:hAnsi="Arial" w:cs="Arial"/>
        </w:rPr>
      </w:pPr>
      <w:r w:rsidRPr="00123FC1">
        <w:rPr>
          <w:rFonts w:ascii="Arial" w:hAnsi="Arial" w:cs="Arial"/>
        </w:rPr>
        <w:t>Shows how governance-driven SBOM programs distribute responsibility across engineering, security, compliance, and leadership, enabling scalable and accountable decision-making.</w:t>
      </w:r>
    </w:p>
    <w:p w14:paraId="2F22F674" w14:textId="06BE8DC5" w:rsidR="009C233D" w:rsidRPr="00123FC1" w:rsidRDefault="009C233D" w:rsidP="009C233D">
      <w:pPr>
        <w:rPr>
          <w:rFonts w:ascii="Arial" w:hAnsi="Arial" w:cs="Arial"/>
        </w:rPr>
      </w:pPr>
      <w:r w:rsidRPr="00123FC1">
        <w:rPr>
          <w:rFonts w:ascii="Arial" w:hAnsi="Arial" w:cs="Arial"/>
          <w:noProof/>
        </w:rPr>
        <w:drawing>
          <wp:inline distT="0" distB="0" distL="0" distR="0" wp14:anchorId="6DC163EA" wp14:editId="7B35C68A">
            <wp:extent cx="5486400" cy="3657600"/>
            <wp:effectExtent l="0" t="0" r="0" b="0"/>
            <wp:docPr id="1501849071" name="Picture 8" descr="A diagram of a comp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49071" name="Picture 8" descr="A diagram of a compan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E25A6" w14:textId="77777777" w:rsidR="009C233D" w:rsidRPr="00123FC1" w:rsidRDefault="009C233D" w:rsidP="009C233D">
      <w:pPr>
        <w:rPr>
          <w:rFonts w:ascii="Arial" w:hAnsi="Arial" w:cs="Arial"/>
        </w:rPr>
      </w:pPr>
    </w:p>
    <w:p w14:paraId="5F98FFA9" w14:textId="77777777" w:rsidR="00CC325F" w:rsidRPr="00123FC1" w:rsidRDefault="00CC325F" w:rsidP="00CC325F">
      <w:pPr>
        <w:pStyle w:val="Heading2"/>
        <w:rPr>
          <w:rFonts w:ascii="Arial" w:hAnsi="Arial" w:cs="Arial"/>
          <w:sz w:val="22"/>
          <w:szCs w:val="22"/>
        </w:rPr>
      </w:pPr>
      <w:bookmarkStart w:id="30" w:name="_Toc218324667"/>
      <w:r w:rsidRPr="00123FC1">
        <w:rPr>
          <w:rFonts w:ascii="Arial" w:hAnsi="Arial" w:cs="Arial"/>
          <w:sz w:val="22"/>
          <w:szCs w:val="22"/>
        </w:rPr>
        <w:t>Minimum Viable Program (90 Days)</w:t>
      </w:r>
      <w:bookmarkEnd w:id="30"/>
    </w:p>
    <w:p w14:paraId="0B94E4D8" w14:textId="77777777" w:rsidR="00CC325F" w:rsidRPr="00123FC1" w:rsidRDefault="00CC325F" w:rsidP="00CC325F">
      <w:pPr>
        <w:rPr>
          <w:rFonts w:ascii="Arial" w:hAnsi="Arial" w:cs="Arial"/>
        </w:rPr>
      </w:pPr>
      <w:r w:rsidRPr="00123FC1">
        <w:rPr>
          <w:rFonts w:ascii="Arial" w:hAnsi="Arial" w:cs="Arial"/>
        </w:rPr>
        <w:t>• Days 1–30: select standard (CycloneDX JSON); require signing; update supplier contracts</w:t>
      </w:r>
    </w:p>
    <w:p w14:paraId="6A1BDBE7" w14:textId="77777777" w:rsidR="00CC325F" w:rsidRPr="00123FC1" w:rsidRDefault="00CC325F" w:rsidP="00CC325F">
      <w:pPr>
        <w:rPr>
          <w:rFonts w:ascii="Arial" w:hAnsi="Arial" w:cs="Arial"/>
        </w:rPr>
      </w:pPr>
      <w:r w:rsidRPr="00123FC1">
        <w:rPr>
          <w:rFonts w:ascii="Arial" w:hAnsi="Arial" w:cs="Arial"/>
        </w:rPr>
        <w:t>• Days 31–60: embed generation in CI/CD; stand up ingestion APIs; normalization; integrate VEX</w:t>
      </w:r>
    </w:p>
    <w:p w14:paraId="49D017EA" w14:textId="77777777" w:rsidR="00CC325F" w:rsidRPr="00123FC1" w:rsidRDefault="00CC325F" w:rsidP="00CC325F">
      <w:pPr>
        <w:rPr>
          <w:rFonts w:ascii="Arial" w:hAnsi="Arial" w:cs="Arial"/>
        </w:rPr>
      </w:pPr>
      <w:r w:rsidRPr="00123FC1">
        <w:rPr>
          <w:rFonts w:ascii="Arial" w:hAnsi="Arial" w:cs="Arial"/>
        </w:rPr>
        <w:t>• Days 61–90: enforce policy-as-code gates; build SSDF/CRA dashboards (coverage, freshness, integrity, MTTR)</w:t>
      </w:r>
    </w:p>
    <w:p w14:paraId="09874949" w14:textId="77777777" w:rsidR="00CC325F" w:rsidRPr="00123FC1" w:rsidRDefault="00CC325F" w:rsidP="00CC325F">
      <w:pPr>
        <w:pStyle w:val="Heading2"/>
        <w:rPr>
          <w:rFonts w:ascii="Arial" w:hAnsi="Arial" w:cs="Arial"/>
          <w:sz w:val="22"/>
          <w:szCs w:val="22"/>
        </w:rPr>
      </w:pPr>
      <w:bookmarkStart w:id="31" w:name="_Toc218324668"/>
      <w:r w:rsidRPr="00123FC1">
        <w:rPr>
          <w:rFonts w:ascii="Arial" w:hAnsi="Arial" w:cs="Arial"/>
          <w:sz w:val="22"/>
          <w:szCs w:val="22"/>
        </w:rPr>
        <w:t>Roadmap Beyond MVP: Phase 2 and Phase 3</w:t>
      </w:r>
      <w:bookmarkEnd w:id="31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325F" w:rsidRPr="00123FC1" w14:paraId="16277601" w14:textId="77777777" w:rsidTr="00105EC1">
        <w:tc>
          <w:tcPr>
            <w:tcW w:w="2880" w:type="dxa"/>
          </w:tcPr>
          <w:p w14:paraId="26131943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Phase</w:t>
            </w:r>
          </w:p>
        </w:tc>
        <w:tc>
          <w:tcPr>
            <w:tcW w:w="2880" w:type="dxa"/>
          </w:tcPr>
          <w:p w14:paraId="45BCEB78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Focus Areas</w:t>
            </w:r>
          </w:p>
        </w:tc>
        <w:tc>
          <w:tcPr>
            <w:tcW w:w="2880" w:type="dxa"/>
          </w:tcPr>
          <w:p w14:paraId="7BA2230C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Outcomes</w:t>
            </w:r>
          </w:p>
        </w:tc>
      </w:tr>
      <w:tr w:rsidR="00CC325F" w:rsidRPr="00123FC1" w14:paraId="2D6618E2" w14:textId="77777777" w:rsidTr="00105EC1">
        <w:tc>
          <w:tcPr>
            <w:tcW w:w="2880" w:type="dxa"/>
          </w:tcPr>
          <w:p w14:paraId="02E6B48C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Phase 2 (90–180 days)</w:t>
            </w:r>
          </w:p>
        </w:tc>
        <w:tc>
          <w:tcPr>
            <w:tcW w:w="2880" w:type="dxa"/>
          </w:tcPr>
          <w:p w14:paraId="67A90A77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 xml:space="preserve">100% CI/CD integration; license governance automation; API-based supplier intake; freshness </w:t>
            </w:r>
            <w:r w:rsidRPr="00123FC1">
              <w:rPr>
                <w:rFonts w:ascii="Arial" w:hAnsi="Arial" w:cs="Arial"/>
              </w:rPr>
              <w:lastRenderedPageBreak/>
              <w:t>monitoring</w:t>
            </w:r>
          </w:p>
        </w:tc>
        <w:tc>
          <w:tcPr>
            <w:tcW w:w="2880" w:type="dxa"/>
          </w:tcPr>
          <w:p w14:paraId="5B036C7F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lastRenderedPageBreak/>
              <w:t>Reduced manual effort; faster audits; fewer release blockers</w:t>
            </w:r>
          </w:p>
        </w:tc>
      </w:tr>
      <w:tr w:rsidR="00CC325F" w:rsidRPr="00123FC1" w14:paraId="304928B5" w14:textId="77777777" w:rsidTr="00105EC1">
        <w:tc>
          <w:tcPr>
            <w:tcW w:w="2880" w:type="dxa"/>
          </w:tcPr>
          <w:p w14:paraId="40D55A49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Phase 3 (180–365 days)</w:t>
            </w:r>
          </w:p>
        </w:tc>
        <w:tc>
          <w:tcPr>
            <w:tcW w:w="2880" w:type="dxa"/>
          </w:tcPr>
          <w:p w14:paraId="53F58799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ML model SBOMs; multi</w:t>
            </w:r>
            <w:r w:rsidRPr="00123FC1">
              <w:rPr>
                <w:rFonts w:ascii="Cambria Math" w:hAnsi="Cambria Math" w:cs="Cambria Math"/>
              </w:rPr>
              <w:t>‑</w:t>
            </w:r>
            <w:r w:rsidRPr="00123FC1">
              <w:rPr>
                <w:rFonts w:ascii="Arial" w:hAnsi="Arial" w:cs="Arial"/>
              </w:rPr>
              <w:t>stage correlation (source→build→runtime); graph analytics; enterprise dashboards</w:t>
            </w:r>
          </w:p>
        </w:tc>
        <w:tc>
          <w:tcPr>
            <w:tcW w:w="2880" w:type="dxa"/>
          </w:tcPr>
          <w:p w14:paraId="0D5FD3B3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Decision-ready risk views; portfolio</w:t>
            </w:r>
            <w:r w:rsidRPr="00123FC1">
              <w:rPr>
                <w:rFonts w:ascii="Cambria Math" w:hAnsi="Cambria Math" w:cs="Cambria Math"/>
              </w:rPr>
              <w:t>‑</w:t>
            </w:r>
            <w:r w:rsidRPr="00123FC1">
              <w:rPr>
                <w:rFonts w:ascii="Arial" w:hAnsi="Arial" w:cs="Arial"/>
              </w:rPr>
              <w:t>level governance; CRA/SSDF evidence automation</w:t>
            </w:r>
          </w:p>
        </w:tc>
      </w:tr>
    </w:tbl>
    <w:p w14:paraId="2941E272" w14:textId="77777777" w:rsidR="00CC325F" w:rsidRPr="00123FC1" w:rsidRDefault="00CC325F" w:rsidP="009C233D">
      <w:pPr>
        <w:rPr>
          <w:rFonts w:ascii="Arial" w:hAnsi="Arial" w:cs="Arial"/>
        </w:rPr>
      </w:pPr>
    </w:p>
    <w:p w14:paraId="0FF15A2A" w14:textId="77777777" w:rsidR="00CC325F" w:rsidRPr="00123FC1" w:rsidRDefault="00CC325F" w:rsidP="00CC325F">
      <w:pPr>
        <w:pStyle w:val="Heading2"/>
        <w:rPr>
          <w:rFonts w:ascii="Arial" w:hAnsi="Arial" w:cs="Arial"/>
          <w:sz w:val="22"/>
          <w:szCs w:val="22"/>
        </w:rPr>
      </w:pPr>
      <w:bookmarkStart w:id="32" w:name="_Toc218324669"/>
      <w:r w:rsidRPr="00123FC1">
        <w:rPr>
          <w:rFonts w:ascii="Arial" w:hAnsi="Arial" w:cs="Arial"/>
          <w:sz w:val="22"/>
          <w:szCs w:val="22"/>
        </w:rPr>
        <w:t>Transformation: Before vs After SBOM Governance</w:t>
      </w:r>
      <w:bookmarkEnd w:id="32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325F" w:rsidRPr="00123FC1" w14:paraId="54ABCE7F" w14:textId="77777777" w:rsidTr="00105EC1">
        <w:tc>
          <w:tcPr>
            <w:tcW w:w="2880" w:type="dxa"/>
          </w:tcPr>
          <w:p w14:paraId="391CBC46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Area</w:t>
            </w:r>
          </w:p>
        </w:tc>
        <w:tc>
          <w:tcPr>
            <w:tcW w:w="2880" w:type="dxa"/>
          </w:tcPr>
          <w:p w14:paraId="1E6F9A0E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Before Governance</w:t>
            </w:r>
          </w:p>
        </w:tc>
        <w:tc>
          <w:tcPr>
            <w:tcW w:w="2880" w:type="dxa"/>
          </w:tcPr>
          <w:p w14:paraId="3A75CFA5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After Governance</w:t>
            </w:r>
          </w:p>
        </w:tc>
      </w:tr>
      <w:tr w:rsidR="00CC325F" w:rsidRPr="00123FC1" w14:paraId="0542B6FD" w14:textId="77777777" w:rsidTr="00105EC1">
        <w:tc>
          <w:tcPr>
            <w:tcW w:w="2880" w:type="dxa"/>
          </w:tcPr>
          <w:p w14:paraId="5E1DCB02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SBOM Generation</w:t>
            </w:r>
          </w:p>
        </w:tc>
        <w:tc>
          <w:tcPr>
            <w:tcW w:w="2880" w:type="dxa"/>
          </w:tcPr>
          <w:p w14:paraId="3801E2A5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Manual, inconsistent</w:t>
            </w:r>
          </w:p>
        </w:tc>
        <w:tc>
          <w:tcPr>
            <w:tcW w:w="2880" w:type="dxa"/>
          </w:tcPr>
          <w:p w14:paraId="3B60A264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Automated, CI/CD-integrated</w:t>
            </w:r>
          </w:p>
        </w:tc>
      </w:tr>
      <w:tr w:rsidR="00CC325F" w:rsidRPr="00123FC1" w14:paraId="3EB3FD62" w14:textId="77777777" w:rsidTr="00105EC1">
        <w:tc>
          <w:tcPr>
            <w:tcW w:w="2880" w:type="dxa"/>
          </w:tcPr>
          <w:p w14:paraId="6B72C786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Coverage</w:t>
            </w:r>
          </w:p>
        </w:tc>
        <w:tc>
          <w:tcPr>
            <w:tcW w:w="2880" w:type="dxa"/>
          </w:tcPr>
          <w:p w14:paraId="2D5D41B0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Best effort</w:t>
            </w:r>
          </w:p>
        </w:tc>
        <w:tc>
          <w:tcPr>
            <w:tcW w:w="2880" w:type="dxa"/>
          </w:tcPr>
          <w:p w14:paraId="6DADC6E4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Defined SLAs; release-wide coverage</w:t>
            </w:r>
          </w:p>
        </w:tc>
      </w:tr>
      <w:tr w:rsidR="00CC325F" w:rsidRPr="00123FC1" w14:paraId="2531277A" w14:textId="77777777" w:rsidTr="00105EC1">
        <w:tc>
          <w:tcPr>
            <w:tcW w:w="2880" w:type="dxa"/>
          </w:tcPr>
          <w:p w14:paraId="1A0C6974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Audit Prep</w:t>
            </w:r>
          </w:p>
        </w:tc>
        <w:tc>
          <w:tcPr>
            <w:tcW w:w="2880" w:type="dxa"/>
          </w:tcPr>
          <w:p w14:paraId="69363A3D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Reactive evidence collection</w:t>
            </w:r>
          </w:p>
        </w:tc>
        <w:tc>
          <w:tcPr>
            <w:tcW w:w="2880" w:type="dxa"/>
          </w:tcPr>
          <w:p w14:paraId="606531B7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Continuous evidence; dashboards</w:t>
            </w:r>
          </w:p>
        </w:tc>
      </w:tr>
      <w:tr w:rsidR="00CC325F" w:rsidRPr="00123FC1" w14:paraId="766D60E6" w14:textId="77777777" w:rsidTr="00105EC1">
        <w:tc>
          <w:tcPr>
            <w:tcW w:w="2880" w:type="dxa"/>
          </w:tcPr>
          <w:p w14:paraId="69C43FAC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Third-party Intake</w:t>
            </w:r>
          </w:p>
        </w:tc>
        <w:tc>
          <w:tcPr>
            <w:tcW w:w="2880" w:type="dxa"/>
          </w:tcPr>
          <w:p w14:paraId="28CB86D9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Email/PDF attachments</w:t>
            </w:r>
          </w:p>
        </w:tc>
        <w:tc>
          <w:tcPr>
            <w:tcW w:w="2880" w:type="dxa"/>
          </w:tcPr>
          <w:p w14:paraId="2300F2BF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Signed, authenticated ingestion APIs</w:t>
            </w:r>
          </w:p>
        </w:tc>
      </w:tr>
      <w:tr w:rsidR="00CC325F" w:rsidRPr="00123FC1" w14:paraId="679AFC80" w14:textId="77777777" w:rsidTr="00105EC1">
        <w:tc>
          <w:tcPr>
            <w:tcW w:w="2880" w:type="dxa"/>
          </w:tcPr>
          <w:p w14:paraId="5D2B5DC0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Vulnerability Triage</w:t>
            </w:r>
          </w:p>
        </w:tc>
        <w:tc>
          <w:tcPr>
            <w:tcW w:w="2880" w:type="dxa"/>
          </w:tcPr>
          <w:p w14:paraId="63B874E0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CVE noise; slow prioritization</w:t>
            </w:r>
          </w:p>
        </w:tc>
        <w:tc>
          <w:tcPr>
            <w:tcW w:w="2880" w:type="dxa"/>
          </w:tcPr>
          <w:p w14:paraId="3668A552" w14:textId="77777777" w:rsidR="00CC325F" w:rsidRPr="00123FC1" w:rsidRDefault="00CC325F" w:rsidP="00105EC1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VEX + policy gates; exploitability-aware</w:t>
            </w:r>
          </w:p>
        </w:tc>
      </w:tr>
    </w:tbl>
    <w:p w14:paraId="3FC4E8F7" w14:textId="77777777" w:rsidR="00642C64" w:rsidRPr="00123FC1" w:rsidRDefault="00642C64" w:rsidP="00642C64">
      <w:pPr>
        <w:pStyle w:val="Heading2"/>
        <w:rPr>
          <w:rFonts w:ascii="Arial" w:hAnsi="Arial" w:cs="Arial"/>
          <w:sz w:val="22"/>
          <w:szCs w:val="22"/>
        </w:rPr>
      </w:pPr>
      <w:bookmarkStart w:id="33" w:name="_Toc218324670"/>
      <w:r w:rsidRPr="00123FC1">
        <w:rPr>
          <w:rFonts w:ascii="Arial" w:hAnsi="Arial" w:cs="Arial"/>
          <w:sz w:val="22"/>
          <w:szCs w:val="22"/>
        </w:rPr>
        <w:t>Why SBOM Programs Fail</w:t>
      </w:r>
      <w:bookmarkEnd w:id="33"/>
    </w:p>
    <w:p w14:paraId="002A11DE" w14:textId="77777777" w:rsidR="00642C64" w:rsidRPr="00123FC1" w:rsidRDefault="00642C64" w:rsidP="00642C6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 xml:space="preserve">No lifecycle processes → stale SBOMs </w:t>
      </w:r>
    </w:p>
    <w:p w14:paraId="68FC25B9" w14:textId="77777777" w:rsidR="00642C64" w:rsidRPr="00123FC1" w:rsidRDefault="00642C64" w:rsidP="00642C6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 xml:space="preserve">No owner for SBOM exceptions </w:t>
      </w:r>
    </w:p>
    <w:p w14:paraId="2C400D44" w14:textId="77777777" w:rsidR="00642C64" w:rsidRPr="00123FC1" w:rsidRDefault="00642C64" w:rsidP="00642C6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 xml:space="preserve">Gaps between build and runtime visibility </w:t>
      </w:r>
    </w:p>
    <w:p w14:paraId="3049B083" w14:textId="77777777" w:rsidR="00642C64" w:rsidRPr="00123FC1" w:rsidRDefault="00642C64" w:rsidP="00642C6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 xml:space="preserve">Vendors delivering PDFs or unsigned artifacts </w:t>
      </w:r>
    </w:p>
    <w:p w14:paraId="16055E05" w14:textId="77777777" w:rsidR="00642C64" w:rsidRPr="00123FC1" w:rsidRDefault="00642C64" w:rsidP="00642C6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Fragmented scanners creating multiple conflicting SBOMs</w:t>
      </w:r>
    </w:p>
    <w:p w14:paraId="02355B4B" w14:textId="77777777" w:rsidR="00642C64" w:rsidRPr="00123FC1" w:rsidRDefault="00642C64" w:rsidP="00642C64">
      <w:pPr>
        <w:pStyle w:val="Heading2"/>
        <w:rPr>
          <w:rFonts w:ascii="Arial" w:hAnsi="Arial" w:cs="Arial"/>
          <w:sz w:val="22"/>
          <w:szCs w:val="22"/>
        </w:rPr>
      </w:pPr>
      <w:bookmarkStart w:id="34" w:name="_Toc218324671"/>
      <w:r w:rsidRPr="00123FC1">
        <w:rPr>
          <w:rFonts w:ascii="Arial" w:hAnsi="Arial" w:cs="Arial"/>
          <w:sz w:val="22"/>
          <w:szCs w:val="22"/>
        </w:rPr>
        <w:t>Pitfalls to Avoid</w:t>
      </w:r>
      <w:bookmarkEnd w:id="34"/>
    </w:p>
    <w:p w14:paraId="53FBF754" w14:textId="5C816D0B" w:rsidR="00642C64" w:rsidRPr="00123FC1" w:rsidRDefault="00642C64" w:rsidP="00642C6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Treating SBOM as a static list instead of a living data pipeline</w:t>
      </w:r>
    </w:p>
    <w:p w14:paraId="044C3C5F" w14:textId="1D4AC2E7" w:rsidR="00642C64" w:rsidRPr="00123FC1" w:rsidRDefault="00642C64" w:rsidP="00642C6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Ignoring license policy and obligations</w:t>
      </w:r>
    </w:p>
    <w:p w14:paraId="7BB4AD60" w14:textId="7083B042" w:rsidR="00642C64" w:rsidRPr="00123FC1" w:rsidRDefault="00642C64" w:rsidP="00642C6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Vulnerability triage without exploitability context</w:t>
      </w:r>
    </w:p>
    <w:p w14:paraId="5D6C23CD" w14:textId="352DA184" w:rsidR="00642C64" w:rsidRPr="00123FC1" w:rsidRDefault="00642C64" w:rsidP="00642C6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23FC1">
        <w:rPr>
          <w:rFonts w:ascii="Arial" w:hAnsi="Arial" w:cs="Arial"/>
        </w:rPr>
        <w:t>Manual vendor intake (no signatures, no APIs)</w:t>
      </w:r>
    </w:p>
    <w:p w14:paraId="66F4A3C8" w14:textId="77777777" w:rsidR="00642C64" w:rsidRPr="00123FC1" w:rsidRDefault="00642C64" w:rsidP="00642C64">
      <w:pPr>
        <w:pStyle w:val="Heading1"/>
        <w:rPr>
          <w:rFonts w:ascii="Arial" w:hAnsi="Arial" w:cs="Arial"/>
          <w:sz w:val="22"/>
          <w:szCs w:val="22"/>
        </w:rPr>
      </w:pPr>
    </w:p>
    <w:p w14:paraId="156A67E7" w14:textId="77777777" w:rsidR="00642C64" w:rsidRPr="00123FC1" w:rsidRDefault="00642C64" w:rsidP="00642C64">
      <w:pPr>
        <w:pStyle w:val="Heading1"/>
        <w:rPr>
          <w:rFonts w:ascii="Arial" w:hAnsi="Arial" w:cs="Arial"/>
          <w:sz w:val="22"/>
          <w:szCs w:val="22"/>
        </w:rPr>
      </w:pPr>
      <w:bookmarkStart w:id="35" w:name="_Toc218324672"/>
      <w:r w:rsidRPr="00123FC1">
        <w:rPr>
          <w:rFonts w:ascii="Arial" w:hAnsi="Arial" w:cs="Arial"/>
          <w:sz w:val="22"/>
          <w:szCs w:val="22"/>
        </w:rPr>
        <w:t>Validation, Examples, and Comparisons</w:t>
      </w:r>
      <w:bookmarkEnd w:id="35"/>
    </w:p>
    <w:p w14:paraId="2960B378" w14:textId="0D701339" w:rsidR="00CC325F" w:rsidRPr="00123FC1" w:rsidRDefault="00CC325F" w:rsidP="00642C64">
      <w:pPr>
        <w:pStyle w:val="Heading2"/>
        <w:rPr>
          <w:rFonts w:ascii="Arial" w:hAnsi="Arial" w:cs="Arial"/>
          <w:sz w:val="22"/>
          <w:szCs w:val="22"/>
        </w:rPr>
      </w:pPr>
      <w:bookmarkStart w:id="36" w:name="_Toc218324673"/>
      <w:r w:rsidRPr="00123FC1">
        <w:rPr>
          <w:rFonts w:ascii="Arial" w:hAnsi="Arial" w:cs="Arial"/>
          <w:sz w:val="22"/>
          <w:szCs w:val="22"/>
        </w:rPr>
        <w:t>Comparison to Public Guidance</w:t>
      </w:r>
      <w:bookmarkEnd w:id="36"/>
    </w:p>
    <w:p w14:paraId="7DD1C5A7" w14:textId="77777777" w:rsidR="00CC325F" w:rsidRPr="00123FC1" w:rsidRDefault="00CC325F" w:rsidP="00CC325F">
      <w:pPr>
        <w:rPr>
          <w:rFonts w:ascii="Arial" w:hAnsi="Arial" w:cs="Arial"/>
        </w:rPr>
      </w:pPr>
      <w:r w:rsidRPr="00123FC1">
        <w:rPr>
          <w:rFonts w:ascii="Arial" w:hAnsi="Arial" w:cs="Arial"/>
        </w:rPr>
        <w:t>This governance model builds on and operationalizes the foundational SBOM guidance published by CISA, NTIA, NIST, and OpenSSF by introducing lifecycle freshness SLAs, policy</w:t>
      </w:r>
      <w:r w:rsidRPr="00123FC1">
        <w:rPr>
          <w:rFonts w:ascii="Arial" w:hAnsi="Arial" w:cs="Arial"/>
        </w:rPr>
        <w:noBreakHyphen/>
        <w:t>as</w:t>
      </w:r>
      <w:r w:rsidRPr="00123FC1">
        <w:rPr>
          <w:rFonts w:ascii="Arial" w:hAnsi="Arial" w:cs="Arial"/>
        </w:rPr>
        <w:noBreakHyphen/>
        <w:t>code decisioning, integrated VEX gating, and audit-ready evidence designed for regulated AI and automotive software ecosystems</w:t>
      </w:r>
    </w:p>
    <w:p w14:paraId="720D6E77" w14:textId="77777777" w:rsidR="00642C64" w:rsidRPr="00123FC1" w:rsidRDefault="00642C64" w:rsidP="00642C64">
      <w:pPr>
        <w:pStyle w:val="Heading2"/>
        <w:rPr>
          <w:rFonts w:ascii="Arial" w:hAnsi="Arial" w:cs="Arial"/>
          <w:sz w:val="22"/>
          <w:szCs w:val="22"/>
        </w:rPr>
      </w:pPr>
      <w:bookmarkStart w:id="37" w:name="_Toc218324674"/>
      <w:r w:rsidRPr="00123FC1">
        <w:rPr>
          <w:rFonts w:ascii="Arial" w:hAnsi="Arial" w:cs="Arial"/>
          <w:sz w:val="22"/>
          <w:szCs w:val="22"/>
        </w:rPr>
        <w:t>References</w:t>
      </w:r>
      <w:bookmarkEnd w:id="37"/>
    </w:p>
    <w:p w14:paraId="0853CB70" w14:textId="77777777" w:rsidR="00642C64" w:rsidRPr="00123FC1" w:rsidRDefault="00642C64" w:rsidP="00642C64">
      <w:pPr>
        <w:rPr>
          <w:rFonts w:ascii="Arial" w:hAnsi="Arial" w:cs="Arial"/>
        </w:rPr>
      </w:pPr>
      <w:r w:rsidRPr="00123FC1">
        <w:rPr>
          <w:rFonts w:ascii="Arial" w:hAnsi="Arial" w:cs="Arial"/>
        </w:rPr>
        <w:t>- NTIA: Minimum Elements for a Software Bill of Materials (SBOM), July 12, 2021.</w:t>
      </w:r>
    </w:p>
    <w:p w14:paraId="11B03313" w14:textId="77777777" w:rsidR="00642C64" w:rsidRPr="00123FC1" w:rsidRDefault="00642C64" w:rsidP="00642C64">
      <w:pPr>
        <w:rPr>
          <w:rFonts w:ascii="Arial" w:hAnsi="Arial" w:cs="Arial"/>
        </w:rPr>
      </w:pPr>
      <w:r w:rsidRPr="00123FC1">
        <w:rPr>
          <w:rFonts w:ascii="Arial" w:hAnsi="Arial" w:cs="Arial"/>
        </w:rPr>
        <w:t>- NIST SP 800</w:t>
      </w:r>
      <w:r w:rsidRPr="00123FC1">
        <w:rPr>
          <w:rFonts w:ascii="Cambria Math" w:hAnsi="Cambria Math" w:cs="Cambria Math"/>
        </w:rPr>
        <w:t>‑</w:t>
      </w:r>
      <w:r w:rsidRPr="00123FC1">
        <w:rPr>
          <w:rFonts w:ascii="Arial" w:hAnsi="Arial" w:cs="Arial"/>
        </w:rPr>
        <w:t>218: Secure Software Development Framework (SSDF) v1.1, Feb 2022.</w:t>
      </w:r>
    </w:p>
    <w:p w14:paraId="2FA419E6" w14:textId="77777777" w:rsidR="00642C64" w:rsidRPr="00123FC1" w:rsidRDefault="00642C64" w:rsidP="00642C64">
      <w:pPr>
        <w:rPr>
          <w:rFonts w:ascii="Arial" w:hAnsi="Arial" w:cs="Arial"/>
        </w:rPr>
      </w:pPr>
      <w:r w:rsidRPr="00123FC1">
        <w:rPr>
          <w:rFonts w:ascii="Arial" w:hAnsi="Arial" w:cs="Arial"/>
        </w:rPr>
        <w:t>- Executive Order 14028: Improving the Nation’s Cybersecurity, May 12, 2021.</w:t>
      </w:r>
    </w:p>
    <w:p w14:paraId="458256A9" w14:textId="77777777" w:rsidR="00642C64" w:rsidRPr="00123FC1" w:rsidRDefault="00642C64" w:rsidP="00642C64">
      <w:pPr>
        <w:rPr>
          <w:rFonts w:ascii="Arial" w:hAnsi="Arial" w:cs="Arial"/>
        </w:rPr>
      </w:pPr>
      <w:r w:rsidRPr="00123FC1">
        <w:rPr>
          <w:rFonts w:ascii="Arial" w:hAnsi="Arial" w:cs="Arial"/>
        </w:rPr>
        <w:t>- EU Cyber Resilience Act: Regulation (EU) 2024/2847; obligations apply Dec 11, 2027.</w:t>
      </w:r>
    </w:p>
    <w:p w14:paraId="34435D86" w14:textId="77777777" w:rsidR="00642C64" w:rsidRPr="00123FC1" w:rsidRDefault="00642C64" w:rsidP="00642C64">
      <w:pPr>
        <w:rPr>
          <w:rFonts w:ascii="Arial" w:hAnsi="Arial" w:cs="Arial"/>
        </w:rPr>
      </w:pPr>
      <w:r w:rsidRPr="00123FC1">
        <w:rPr>
          <w:rFonts w:ascii="Arial" w:hAnsi="Arial" w:cs="Arial"/>
        </w:rPr>
        <w:t>- CISA Draft: 2025 Minimum Elements for a Software Bill of Materials (public comment).</w:t>
      </w:r>
    </w:p>
    <w:p w14:paraId="1767A623" w14:textId="77777777" w:rsidR="00642C64" w:rsidRPr="00123FC1" w:rsidRDefault="00642C64" w:rsidP="00642C64">
      <w:pPr>
        <w:rPr>
          <w:rFonts w:ascii="Arial" w:hAnsi="Arial" w:cs="Arial"/>
        </w:rPr>
      </w:pPr>
      <w:r w:rsidRPr="00123FC1">
        <w:rPr>
          <w:rFonts w:ascii="Arial" w:hAnsi="Arial" w:cs="Arial"/>
        </w:rPr>
        <w:t>- OWASP CycloneDX Specification (ECMA</w:t>
      </w:r>
      <w:r w:rsidRPr="00123FC1">
        <w:rPr>
          <w:rFonts w:ascii="Cambria Math" w:hAnsi="Cambria Math" w:cs="Cambria Math"/>
        </w:rPr>
        <w:t>‑</w:t>
      </w:r>
      <w:r w:rsidRPr="00123FC1">
        <w:rPr>
          <w:rFonts w:ascii="Arial" w:hAnsi="Arial" w:cs="Arial"/>
        </w:rPr>
        <w:t>424); JSON and XML schemas; v1.4+.</w:t>
      </w:r>
    </w:p>
    <w:p w14:paraId="7E5D58FD" w14:textId="77777777" w:rsidR="00642C64" w:rsidRPr="00123FC1" w:rsidRDefault="00642C64" w:rsidP="00642C64">
      <w:pPr>
        <w:rPr>
          <w:rFonts w:ascii="Arial" w:hAnsi="Arial" w:cs="Arial"/>
        </w:rPr>
      </w:pPr>
      <w:r w:rsidRPr="00123FC1">
        <w:rPr>
          <w:rFonts w:ascii="Arial" w:hAnsi="Arial" w:cs="Arial"/>
        </w:rPr>
        <w:t>- SPDX Specification (ISO/IEC 5962); v3.0/3.0.1 updates.</w:t>
      </w:r>
    </w:p>
    <w:p w14:paraId="5E2BDEAA" w14:textId="77777777" w:rsidR="00642C64" w:rsidRPr="00123FC1" w:rsidRDefault="00642C64" w:rsidP="00642C64">
      <w:pPr>
        <w:rPr>
          <w:rFonts w:ascii="Arial" w:hAnsi="Arial" w:cs="Arial"/>
        </w:rPr>
      </w:pPr>
      <w:r w:rsidRPr="00123FC1">
        <w:rPr>
          <w:rFonts w:ascii="Arial" w:hAnsi="Arial" w:cs="Arial"/>
        </w:rPr>
        <w:t>- NTIA VEX Overview: Vulnerability Exploitability eXchange (machine</w:t>
      </w:r>
      <w:r w:rsidRPr="00123FC1">
        <w:rPr>
          <w:rFonts w:ascii="Cambria Math" w:hAnsi="Cambria Math" w:cs="Cambria Math"/>
        </w:rPr>
        <w:t>‑</w:t>
      </w:r>
      <w:r w:rsidRPr="00123FC1">
        <w:rPr>
          <w:rFonts w:ascii="Arial" w:hAnsi="Arial" w:cs="Arial"/>
        </w:rPr>
        <w:t>readable vulnerability status).</w:t>
      </w:r>
    </w:p>
    <w:p w14:paraId="540A0A3B" w14:textId="77777777" w:rsidR="00642C64" w:rsidRPr="00123FC1" w:rsidRDefault="00642C64" w:rsidP="00642C64">
      <w:pPr>
        <w:rPr>
          <w:rFonts w:ascii="Arial" w:hAnsi="Arial" w:cs="Arial"/>
        </w:rPr>
      </w:pPr>
      <w:r w:rsidRPr="00123FC1">
        <w:rPr>
          <w:rFonts w:ascii="Arial" w:hAnsi="Arial" w:cs="Arial"/>
        </w:rPr>
        <w:t>- OWASP Dependency</w:t>
      </w:r>
      <w:r w:rsidRPr="00123FC1">
        <w:rPr>
          <w:rFonts w:ascii="Cambria Math" w:hAnsi="Cambria Math" w:cs="Cambria Math"/>
        </w:rPr>
        <w:t>‑</w:t>
      </w:r>
      <w:r w:rsidRPr="00123FC1">
        <w:rPr>
          <w:rFonts w:ascii="Arial" w:hAnsi="Arial" w:cs="Arial"/>
        </w:rPr>
        <w:t>Track: SBOM ingestion, VEX support, continuous analysis.</w:t>
      </w:r>
    </w:p>
    <w:p w14:paraId="2037578C" w14:textId="77777777" w:rsidR="00642C64" w:rsidRPr="00123FC1" w:rsidRDefault="00642C64" w:rsidP="00642C64">
      <w:pPr>
        <w:rPr>
          <w:rFonts w:ascii="Arial" w:hAnsi="Arial" w:cs="Arial"/>
        </w:rPr>
      </w:pPr>
    </w:p>
    <w:p w14:paraId="1139D0D6" w14:textId="77777777" w:rsidR="00642C64" w:rsidRPr="00123FC1" w:rsidRDefault="00642C64" w:rsidP="00CC325F">
      <w:pPr>
        <w:rPr>
          <w:rFonts w:ascii="Arial" w:hAnsi="Arial" w:cs="Arial"/>
        </w:rPr>
      </w:pPr>
    </w:p>
    <w:p w14:paraId="7398874F" w14:textId="77777777" w:rsidR="00CC325F" w:rsidRPr="00123FC1" w:rsidRDefault="00CC325F" w:rsidP="00CC325F">
      <w:pPr>
        <w:pStyle w:val="Heading1"/>
        <w:rPr>
          <w:rFonts w:ascii="Arial" w:hAnsi="Arial" w:cs="Arial"/>
          <w:sz w:val="22"/>
          <w:szCs w:val="22"/>
        </w:rPr>
      </w:pPr>
      <w:bookmarkStart w:id="38" w:name="_Toc218324675"/>
      <w:r w:rsidRPr="00123FC1">
        <w:rPr>
          <w:rFonts w:ascii="Arial" w:hAnsi="Arial" w:cs="Arial"/>
          <w:sz w:val="22"/>
          <w:szCs w:val="22"/>
        </w:rPr>
        <w:t>Format &amp; Delivery: Set the Enterprise Standard</w:t>
      </w:r>
      <w:bookmarkEnd w:id="38"/>
    </w:p>
    <w:p w14:paraId="3D8BD46A" w14:textId="77777777" w:rsidR="00CC325F" w:rsidRPr="00123FC1" w:rsidRDefault="00CC325F" w:rsidP="00CC325F">
      <w:pPr>
        <w:rPr>
          <w:rFonts w:ascii="Arial" w:hAnsi="Arial" w:cs="Arial"/>
        </w:rPr>
      </w:pPr>
      <w:r w:rsidRPr="00123FC1">
        <w:rPr>
          <w:rFonts w:ascii="Arial" w:hAnsi="Arial" w:cs="Arial"/>
        </w:rPr>
        <w:t>SBOMs must be generated in machine</w:t>
      </w:r>
      <w:r w:rsidRPr="00123FC1">
        <w:rPr>
          <w:rFonts w:ascii="Cambria Math" w:hAnsi="Cambria Math" w:cs="Cambria Math"/>
        </w:rPr>
        <w:t>‑</w:t>
      </w:r>
      <w:r w:rsidRPr="00123FC1">
        <w:rPr>
          <w:rFonts w:ascii="Arial" w:hAnsi="Arial" w:cs="Arial"/>
        </w:rPr>
        <w:t>readable formats—CycloneDX (v1.4+) or SPDX—with JSON serialization. Policies should govern coverage (including declared known</w:t>
      </w:r>
      <w:r w:rsidRPr="00123FC1">
        <w:rPr>
          <w:rFonts w:ascii="Cambria Math" w:hAnsi="Cambria Math" w:cs="Cambria Math"/>
        </w:rPr>
        <w:t>‑</w:t>
      </w:r>
      <w:r w:rsidRPr="00123FC1">
        <w:rPr>
          <w:rFonts w:ascii="Arial" w:hAnsi="Arial" w:cs="Arial"/>
        </w:rPr>
        <w:t>unknowns), freshness (every update/patch), integrity (signing and hash verification), and secure delivery (authenticated portals/APIs). Pair SBOMs with VEX to drive exploitability-aware triage.</w:t>
      </w:r>
    </w:p>
    <w:p w14:paraId="3860C3F2" w14:textId="77777777" w:rsidR="00CC325F" w:rsidRPr="00123FC1" w:rsidRDefault="00CC325F" w:rsidP="00CC325F">
      <w:pPr>
        <w:rPr>
          <w:rFonts w:ascii="Arial" w:hAnsi="Arial" w:cs="Arial"/>
        </w:rPr>
      </w:pPr>
    </w:p>
    <w:p w14:paraId="49ADBE0C" w14:textId="77777777" w:rsidR="00CC325F" w:rsidRPr="00123FC1" w:rsidRDefault="00CC325F">
      <w:pPr>
        <w:pStyle w:val="Heading1"/>
        <w:rPr>
          <w:rFonts w:ascii="Arial" w:hAnsi="Arial" w:cs="Arial"/>
          <w:sz w:val="22"/>
          <w:szCs w:val="22"/>
        </w:rPr>
      </w:pPr>
    </w:p>
    <w:p w14:paraId="671CF59B" w14:textId="271BF0C1" w:rsidR="000254CD" w:rsidRPr="00123FC1" w:rsidRDefault="000254CD">
      <w:pPr>
        <w:pStyle w:val="Heading1"/>
        <w:rPr>
          <w:rFonts w:ascii="Arial" w:hAnsi="Arial" w:cs="Arial"/>
          <w:sz w:val="22"/>
          <w:szCs w:val="22"/>
        </w:rPr>
      </w:pPr>
      <w:bookmarkStart w:id="39" w:name="_Toc218324676"/>
      <w:r w:rsidRPr="00123FC1">
        <w:rPr>
          <w:rFonts w:ascii="Arial" w:hAnsi="Arial" w:cs="Arial"/>
          <w:sz w:val="22"/>
          <w:szCs w:val="22"/>
        </w:rPr>
        <w:t>Who Uses This Model</w:t>
      </w:r>
      <w:bookmarkEnd w:id="39"/>
    </w:p>
    <w:p w14:paraId="0BEEAC4B" w14:textId="1DA169C8" w:rsidR="000254CD" w:rsidRPr="00123FC1" w:rsidRDefault="000254CD" w:rsidP="000254CD">
      <w:pPr>
        <w:rPr>
          <w:rFonts w:ascii="Arial" w:hAnsi="Arial" w:cs="Arial"/>
        </w:rPr>
      </w:pPr>
      <w:r w:rsidRPr="00123FC1">
        <w:rPr>
          <w:rFonts w:ascii="Arial" w:hAnsi="Arial" w:cs="Arial"/>
        </w:rPr>
        <w:t>In practice, governance-driven SBOM programs reduce time-to-decision during vulnerability disclosures by replacing manual reviews with policy-driven gates, enabling faster release approvals while maintaining regulatory compliance.</w:t>
      </w:r>
    </w:p>
    <w:p w14:paraId="37D3AEE4" w14:textId="77777777" w:rsidR="00564D97" w:rsidRPr="00123FC1" w:rsidRDefault="00000000">
      <w:pPr>
        <w:pStyle w:val="Heading1"/>
        <w:rPr>
          <w:rFonts w:ascii="Arial" w:hAnsi="Arial" w:cs="Arial"/>
          <w:sz w:val="22"/>
          <w:szCs w:val="22"/>
        </w:rPr>
      </w:pPr>
      <w:bookmarkStart w:id="40" w:name="_Toc218324677"/>
      <w:r w:rsidRPr="00123FC1">
        <w:rPr>
          <w:rFonts w:ascii="Arial" w:hAnsi="Arial" w:cs="Arial"/>
          <w:sz w:val="22"/>
          <w:szCs w:val="22"/>
        </w:rPr>
        <w:t>Tooling Landscape (Neutral Overview)</w:t>
      </w:r>
      <w:bookmarkEnd w:id="40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64D97" w:rsidRPr="00123FC1" w14:paraId="6C3D403D" w14:textId="77777777">
        <w:tc>
          <w:tcPr>
            <w:tcW w:w="2880" w:type="dxa"/>
          </w:tcPr>
          <w:p w14:paraId="4EE93D5D" w14:textId="77777777" w:rsidR="00564D97" w:rsidRPr="00123FC1" w:rsidRDefault="00000000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Category</w:t>
            </w:r>
          </w:p>
        </w:tc>
        <w:tc>
          <w:tcPr>
            <w:tcW w:w="2880" w:type="dxa"/>
          </w:tcPr>
          <w:p w14:paraId="64E3FF23" w14:textId="77777777" w:rsidR="00564D97" w:rsidRPr="00123FC1" w:rsidRDefault="00000000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Examples</w:t>
            </w:r>
          </w:p>
        </w:tc>
        <w:tc>
          <w:tcPr>
            <w:tcW w:w="2880" w:type="dxa"/>
          </w:tcPr>
          <w:p w14:paraId="19BFC034" w14:textId="77777777" w:rsidR="00564D97" w:rsidRPr="00123FC1" w:rsidRDefault="00000000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Notes</w:t>
            </w:r>
          </w:p>
        </w:tc>
      </w:tr>
      <w:tr w:rsidR="00564D97" w:rsidRPr="00123FC1" w14:paraId="01277D8F" w14:textId="77777777">
        <w:tc>
          <w:tcPr>
            <w:tcW w:w="2880" w:type="dxa"/>
          </w:tcPr>
          <w:p w14:paraId="04D64A97" w14:textId="77777777" w:rsidR="00564D97" w:rsidRPr="00123FC1" w:rsidRDefault="00000000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SBOM Generation</w:t>
            </w:r>
          </w:p>
        </w:tc>
        <w:tc>
          <w:tcPr>
            <w:tcW w:w="2880" w:type="dxa"/>
          </w:tcPr>
          <w:p w14:paraId="2BF84206" w14:textId="77777777" w:rsidR="00564D97" w:rsidRPr="00123FC1" w:rsidRDefault="00000000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Syft; CycloneDX CLI; SPDX tools</w:t>
            </w:r>
          </w:p>
        </w:tc>
        <w:tc>
          <w:tcPr>
            <w:tcW w:w="2880" w:type="dxa"/>
          </w:tcPr>
          <w:p w14:paraId="6E099860" w14:textId="77777777" w:rsidR="00564D97" w:rsidRPr="00123FC1" w:rsidRDefault="00000000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Run at build; capture resolved versions</w:t>
            </w:r>
          </w:p>
        </w:tc>
      </w:tr>
      <w:tr w:rsidR="00564D97" w:rsidRPr="00123FC1" w14:paraId="1F079B0F" w14:textId="77777777">
        <w:tc>
          <w:tcPr>
            <w:tcW w:w="2880" w:type="dxa"/>
          </w:tcPr>
          <w:p w14:paraId="630892F7" w14:textId="77777777" w:rsidR="00564D97" w:rsidRPr="00123FC1" w:rsidRDefault="00000000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SCA &amp; Vulnerability Intelligence</w:t>
            </w:r>
          </w:p>
        </w:tc>
        <w:tc>
          <w:tcPr>
            <w:tcW w:w="2880" w:type="dxa"/>
          </w:tcPr>
          <w:p w14:paraId="5AFAFA87" w14:textId="77777777" w:rsidR="00564D97" w:rsidRPr="00123FC1" w:rsidRDefault="00000000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BlackDuck; CodeInsight; Snyk; Grype; OSS Index; GitHub Advisories</w:t>
            </w:r>
          </w:p>
        </w:tc>
        <w:tc>
          <w:tcPr>
            <w:tcW w:w="2880" w:type="dxa"/>
          </w:tcPr>
          <w:p w14:paraId="6969E874" w14:textId="77777777" w:rsidR="00564D97" w:rsidRPr="00123FC1" w:rsidRDefault="00000000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Enrich SBOM with CVEs and metadata</w:t>
            </w:r>
          </w:p>
        </w:tc>
      </w:tr>
      <w:tr w:rsidR="00564D97" w:rsidRPr="00123FC1" w14:paraId="79F44044" w14:textId="77777777">
        <w:tc>
          <w:tcPr>
            <w:tcW w:w="2880" w:type="dxa"/>
          </w:tcPr>
          <w:p w14:paraId="01D45E07" w14:textId="77777777" w:rsidR="00564D97" w:rsidRPr="00123FC1" w:rsidRDefault="00000000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SBOM Orchestration</w:t>
            </w:r>
          </w:p>
        </w:tc>
        <w:tc>
          <w:tcPr>
            <w:tcW w:w="2880" w:type="dxa"/>
          </w:tcPr>
          <w:p w14:paraId="4B27E246" w14:textId="77777777" w:rsidR="00564D97" w:rsidRPr="00123FC1" w:rsidRDefault="00000000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OWASP Dependency</w:t>
            </w:r>
            <w:r w:rsidRPr="00123FC1">
              <w:rPr>
                <w:rFonts w:ascii="Cambria Math" w:hAnsi="Cambria Math" w:cs="Cambria Math"/>
              </w:rPr>
              <w:t>‑</w:t>
            </w:r>
            <w:r w:rsidRPr="00123FC1">
              <w:rPr>
                <w:rFonts w:ascii="Arial" w:hAnsi="Arial" w:cs="Arial"/>
              </w:rPr>
              <w:t>Track</w:t>
            </w:r>
          </w:p>
        </w:tc>
        <w:tc>
          <w:tcPr>
            <w:tcW w:w="2880" w:type="dxa"/>
          </w:tcPr>
          <w:p w14:paraId="542065F5" w14:textId="77777777" w:rsidR="00564D97" w:rsidRPr="00123FC1" w:rsidRDefault="00000000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Ingest, correlate, monitor; supports VEX</w:t>
            </w:r>
          </w:p>
        </w:tc>
      </w:tr>
      <w:tr w:rsidR="00564D97" w:rsidRPr="00123FC1" w14:paraId="4150B72F" w14:textId="77777777">
        <w:tc>
          <w:tcPr>
            <w:tcW w:w="2880" w:type="dxa"/>
          </w:tcPr>
          <w:p w14:paraId="2A526FDC" w14:textId="77777777" w:rsidR="00564D97" w:rsidRPr="00123FC1" w:rsidRDefault="00000000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Signing/Attestation</w:t>
            </w:r>
          </w:p>
        </w:tc>
        <w:tc>
          <w:tcPr>
            <w:tcW w:w="2880" w:type="dxa"/>
          </w:tcPr>
          <w:p w14:paraId="379A07D7" w14:textId="77777777" w:rsidR="00564D97" w:rsidRPr="00123FC1" w:rsidRDefault="00000000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Sigstore/Cosign; in</w:t>
            </w:r>
            <w:r w:rsidRPr="00123FC1">
              <w:rPr>
                <w:rFonts w:ascii="Cambria Math" w:hAnsi="Cambria Math" w:cs="Cambria Math"/>
              </w:rPr>
              <w:t>‑</w:t>
            </w:r>
            <w:r w:rsidRPr="00123FC1">
              <w:rPr>
                <w:rFonts w:ascii="Arial" w:hAnsi="Arial" w:cs="Arial"/>
              </w:rPr>
              <w:t>toto</w:t>
            </w:r>
          </w:p>
        </w:tc>
        <w:tc>
          <w:tcPr>
            <w:tcW w:w="2880" w:type="dxa"/>
          </w:tcPr>
          <w:p w14:paraId="2B2B906F" w14:textId="77777777" w:rsidR="00564D97" w:rsidRPr="00123FC1" w:rsidRDefault="00000000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Bind SBOM to artifact; verify integrity</w:t>
            </w:r>
          </w:p>
        </w:tc>
      </w:tr>
      <w:tr w:rsidR="00564D97" w:rsidRPr="00123FC1" w14:paraId="3FC453AB" w14:textId="77777777">
        <w:tc>
          <w:tcPr>
            <w:tcW w:w="2880" w:type="dxa"/>
          </w:tcPr>
          <w:p w14:paraId="50905D24" w14:textId="77777777" w:rsidR="00564D97" w:rsidRPr="00123FC1" w:rsidRDefault="00000000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CI/CD Integration</w:t>
            </w:r>
          </w:p>
        </w:tc>
        <w:tc>
          <w:tcPr>
            <w:tcW w:w="2880" w:type="dxa"/>
          </w:tcPr>
          <w:p w14:paraId="4D520A77" w14:textId="77777777" w:rsidR="00564D97" w:rsidRPr="00123FC1" w:rsidRDefault="00000000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GitHub Actions; GitLab; Jenkins</w:t>
            </w:r>
          </w:p>
        </w:tc>
        <w:tc>
          <w:tcPr>
            <w:tcW w:w="2880" w:type="dxa"/>
          </w:tcPr>
          <w:p w14:paraId="5F684FA5" w14:textId="77777777" w:rsidR="00564D97" w:rsidRPr="00123FC1" w:rsidRDefault="00000000">
            <w:pPr>
              <w:rPr>
                <w:rFonts w:ascii="Arial" w:hAnsi="Arial" w:cs="Arial"/>
              </w:rPr>
            </w:pPr>
            <w:r w:rsidRPr="00123FC1">
              <w:rPr>
                <w:rFonts w:ascii="Arial" w:hAnsi="Arial" w:cs="Arial"/>
              </w:rPr>
              <w:t>Automate generation, validation, delivery</w:t>
            </w:r>
          </w:p>
        </w:tc>
      </w:tr>
    </w:tbl>
    <w:p w14:paraId="7D7FB73D" w14:textId="77777777" w:rsidR="00762256" w:rsidRPr="00123FC1" w:rsidRDefault="00762256">
      <w:pPr>
        <w:pStyle w:val="Heading1"/>
        <w:rPr>
          <w:rFonts w:ascii="Arial" w:hAnsi="Arial" w:cs="Arial"/>
          <w:sz w:val="22"/>
          <w:szCs w:val="22"/>
        </w:rPr>
      </w:pPr>
    </w:p>
    <w:p w14:paraId="598C2DB7" w14:textId="77777777" w:rsidR="004B1C20" w:rsidRPr="004B1C20" w:rsidRDefault="004B1C20" w:rsidP="004B1C20">
      <w:pPr>
        <w:pStyle w:val="Heading1"/>
        <w:rPr>
          <w:rFonts w:ascii="Arial" w:hAnsi="Arial" w:cs="Arial"/>
          <w:color w:val="auto"/>
          <w:sz w:val="22"/>
          <w:szCs w:val="22"/>
        </w:rPr>
      </w:pPr>
      <w:r w:rsidRPr="004B1C20">
        <w:rPr>
          <w:rFonts w:ascii="Arial" w:hAnsi="Arial" w:cs="Arial"/>
          <w:color w:val="auto"/>
          <w:sz w:val="22"/>
          <w:szCs w:val="22"/>
        </w:rPr>
        <w:t>PUBLIC DOMAIN DEDICATION (CC0 1.0)</w:t>
      </w:r>
    </w:p>
    <w:p w14:paraId="71C2AE27" w14:textId="77777777" w:rsidR="004B1C20" w:rsidRPr="004B1C20" w:rsidRDefault="004B1C20" w:rsidP="004B1C20">
      <w:pPr>
        <w:pStyle w:val="Heading1"/>
        <w:rPr>
          <w:rFonts w:ascii="Arial" w:hAnsi="Arial" w:cs="Arial"/>
          <w:color w:val="auto"/>
          <w:sz w:val="22"/>
          <w:szCs w:val="22"/>
        </w:rPr>
      </w:pPr>
    </w:p>
    <w:p w14:paraId="54A004DA" w14:textId="77777777" w:rsidR="004B1C20" w:rsidRPr="004B1C20" w:rsidRDefault="004B1C20" w:rsidP="004B1C20">
      <w:pPr>
        <w:pStyle w:val="Heading1"/>
        <w:rPr>
          <w:rFonts w:ascii="Arial" w:hAnsi="Arial" w:cs="Arial"/>
          <w:color w:val="auto"/>
          <w:sz w:val="22"/>
          <w:szCs w:val="22"/>
        </w:rPr>
      </w:pPr>
      <w:r w:rsidRPr="004B1C20">
        <w:rPr>
          <w:rFonts w:ascii="Arial" w:hAnsi="Arial" w:cs="Arial"/>
          <w:color w:val="auto"/>
          <w:sz w:val="22"/>
          <w:szCs w:val="22"/>
        </w:rPr>
        <w:t xml:space="preserve">To the extent possible under law, the author has dedicated this Software Bill of Materials (SBOM) </w:t>
      </w:r>
    </w:p>
    <w:p w14:paraId="19E7149C" w14:textId="77777777" w:rsidR="004B1C20" w:rsidRPr="004B1C20" w:rsidRDefault="004B1C20" w:rsidP="004B1C20">
      <w:pPr>
        <w:pStyle w:val="Heading1"/>
        <w:rPr>
          <w:rFonts w:ascii="Arial" w:hAnsi="Arial" w:cs="Arial"/>
          <w:color w:val="auto"/>
          <w:sz w:val="22"/>
          <w:szCs w:val="22"/>
        </w:rPr>
      </w:pPr>
      <w:r w:rsidRPr="004B1C20">
        <w:rPr>
          <w:rFonts w:ascii="Arial" w:hAnsi="Arial" w:cs="Arial"/>
          <w:color w:val="auto"/>
          <w:sz w:val="22"/>
          <w:szCs w:val="22"/>
        </w:rPr>
        <w:t xml:space="preserve">work to the public domain under the Creative Commons CC0 1.0 Universal dedication. </w:t>
      </w:r>
    </w:p>
    <w:p w14:paraId="510E7059" w14:textId="77777777" w:rsidR="004B1C20" w:rsidRPr="004B1C20" w:rsidRDefault="004B1C20" w:rsidP="004B1C20">
      <w:pPr>
        <w:pStyle w:val="Heading1"/>
        <w:rPr>
          <w:rFonts w:ascii="Arial" w:hAnsi="Arial" w:cs="Arial"/>
          <w:color w:val="auto"/>
          <w:sz w:val="22"/>
          <w:szCs w:val="22"/>
        </w:rPr>
      </w:pPr>
    </w:p>
    <w:p w14:paraId="31F8F1B5" w14:textId="77777777" w:rsidR="004B1C20" w:rsidRPr="004B1C20" w:rsidRDefault="004B1C20" w:rsidP="004B1C20">
      <w:pPr>
        <w:pStyle w:val="Heading1"/>
        <w:rPr>
          <w:rFonts w:ascii="Arial" w:hAnsi="Arial" w:cs="Arial"/>
          <w:color w:val="auto"/>
          <w:sz w:val="22"/>
          <w:szCs w:val="22"/>
        </w:rPr>
      </w:pPr>
      <w:r w:rsidRPr="004B1C20">
        <w:rPr>
          <w:rFonts w:ascii="Arial" w:hAnsi="Arial" w:cs="Arial"/>
          <w:color w:val="auto"/>
          <w:sz w:val="22"/>
          <w:szCs w:val="22"/>
        </w:rPr>
        <w:t xml:space="preserve">You may copy, modify, distribute, and use this SBOM, even for commercial purposes, </w:t>
      </w:r>
    </w:p>
    <w:p w14:paraId="365D6B65" w14:textId="77777777" w:rsidR="004B1C20" w:rsidRPr="004B1C20" w:rsidRDefault="004B1C20" w:rsidP="004B1C20">
      <w:pPr>
        <w:pStyle w:val="Heading1"/>
        <w:rPr>
          <w:rFonts w:ascii="Arial" w:hAnsi="Arial" w:cs="Arial"/>
          <w:color w:val="auto"/>
          <w:sz w:val="22"/>
          <w:szCs w:val="22"/>
        </w:rPr>
      </w:pPr>
      <w:r w:rsidRPr="004B1C20">
        <w:rPr>
          <w:rFonts w:ascii="Arial" w:hAnsi="Arial" w:cs="Arial"/>
          <w:color w:val="auto"/>
          <w:sz w:val="22"/>
          <w:szCs w:val="22"/>
        </w:rPr>
        <w:t>without asking permission.</w:t>
      </w:r>
    </w:p>
    <w:p w14:paraId="17314BE9" w14:textId="77777777" w:rsidR="004B1C20" w:rsidRPr="004B1C20" w:rsidRDefault="004B1C20" w:rsidP="004B1C20">
      <w:pPr>
        <w:pStyle w:val="Heading1"/>
        <w:rPr>
          <w:rFonts w:ascii="Arial" w:hAnsi="Arial" w:cs="Arial"/>
          <w:color w:val="auto"/>
          <w:sz w:val="22"/>
          <w:szCs w:val="22"/>
        </w:rPr>
      </w:pPr>
      <w:r w:rsidRPr="004B1C20">
        <w:rPr>
          <w:rFonts w:ascii="Arial" w:hAnsi="Arial" w:cs="Arial"/>
          <w:color w:val="auto"/>
          <w:sz w:val="22"/>
          <w:szCs w:val="22"/>
        </w:rPr>
        <w:t>Author: Devashri Datta</w:t>
      </w:r>
    </w:p>
    <w:p w14:paraId="5939E2F7" w14:textId="77777777" w:rsidR="004B1C20" w:rsidRPr="004B1C20" w:rsidRDefault="004B1C20" w:rsidP="004B1C20">
      <w:pPr>
        <w:pStyle w:val="Heading1"/>
        <w:rPr>
          <w:rFonts w:ascii="Arial" w:hAnsi="Arial" w:cs="Arial"/>
          <w:color w:val="auto"/>
          <w:sz w:val="22"/>
          <w:szCs w:val="22"/>
        </w:rPr>
      </w:pPr>
      <w:r w:rsidRPr="004B1C20">
        <w:rPr>
          <w:rFonts w:ascii="Arial" w:hAnsi="Arial" w:cs="Arial"/>
          <w:color w:val="auto"/>
          <w:sz w:val="22"/>
          <w:szCs w:val="22"/>
        </w:rPr>
        <w:t>More information: https://creativecommons.org/publicdomain/zero/1.0/</w:t>
      </w:r>
    </w:p>
    <w:p w14:paraId="1945D5B8" w14:textId="47988B00" w:rsidR="00407776" w:rsidRPr="00123FC1" w:rsidRDefault="00407776" w:rsidP="000254CD">
      <w:pPr>
        <w:rPr>
          <w:rFonts w:ascii="Arial" w:hAnsi="Arial" w:cs="Arial"/>
        </w:rPr>
      </w:pPr>
    </w:p>
    <w:sectPr w:rsidR="00407776" w:rsidRPr="00123FC1" w:rsidSect="004C4DF7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8F9C1" w14:textId="77777777" w:rsidR="00D11923" w:rsidRDefault="00D11923" w:rsidP="00605C34">
      <w:pPr>
        <w:spacing w:after="0" w:line="240" w:lineRule="auto"/>
      </w:pPr>
      <w:r>
        <w:separator/>
      </w:r>
    </w:p>
  </w:endnote>
  <w:endnote w:type="continuationSeparator" w:id="0">
    <w:p w14:paraId="0211FE25" w14:textId="77777777" w:rsidR="00D11923" w:rsidRDefault="00D11923" w:rsidP="00605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7E211" w14:textId="77777777" w:rsidR="00D11923" w:rsidRDefault="00D11923" w:rsidP="00605C34">
      <w:pPr>
        <w:spacing w:after="0" w:line="240" w:lineRule="auto"/>
      </w:pPr>
      <w:r>
        <w:separator/>
      </w:r>
    </w:p>
  </w:footnote>
  <w:footnote w:type="continuationSeparator" w:id="0">
    <w:p w14:paraId="312989D6" w14:textId="77777777" w:rsidR="00D11923" w:rsidRDefault="00D11923" w:rsidP="00605C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82442B"/>
    <w:multiLevelType w:val="multilevel"/>
    <w:tmpl w:val="F37E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B2B3C"/>
    <w:multiLevelType w:val="multilevel"/>
    <w:tmpl w:val="B50C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0039C"/>
    <w:multiLevelType w:val="multilevel"/>
    <w:tmpl w:val="2806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36C07"/>
    <w:multiLevelType w:val="hybridMultilevel"/>
    <w:tmpl w:val="5308B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057D56"/>
    <w:multiLevelType w:val="multilevel"/>
    <w:tmpl w:val="3AA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042295"/>
    <w:multiLevelType w:val="multilevel"/>
    <w:tmpl w:val="A7F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2B69CC"/>
    <w:multiLevelType w:val="multilevel"/>
    <w:tmpl w:val="ED3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D6256"/>
    <w:multiLevelType w:val="multilevel"/>
    <w:tmpl w:val="984C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1A522A"/>
    <w:multiLevelType w:val="hybridMultilevel"/>
    <w:tmpl w:val="CF8EF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9E2C77"/>
    <w:multiLevelType w:val="multilevel"/>
    <w:tmpl w:val="2EA0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D917D7"/>
    <w:multiLevelType w:val="multilevel"/>
    <w:tmpl w:val="8DF2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C56E9"/>
    <w:multiLevelType w:val="multilevel"/>
    <w:tmpl w:val="D39E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31DE8"/>
    <w:multiLevelType w:val="multilevel"/>
    <w:tmpl w:val="1110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3109D6"/>
    <w:multiLevelType w:val="multilevel"/>
    <w:tmpl w:val="F340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5092C"/>
    <w:multiLevelType w:val="multilevel"/>
    <w:tmpl w:val="0DC2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26151F"/>
    <w:multiLevelType w:val="multilevel"/>
    <w:tmpl w:val="FECC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14B0C"/>
    <w:multiLevelType w:val="multilevel"/>
    <w:tmpl w:val="8BFA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3E55EE"/>
    <w:multiLevelType w:val="multilevel"/>
    <w:tmpl w:val="9112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90D28"/>
    <w:multiLevelType w:val="hybridMultilevel"/>
    <w:tmpl w:val="C638D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2D4781"/>
    <w:multiLevelType w:val="hybridMultilevel"/>
    <w:tmpl w:val="DAA0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693BEF"/>
    <w:multiLevelType w:val="multilevel"/>
    <w:tmpl w:val="1C70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174FF0"/>
    <w:multiLevelType w:val="multilevel"/>
    <w:tmpl w:val="BE0C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542F1"/>
    <w:multiLevelType w:val="multilevel"/>
    <w:tmpl w:val="A70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C0398"/>
    <w:multiLevelType w:val="multilevel"/>
    <w:tmpl w:val="05A2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35336B"/>
    <w:multiLevelType w:val="multilevel"/>
    <w:tmpl w:val="9AD6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3A1245"/>
    <w:multiLevelType w:val="multilevel"/>
    <w:tmpl w:val="185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923ADE"/>
    <w:multiLevelType w:val="multilevel"/>
    <w:tmpl w:val="4CA0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80660">
    <w:abstractNumId w:val="8"/>
  </w:num>
  <w:num w:numId="2" w16cid:durableId="784227600">
    <w:abstractNumId w:val="6"/>
  </w:num>
  <w:num w:numId="3" w16cid:durableId="317731679">
    <w:abstractNumId w:val="5"/>
  </w:num>
  <w:num w:numId="4" w16cid:durableId="303170087">
    <w:abstractNumId w:val="4"/>
  </w:num>
  <w:num w:numId="5" w16cid:durableId="1631085201">
    <w:abstractNumId w:val="7"/>
  </w:num>
  <w:num w:numId="6" w16cid:durableId="194318721">
    <w:abstractNumId w:val="3"/>
  </w:num>
  <w:num w:numId="7" w16cid:durableId="1666778971">
    <w:abstractNumId w:val="2"/>
  </w:num>
  <w:num w:numId="8" w16cid:durableId="1263368891">
    <w:abstractNumId w:val="1"/>
  </w:num>
  <w:num w:numId="9" w16cid:durableId="1328167704">
    <w:abstractNumId w:val="0"/>
  </w:num>
  <w:num w:numId="10" w16cid:durableId="2123451335">
    <w:abstractNumId w:val="27"/>
  </w:num>
  <w:num w:numId="11" w16cid:durableId="1221402262">
    <w:abstractNumId w:val="12"/>
  </w:num>
  <w:num w:numId="12" w16cid:durableId="656684998">
    <w:abstractNumId w:val="28"/>
  </w:num>
  <w:num w:numId="13" w16cid:durableId="42020208">
    <w:abstractNumId w:val="20"/>
  </w:num>
  <w:num w:numId="14" w16cid:durableId="779567265">
    <w:abstractNumId w:val="35"/>
  </w:num>
  <w:num w:numId="15" w16cid:durableId="790830207">
    <w:abstractNumId w:val="13"/>
  </w:num>
  <w:num w:numId="16" w16cid:durableId="1629705536">
    <w:abstractNumId w:val="33"/>
  </w:num>
  <w:num w:numId="17" w16cid:durableId="1339575319">
    <w:abstractNumId w:val="32"/>
  </w:num>
  <w:num w:numId="18" w16cid:durableId="429276455">
    <w:abstractNumId w:val="25"/>
  </w:num>
  <w:num w:numId="19" w16cid:durableId="1462308267">
    <w:abstractNumId w:val="15"/>
  </w:num>
  <w:num w:numId="20" w16cid:durableId="1612710565">
    <w:abstractNumId w:val="10"/>
  </w:num>
  <w:num w:numId="21" w16cid:durableId="1715042109">
    <w:abstractNumId w:val="19"/>
  </w:num>
  <w:num w:numId="22" w16cid:durableId="1454900826">
    <w:abstractNumId w:val="18"/>
  </w:num>
  <w:num w:numId="23" w16cid:durableId="194059969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2304843">
    <w:abstractNumId w:val="9"/>
  </w:num>
  <w:num w:numId="25" w16cid:durableId="1350334034">
    <w:abstractNumId w:val="11"/>
  </w:num>
  <w:num w:numId="26" w16cid:durableId="829754495">
    <w:abstractNumId w:val="17"/>
  </w:num>
  <w:num w:numId="27" w16cid:durableId="294721828">
    <w:abstractNumId w:val="34"/>
  </w:num>
  <w:num w:numId="28" w16cid:durableId="1724669241">
    <w:abstractNumId w:val="22"/>
  </w:num>
  <w:num w:numId="29" w16cid:durableId="766535684">
    <w:abstractNumId w:val="16"/>
  </w:num>
  <w:num w:numId="30" w16cid:durableId="74909380">
    <w:abstractNumId w:val="31"/>
  </w:num>
  <w:num w:numId="31" w16cid:durableId="354118714">
    <w:abstractNumId w:val="24"/>
  </w:num>
  <w:num w:numId="32" w16cid:durableId="1473717516">
    <w:abstractNumId w:val="23"/>
  </w:num>
  <w:num w:numId="33" w16cid:durableId="1968777645">
    <w:abstractNumId w:val="29"/>
  </w:num>
  <w:num w:numId="34" w16cid:durableId="2047871722">
    <w:abstractNumId w:val="14"/>
  </w:num>
  <w:num w:numId="35" w16cid:durableId="1237745084">
    <w:abstractNumId w:val="26"/>
  </w:num>
  <w:num w:numId="36" w16cid:durableId="42476372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D31"/>
    <w:rsid w:val="000254CD"/>
    <w:rsid w:val="00034616"/>
    <w:rsid w:val="0006063C"/>
    <w:rsid w:val="00123FC1"/>
    <w:rsid w:val="0015074B"/>
    <w:rsid w:val="002054F6"/>
    <w:rsid w:val="00231403"/>
    <w:rsid w:val="0029639D"/>
    <w:rsid w:val="002C5AB2"/>
    <w:rsid w:val="002F195B"/>
    <w:rsid w:val="002F1F1E"/>
    <w:rsid w:val="00326F90"/>
    <w:rsid w:val="00372E60"/>
    <w:rsid w:val="0038465D"/>
    <w:rsid w:val="003D047E"/>
    <w:rsid w:val="004051B2"/>
    <w:rsid w:val="00407776"/>
    <w:rsid w:val="00485D9C"/>
    <w:rsid w:val="0048608C"/>
    <w:rsid w:val="004A036E"/>
    <w:rsid w:val="004B1C20"/>
    <w:rsid w:val="004C4DF7"/>
    <w:rsid w:val="00564D97"/>
    <w:rsid w:val="00565A5C"/>
    <w:rsid w:val="005857DC"/>
    <w:rsid w:val="005F41D3"/>
    <w:rsid w:val="00605C34"/>
    <w:rsid w:val="00642C64"/>
    <w:rsid w:val="00675100"/>
    <w:rsid w:val="006D5E23"/>
    <w:rsid w:val="00762256"/>
    <w:rsid w:val="00805A11"/>
    <w:rsid w:val="00872D3F"/>
    <w:rsid w:val="008A3C3D"/>
    <w:rsid w:val="008E2076"/>
    <w:rsid w:val="0091025B"/>
    <w:rsid w:val="00916A27"/>
    <w:rsid w:val="00922797"/>
    <w:rsid w:val="00935ED1"/>
    <w:rsid w:val="00974AA1"/>
    <w:rsid w:val="00983AE6"/>
    <w:rsid w:val="009B0300"/>
    <w:rsid w:val="009C233D"/>
    <w:rsid w:val="00AA1D8D"/>
    <w:rsid w:val="00AF53BB"/>
    <w:rsid w:val="00AF63B5"/>
    <w:rsid w:val="00B47730"/>
    <w:rsid w:val="00B51B01"/>
    <w:rsid w:val="00B66BFC"/>
    <w:rsid w:val="00BB50EE"/>
    <w:rsid w:val="00BB6933"/>
    <w:rsid w:val="00BC4936"/>
    <w:rsid w:val="00C87D2D"/>
    <w:rsid w:val="00CB0664"/>
    <w:rsid w:val="00CC325F"/>
    <w:rsid w:val="00D11923"/>
    <w:rsid w:val="00DB64BF"/>
    <w:rsid w:val="00E94FFA"/>
    <w:rsid w:val="00EA2BD6"/>
    <w:rsid w:val="00EC0240"/>
    <w:rsid w:val="00EF4922"/>
    <w:rsid w:val="00FB77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F3DA5"/>
  <w14:defaultImageDpi w14:val="330"/>
  <w15:docId w15:val="{2AB13784-713B-4EE0-9FF7-8C38F2B6E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24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C024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4C4DF7"/>
  </w:style>
  <w:style w:type="paragraph" w:styleId="Index1">
    <w:name w:val="index 1"/>
    <w:basedOn w:val="Normal"/>
    <w:next w:val="Normal"/>
    <w:autoRedefine/>
    <w:uiPriority w:val="99"/>
    <w:unhideWhenUsed/>
    <w:rsid w:val="00935ED1"/>
    <w:pPr>
      <w:spacing w:after="0"/>
      <w:ind w:left="220" w:hanging="220"/>
    </w:pPr>
    <w:rPr>
      <w:rFonts w:asciiTheme="minorHAnsi" w:hAnsi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935ED1"/>
    <w:pPr>
      <w:spacing w:after="0"/>
      <w:ind w:left="440" w:hanging="220"/>
    </w:pPr>
    <w:rPr>
      <w:rFonts w:asciiTheme="minorHAnsi" w:hAnsi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935ED1"/>
    <w:pPr>
      <w:spacing w:after="0"/>
      <w:ind w:left="660" w:hanging="220"/>
    </w:pPr>
    <w:rPr>
      <w:rFonts w:asciiTheme="minorHAnsi" w:hAnsi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935ED1"/>
    <w:pPr>
      <w:spacing w:after="0"/>
      <w:ind w:left="880" w:hanging="220"/>
    </w:pPr>
    <w:rPr>
      <w:rFonts w:asciiTheme="minorHAnsi" w:hAnsi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935ED1"/>
    <w:pPr>
      <w:spacing w:after="0"/>
      <w:ind w:left="1100" w:hanging="220"/>
    </w:pPr>
    <w:rPr>
      <w:rFonts w:asciiTheme="minorHAnsi" w:hAnsi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935ED1"/>
    <w:pPr>
      <w:spacing w:after="0"/>
      <w:ind w:left="1320" w:hanging="220"/>
    </w:pPr>
    <w:rPr>
      <w:rFonts w:asciiTheme="minorHAnsi" w:hAnsi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935ED1"/>
    <w:pPr>
      <w:spacing w:after="0"/>
      <w:ind w:left="1540" w:hanging="220"/>
    </w:pPr>
    <w:rPr>
      <w:rFonts w:asciiTheme="minorHAnsi" w:hAnsi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935ED1"/>
    <w:pPr>
      <w:spacing w:after="0"/>
      <w:ind w:left="1760" w:hanging="220"/>
    </w:pPr>
    <w:rPr>
      <w:rFonts w:asciiTheme="minorHAnsi" w:hAnsi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935ED1"/>
    <w:pPr>
      <w:spacing w:after="0"/>
      <w:ind w:left="1980" w:hanging="220"/>
    </w:pPr>
    <w:rPr>
      <w:rFonts w:asciiTheme="minorHAnsi" w:hAnsi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935ED1"/>
    <w:pPr>
      <w:spacing w:before="240" w:after="120"/>
      <w:jc w:val="center"/>
    </w:pPr>
    <w:rPr>
      <w:rFonts w:asciiTheme="minorHAnsi" w:hAnsiTheme="minorHAnsi"/>
      <w:b/>
      <w:bCs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935ED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35ED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35ED1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C024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23</Pages>
  <Words>3316</Words>
  <Characters>22981</Characters>
  <Application>Microsoft Office Word</Application>
  <DocSecurity>0</DocSecurity>
  <Lines>741</Lines>
  <Paragraphs>536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Enterprise SBOM Governance at Scale: Lessons from AI &amp; Automotive</vt:lpstr>
    </vt:vector>
  </TitlesOfParts>
  <Manager/>
  <Company/>
  <LinksUpToDate>false</LinksUpToDate>
  <CharactersWithSpaces>25761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SBOM Governance at Scale: Lessons from AI &amp; Automotive</dc:title>
  <dc:subject>By Devashri Datta</dc:subject>
  <dc:creator>python-docx</dc:creator>
  <cp:keywords/>
  <dc:description>generated by python-docx</dc:description>
  <cp:lastModifiedBy>Devashri Datta</cp:lastModifiedBy>
  <cp:revision>13</cp:revision>
  <dcterms:created xsi:type="dcterms:W3CDTF">2013-12-23T23:15:00Z</dcterms:created>
  <dcterms:modified xsi:type="dcterms:W3CDTF">2026-01-03T20:31:00Z</dcterms:modified>
  <cp:category/>
</cp:coreProperties>
</file>