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66AA"/>
          <w:sz w:val="56"/>
        </w:rPr>
        <w:t>API REFERENCE</w:t>
      </w:r>
    </w:p>
    <w:p>
      <w:r>
        <w:rPr>
          <w:rFonts w:ascii="Consolas" w:hAnsi="Consolas"/>
          <w:sz w:val="20"/>
        </w:rPr>
        <w:t>Base URL: https://api.example.com/v1</w:t>
      </w:r>
    </w:p>
    <w:p/>
    <w:p>
      <w:pPr>
        <w:pStyle w:val="Heading1"/>
      </w:pPr>
      <w:r>
        <w:t>Authentication</w:t>
      </w:r>
    </w:p>
    <w:p>
      <w:r>
        <w:t>All API requests require a Bearer token in the Authorization header.</w:t>
      </w:r>
    </w:p>
    <w:p>
      <w:pPr/>
      <w:r>
        <w:rPr>
          <w:rFonts w:ascii="Consolas" w:hAnsi="Consolas"/>
          <w:b/>
          <w:color w:val="0066AA"/>
          <w:sz w:val="20"/>
        </w:rPr>
        <w:t>GET /users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66AA"/>
          <w:left w:val="single" w:sz="4" w:space="0" w:color="0066AA"/>
          <w:bottom w:val="single" w:sz="4" w:space="0" w:color="0066AA"/>
          <w:right w:val="single" w:sz="4" w:space="0" w:color="0066AA"/>
          <w:insideH w:val="single" w:sz="4" w:space="0" w:color="0066AA"/>
          <w:insideV w:val="single" w:sz="4" w:space="0" w:color="0066A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66AA" w:val="clear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0066AA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0066AA" w:val="clear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40"/>
            <w:shd w:fill="0066AA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6"/>
              </w:rPr>
              <w:t>page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6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6"/>
              </w:rPr>
              <w:t>Page number (default: 1)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6"/>
              </w:rPr>
              <w:t>limit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6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6"/>
              </w:rPr>
              <w:t>Results per page (default: 20)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API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onsolas" w:hAnsi="Consolas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6A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6A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66AA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66AA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0066A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0066AA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