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6"/>
        </w:rPr>
        <w:br/>
        <w:br/>
        <w:br/>
        <w:br/>
        <w:br/>
        <w:t>PROFESSIONAL REPORT</w:t>
        <w:br/>
        <w:br/>
      </w:r>
      <w:r>
        <w:rPr>
          <w:color w:val="555555"/>
          <w:sz w:val="24"/>
        </w:rPr>
        <w:t>Prepared by: [Your Name]</w:t>
        <w:br/>
        <w:t>Date: June 2026</w:t>
        <w:br/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80"/>
      </w:pPr>
      <w:r>
        <w:t>1. Executive Summary</w:t>
      </w:r>
    </w:p>
    <w:p>
      <w:pPr>
        <w:spacing w:after="80"/>
      </w:pPr>
      <w:r>
        <w:t>2. Background</w:t>
      </w:r>
    </w:p>
    <w:p>
      <w:pPr>
        <w:spacing w:after="80"/>
      </w:pPr>
      <w:r>
        <w:t>3. Analysis</w:t>
      </w:r>
    </w:p>
    <w:p>
      <w:pPr>
        <w:spacing w:after="80"/>
      </w:pPr>
      <w:r>
        <w:t>4. Recommendations</w:t>
      </w:r>
    </w:p>
    <w:p>
      <w:pPr>
        <w:spacing w:after="80"/>
      </w:pPr>
      <w:r>
        <w:t>5. Conclusion</w:t>
      </w:r>
    </w:p>
    <w:p>
      <w:pPr>
        <w:pStyle w:val="Heading1"/>
      </w:pPr>
      <w:r>
        <w:t>Executive Summary</w:t>
      </w:r>
    </w:p>
    <w:p>
      <w:r>
        <w:t>This report presents a comprehensive analysis of the current business landscape and provides strategic recommendations for the next fiscal year.</w:t>
      </w:r>
    </w:p>
    <w:p>
      <w:pPr>
        <w:pStyle w:val="Heading1"/>
      </w:pPr>
      <w:r>
        <w:t>Analysis</w:t>
      </w:r>
    </w:p>
    <w:p>
      <w:r>
        <w:t>The findings are based on extensive market research, stakeholder interviews, and financial data analysis.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1A1A2E"/>
          <w:left w:val="single" w:sz="4" w:space="0" w:color="1A1A2E"/>
          <w:bottom w:val="single" w:sz="4" w:space="0" w:color="1A1A2E"/>
          <w:right w:val="single" w:sz="4" w:space="0" w:color="1A1A2E"/>
          <w:insideH w:val="single" w:sz="4" w:space="0" w:color="1A1A2E"/>
          <w:insideV w:val="single" w:sz="4" w:space="0" w:color="1A1A2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1A2E" w:val="clear"/>
          </w:tcPr>
          <w:p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872"/>
            <w:shd w:fill="1A1A2E" w:val="clear"/>
          </w:tcPr>
          <w:p>
            <w:r/>
            <w:r>
              <w:rPr>
                <w:b/>
                <w:color w:val="FFFFFF"/>
                <w:sz w:val="18"/>
              </w:rPr>
              <w:t>Q1</w:t>
            </w:r>
          </w:p>
        </w:tc>
        <w:tc>
          <w:tcPr>
            <w:tcW w:type="dxa" w:w="1872"/>
            <w:shd w:fill="1A1A2E" w:val="clear"/>
          </w:tcPr>
          <w:p>
            <w:r/>
            <w:r>
              <w:rPr>
                <w:b/>
                <w:color w:val="FFFFFF"/>
                <w:sz w:val="18"/>
              </w:rPr>
              <w:t>Q2</w:t>
            </w:r>
          </w:p>
        </w:tc>
        <w:tc>
          <w:tcPr>
            <w:tcW w:type="dxa" w:w="1872"/>
            <w:shd w:fill="1A1A2E" w:val="clear"/>
          </w:tcPr>
          <w:p>
            <w:r/>
            <w:r>
              <w:rPr>
                <w:b/>
                <w:color w:val="FFFFFF"/>
                <w:sz w:val="18"/>
              </w:rPr>
              <w:t>Q3</w:t>
            </w:r>
          </w:p>
        </w:tc>
        <w:tc>
          <w:tcPr>
            <w:tcW w:type="dxa" w:w="1872"/>
            <w:shd w:fill="1A1A2E" w:val="clear"/>
          </w:tcPr>
          <w:p>
            <w:r/>
            <w:r>
              <w:rPr>
                <w:b/>
                <w:color w:val="FFFFFF"/>
                <w:sz w:val="18"/>
              </w:rPr>
              <w:t>Q4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Revenue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$120K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$145K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$160K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$210K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Users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1,200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1,800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2,400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3,100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1A2E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b/>
      <w:color w:val="1A1A2E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b/>
      <w:i/>
      <w:iCs/>
      <w:color w:val="1A1A2E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