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52" w:lineRule="auto"/>
      </w:pPr>
      <w:r>
        <w:rPr>
          <w:rFonts w:ascii="Cambria" w:hAnsi="Cambria" w:eastAsia="Cambria" w:cs="Cambria"/>
          <w:b/>
          <w:color w:val="000000"/>
          <w:sz w:val="38"/>
        </w:rPr>
        <w:t>Standard Operating Procedure</w:t>
      </w:r>
    </w:p>
    <w:p>
      <w:pPr>
        <w:keepNext/>
        <w:spacing w:before="360" w:after="120" w:line="300" w:lineRule="auto"/>
      </w:pPr>
      <w:r>
        <w:rPr>
          <w:rFonts w:ascii="Cambria" w:hAnsi="Cambria" w:eastAsia="Cambria" w:cs="Cambria"/>
          <w:b/>
          <w:color w:val="000000"/>
          <w:sz w:val="27"/>
        </w:rPr>
        <w:t>Building a website in Next.js</w:t>
      </w:r>
    </w:p>
    <w:p>
      <w:pPr>
        <w:keepNext w:val="0"/>
        <w:spacing w:before="0" w:after="120" w:line="300" w:lineRule="auto"/>
      </w:pPr>
      <w:r>
        <w:rPr>
          <w:rFonts w:ascii="Cambria" w:hAnsi="Cambria" w:eastAsia="Cambria" w:cs="Cambria"/>
          <w:b w:val="0"/>
          <w:color w:val="000000"/>
          <w:sz w:val="21"/>
        </w:rPr>
        <w:t>How we take a website from the first client meeting to handover. Read it once before you start, then use it as a checklist.</w:t>
      </w:r>
    </w:p>
    <w:p>
      <w:pPr>
        <w:keepNext w:val="0"/>
        <w:spacing w:before="0" w:after="120" w:line="300" w:lineRule="auto"/>
      </w:pPr>
      <w:r>
        <w:rPr>
          <w:rFonts w:ascii="Cambria" w:hAnsi="Cambria" w:eastAsia="Cambria" w:cs="Cambria"/>
          <w:b w:val="0"/>
          <w:color w:val="000000"/>
          <w:sz w:val="21"/>
        </w:rPr>
        <w:t>Stack is Next.js App Router, TypeScript and Tailwind, the same every time unless there is a written reason not to.</w:t>
      </w:r>
    </w:p>
    <w:p>
      <w:pPr>
        <w:keepNext/>
        <w:spacing w:before="360" w:after="120" w:line="300" w:lineRule="auto"/>
      </w:pPr>
      <w:r>
        <w:rPr>
          <w:rFonts w:ascii="Cambria" w:hAnsi="Cambria" w:eastAsia="Cambria" w:cs="Cambria"/>
          <w:b/>
          <w:color w:val="000000"/>
          <w:sz w:val="27"/>
        </w:rPr>
        <w:t>1. Purpose (Hensikt)</w:t>
      </w:r>
    </w:p>
    <w:p>
      <w:pPr>
        <w:keepNext w:val="0"/>
        <w:spacing w:before="0" w:after="120" w:line="300" w:lineRule="auto"/>
      </w:pPr>
      <w:r>
        <w:rPr>
          <w:rFonts w:ascii="Cambria" w:hAnsi="Cambria" w:eastAsia="Cambria" w:cs="Cambria"/>
          <w:b w:val="0"/>
          <w:color w:val="000000"/>
          <w:sz w:val="21"/>
        </w:rPr>
        <w:t>So that every site we ship is legal, accessible and fast, without depending on who happened to build it. Accessibility and privacy are designed in from day one here, because bolting them on at the end is what makes projects overrun.</w:t>
      </w:r>
    </w:p>
    <w:p>
      <w:pPr>
        <w:keepNext/>
        <w:spacing w:before="360" w:after="120" w:line="300" w:lineRule="auto"/>
      </w:pPr>
      <w:r>
        <w:rPr>
          <w:rFonts w:ascii="Cambria" w:hAnsi="Cambria" w:eastAsia="Cambria" w:cs="Cambria"/>
          <w:b/>
          <w:color w:val="000000"/>
          <w:sz w:val="27"/>
        </w:rPr>
        <w:t>2. Scope (Omfang)</w:t>
      </w:r>
    </w:p>
    <w:p>
      <w:pPr>
        <w:keepNext w:val="0"/>
        <w:spacing w:before="0" w:after="120" w:line="300" w:lineRule="auto"/>
      </w:pPr>
      <w:r>
        <w:rPr>
          <w:rFonts w:ascii="Cambria" w:hAnsi="Cambria" w:eastAsia="Cambria" w:cs="Cambria"/>
          <w:b w:val="0"/>
          <w:color w:val="000000"/>
          <w:sz w:val="21"/>
        </w:rPr>
        <w:t>New sites, rebuilds and major redesigns. From the first meeting to thirty days after launch.</w:t>
      </w:r>
    </w:p>
    <w:p>
      <w:pPr>
        <w:keepNext w:val="0"/>
        <w:spacing w:before="0" w:after="120" w:line="300" w:lineRule="auto"/>
      </w:pPr>
      <w:r>
        <w:rPr>
          <w:rFonts w:ascii="Cambria" w:hAnsi="Cambria" w:eastAsia="Cambria" w:cs="Cambria"/>
          <w:b w:val="0"/>
          <w:color w:val="000000"/>
          <w:sz w:val="21"/>
        </w:rPr>
        <w:t>Not covered: hosting operations, ad campaigns, native apps. Those have their own procedures.</w:t>
      </w:r>
    </w:p>
    <w:p>
      <w:pPr>
        <w:keepNext/>
        <w:spacing w:before="360" w:after="120" w:line="300" w:lineRule="auto"/>
      </w:pPr>
      <w:r>
        <w:rPr>
          <w:rFonts w:ascii="Cambria" w:hAnsi="Cambria" w:eastAsia="Cambria" w:cs="Cambria"/>
          <w:b/>
          <w:color w:val="000000"/>
          <w:sz w:val="27"/>
        </w:rPr>
        <w:t>3. Who does what (Ansvar)</w:t>
      </w:r>
    </w:p>
    <w:tbl>
      <w:tblPr>
        <w:tblStyle w:val="TableGrid"/>
        <w:tblW w:type="auto" w:w="0"/>
        <w:tblLook w:firstColumn="1" w:firstRow="1" w:lastColumn="0" w:lastRow="0" w:noHBand="0" w:noVBand="1" w:val="04A0"/>
      </w:tblPr>
      <w:tblGrid>
        <w:gridCol w:w="4759"/>
        <w:gridCol w:w="4759"/>
      </w:tblGrid>
      <w:tr>
        <w:tc>
          <w:tcPr>
            <w:tcW w:type="dxa" w:w="4759"/>
          </w:tcPr>
          <w:p>
            <w:pPr>
              <w:spacing w:before="60" w:after="60" w:line="276" w:lineRule="auto"/>
            </w:pPr>
            <w:r>
              <w:rPr>
                <w:b/>
              </w:rPr>
            </w:r>
            <w:r>
              <w:rPr>
                <w:rFonts w:ascii="Cambria" w:hAnsi="Cambria" w:eastAsia="Cambria" w:cs="Cambria"/>
                <w:b/>
                <w:color w:val="000000"/>
                <w:sz w:val="19"/>
              </w:rPr>
              <w:t>Role</w:t>
            </w:r>
          </w:p>
        </w:tc>
        <w:tc>
          <w:tcPr>
            <w:tcW w:type="dxa" w:w="4759"/>
          </w:tcPr>
          <w:p>
            <w:pPr>
              <w:spacing w:before="60" w:after="60" w:line="276" w:lineRule="auto"/>
            </w:pPr>
            <w:r>
              <w:rPr>
                <w:b/>
              </w:rPr>
            </w:r>
            <w:r>
              <w:rPr>
                <w:rFonts w:ascii="Cambria" w:hAnsi="Cambria" w:eastAsia="Cambria" w:cs="Cambria"/>
                <w:b/>
                <w:color w:val="000000"/>
                <w:sz w:val="19"/>
              </w:rPr>
              <w:t>Owns</w:t>
            </w:r>
          </w:p>
        </w:tc>
      </w:tr>
      <w:tr>
        <w:tc>
          <w:tcPr>
            <w:tcW w:type="dxa" w:w="4759"/>
          </w:tcPr>
          <w:p>
            <w:pPr>
              <w:spacing w:before="60" w:after="60" w:line="276" w:lineRule="auto"/>
            </w:pPr>
            <w:r/>
            <w:r>
              <w:rPr>
                <w:rFonts w:ascii="Cambria" w:hAnsi="Cambria" w:eastAsia="Cambria" w:cs="Cambria"/>
                <w:b w:val="0"/>
                <w:color w:val="555555"/>
                <w:sz w:val="19"/>
              </w:rPr>
              <w:t>Project lead</w:t>
            </w:r>
          </w:p>
        </w:tc>
        <w:tc>
          <w:tcPr>
            <w:tcW w:type="dxa" w:w="4759"/>
          </w:tcPr>
          <w:p>
            <w:pPr>
              <w:spacing w:before="60" w:after="60" w:line="276" w:lineRule="auto"/>
            </w:pPr>
            <w:r/>
            <w:r>
              <w:rPr>
                <w:rFonts w:ascii="Cambria" w:hAnsi="Cambria" w:eastAsia="Cambria" w:cs="Cambria"/>
                <w:b w:val="0"/>
                <w:color w:val="555555"/>
                <w:sz w:val="19"/>
              </w:rPr>
              <w:t>The plan, the gates, the risk log, and this procedure being followed</w:t>
            </w:r>
          </w:p>
        </w:tc>
      </w:tr>
      <w:tr>
        <w:tc>
          <w:tcPr>
            <w:tcW w:type="dxa" w:w="4759"/>
          </w:tcPr>
          <w:p>
            <w:pPr>
              <w:spacing w:before="60" w:after="60" w:line="276" w:lineRule="auto"/>
            </w:pPr>
            <w:r/>
            <w:r>
              <w:rPr>
                <w:rFonts w:ascii="Cambria" w:hAnsi="Cambria" w:eastAsia="Cambria" w:cs="Cambria"/>
                <w:b w:val="0"/>
                <w:color w:val="555555"/>
                <w:sz w:val="19"/>
              </w:rPr>
              <w:t>Designer</w:t>
            </w:r>
          </w:p>
        </w:tc>
        <w:tc>
          <w:tcPr>
            <w:tcW w:type="dxa" w:w="4759"/>
          </w:tcPr>
          <w:p>
            <w:pPr>
              <w:spacing w:before="60" w:after="60" w:line="276" w:lineRule="auto"/>
            </w:pPr>
            <w:r/>
            <w:r>
              <w:rPr>
                <w:rFonts w:ascii="Cambria" w:hAnsi="Cambria" w:eastAsia="Cambria" w:cs="Cambria"/>
                <w:b w:val="0"/>
                <w:color w:val="555555"/>
                <w:sz w:val="19"/>
              </w:rPr>
              <w:t>Structure, wireframes, design tokens, contrast checks</w:t>
            </w:r>
          </w:p>
        </w:tc>
      </w:tr>
      <w:tr>
        <w:tc>
          <w:tcPr>
            <w:tcW w:type="dxa" w:w="4759"/>
          </w:tcPr>
          <w:p>
            <w:pPr>
              <w:spacing w:before="60" w:after="60" w:line="276" w:lineRule="auto"/>
            </w:pPr>
            <w:r/>
            <w:r>
              <w:rPr>
                <w:rFonts w:ascii="Cambria" w:hAnsi="Cambria" w:eastAsia="Cambria" w:cs="Cambria"/>
                <w:b w:val="0"/>
                <w:color w:val="555555"/>
                <w:sz w:val="19"/>
              </w:rPr>
              <w:t>Developer</w:t>
            </w:r>
          </w:p>
        </w:tc>
        <w:tc>
          <w:tcPr>
            <w:tcW w:type="dxa" w:w="4759"/>
          </w:tcPr>
          <w:p>
            <w:pPr>
              <w:spacing w:before="60" w:after="60" w:line="276" w:lineRule="auto"/>
            </w:pPr>
            <w:r/>
            <w:r>
              <w:rPr>
                <w:rFonts w:ascii="Cambria" w:hAnsi="Cambria" w:eastAsia="Cambria" w:cs="Cambria"/>
                <w:b w:val="0"/>
                <w:color w:val="555555"/>
                <w:sz w:val="19"/>
              </w:rPr>
              <w:t>The build, performance, accessibility in code, deployment</w:t>
            </w:r>
          </w:p>
        </w:tc>
      </w:tr>
      <w:tr>
        <w:tc>
          <w:tcPr>
            <w:tcW w:type="dxa" w:w="4759"/>
          </w:tcPr>
          <w:p>
            <w:pPr>
              <w:spacing w:before="60" w:after="60" w:line="276" w:lineRule="auto"/>
            </w:pPr>
            <w:r/>
            <w:r>
              <w:rPr>
                <w:rFonts w:ascii="Cambria" w:hAnsi="Cambria" w:eastAsia="Cambria" w:cs="Cambria"/>
                <w:b w:val="0"/>
                <w:color w:val="555555"/>
                <w:sz w:val="19"/>
              </w:rPr>
              <w:t>Content editor</w:t>
            </w:r>
          </w:p>
        </w:tc>
        <w:tc>
          <w:tcPr>
            <w:tcW w:type="dxa" w:w="4759"/>
          </w:tcPr>
          <w:p>
            <w:pPr>
              <w:spacing w:before="60" w:after="60" w:line="276" w:lineRule="auto"/>
            </w:pPr>
            <w:r/>
            <w:r>
              <w:rPr>
                <w:rFonts w:ascii="Cambria" w:hAnsi="Cambria" w:eastAsia="Cambria" w:cs="Cambria"/>
                <w:b w:val="0"/>
                <w:color w:val="555555"/>
                <w:sz w:val="19"/>
              </w:rPr>
              <w:t>Copy, translations, alt text, metadata</w:t>
            </w:r>
          </w:p>
        </w:tc>
      </w:tr>
      <w:tr>
        <w:tc>
          <w:tcPr>
            <w:tcW w:type="dxa" w:w="4759"/>
          </w:tcPr>
          <w:p>
            <w:pPr>
              <w:spacing w:before="60" w:after="60" w:line="276" w:lineRule="auto"/>
            </w:pPr>
            <w:r/>
            <w:r>
              <w:rPr>
                <w:rFonts w:ascii="Cambria" w:hAnsi="Cambria" w:eastAsia="Cambria" w:cs="Cambria"/>
                <w:b w:val="0"/>
                <w:color w:val="555555"/>
                <w:sz w:val="19"/>
              </w:rPr>
              <w:t>Data protection contact</w:t>
            </w:r>
          </w:p>
        </w:tc>
        <w:tc>
          <w:tcPr>
            <w:tcW w:type="dxa" w:w="4759"/>
          </w:tcPr>
          <w:p>
            <w:pPr>
              <w:spacing w:before="60" w:after="60" w:line="276" w:lineRule="auto"/>
            </w:pPr>
            <w:r/>
            <w:r>
              <w:rPr>
                <w:rFonts w:ascii="Cambria" w:hAnsi="Cambria" w:eastAsia="Cambria" w:cs="Cambria"/>
                <w:b w:val="0"/>
                <w:color w:val="555555"/>
                <w:sz w:val="19"/>
              </w:rPr>
              <w:t>Privacy assessment, processor agreement, consent design</w:t>
            </w:r>
          </w:p>
        </w:tc>
      </w:tr>
      <w:tr>
        <w:tc>
          <w:tcPr>
            <w:tcW w:type="dxa" w:w="4759"/>
          </w:tcPr>
          <w:p>
            <w:pPr>
              <w:spacing w:before="60" w:after="60" w:line="276" w:lineRule="auto"/>
            </w:pPr>
            <w:r/>
            <w:r>
              <w:rPr>
                <w:rFonts w:ascii="Cambria" w:hAnsi="Cambria" w:eastAsia="Cambria" w:cs="Cambria"/>
                <w:b w:val="0"/>
                <w:color w:val="555555"/>
                <w:sz w:val="19"/>
              </w:rPr>
              <w:t>Tester</w:t>
            </w:r>
          </w:p>
        </w:tc>
        <w:tc>
          <w:tcPr>
            <w:tcW w:type="dxa" w:w="4759"/>
          </w:tcPr>
          <w:p>
            <w:pPr>
              <w:spacing w:before="60" w:after="60" w:line="276" w:lineRule="auto"/>
            </w:pPr>
            <w:r/>
            <w:r>
              <w:rPr>
                <w:rFonts w:ascii="Cambria" w:hAnsi="Cambria" w:eastAsia="Cambria" w:cs="Cambria"/>
                <w:b w:val="0"/>
                <w:color w:val="555555"/>
                <w:sz w:val="19"/>
              </w:rPr>
              <w:t>Test log, accessibility audit, device checks</w:t>
            </w:r>
          </w:p>
        </w:tc>
      </w:tr>
      <w:tr>
        <w:tc>
          <w:tcPr>
            <w:tcW w:type="dxa" w:w="4759"/>
          </w:tcPr>
          <w:p>
            <w:pPr>
              <w:spacing w:before="60" w:after="60" w:line="276" w:lineRule="auto"/>
            </w:pPr>
            <w:r/>
            <w:r>
              <w:rPr>
                <w:rFonts w:ascii="Cambria" w:hAnsi="Cambria" w:eastAsia="Cambria" w:cs="Cambria"/>
                <w:b w:val="0"/>
                <w:color w:val="555555"/>
                <w:sz w:val="19"/>
              </w:rPr>
              <w:t>Client contact</w:t>
            </w:r>
          </w:p>
        </w:tc>
        <w:tc>
          <w:tcPr>
            <w:tcW w:type="dxa" w:w="4759"/>
          </w:tcPr>
          <w:p>
            <w:pPr>
              <w:spacing w:before="60" w:after="60" w:line="276" w:lineRule="auto"/>
            </w:pPr>
            <w:r/>
            <w:r>
              <w:rPr>
                <w:rFonts w:ascii="Cambria" w:hAnsi="Cambria" w:eastAsia="Cambria" w:cs="Cambria"/>
                <w:b w:val="0"/>
                <w:color w:val="555555"/>
                <w:sz w:val="19"/>
              </w:rPr>
              <w:t>Requirements, content, and signing each gate</w:t>
            </w:r>
          </w:p>
        </w:tc>
      </w:tr>
    </w:tbl>
    <w:p>
      <w:pPr>
        <w:spacing w:after="120"/>
      </w:pPr>
    </w:p>
    <w:p>
      <w:pPr>
        <w:keepNext/>
        <w:spacing w:before="360" w:after="120" w:line="300" w:lineRule="auto"/>
      </w:pPr>
      <w:r>
        <w:rPr>
          <w:rFonts w:ascii="Cambria" w:hAnsi="Cambria" w:eastAsia="Cambria" w:cs="Cambria"/>
          <w:b/>
          <w:color w:val="000000"/>
          <w:sz w:val="27"/>
        </w:rPr>
        <w:t>4. The steps (Fremgangsmåte)</w:t>
      </w:r>
    </w:p>
    <w:p>
      <w:pPr>
        <w:keepNext w:val="0"/>
        <w:spacing w:before="0" w:after="120" w:line="300" w:lineRule="auto"/>
      </w:pPr>
      <w:r>
        <w:rPr>
          <w:rFonts w:ascii="Cambria" w:hAnsi="Cambria" w:eastAsia="Cambria" w:cs="Cambria"/>
          <w:b w:val="0"/>
          <w:color w:val="000000"/>
          <w:sz w:val="21"/>
        </w:rPr>
        <w:t>Nine steps. Do not start the next one until the previous one is signed off.</w:t>
      </w:r>
    </w:p>
    <w:p>
      <w:pPr>
        <w:keepNext/>
        <w:spacing w:before="240" w:after="80" w:line="300" w:lineRule="auto"/>
      </w:pPr>
      <w:r>
        <w:rPr>
          <w:rFonts w:ascii="Cambria" w:hAnsi="Cambria" w:eastAsia="Cambria" w:cs="Cambria"/>
          <w:b/>
          <w:color w:val="000000"/>
          <w:sz w:val="23"/>
        </w:rPr>
        <w:t>Step 1. Take the brief</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Ask what the site is for, and get it down to one sentence and one number you will judge it by.</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Write down every kind of personal data the site will touch. If any of it is sensitive, start the privacy assessment now, not later.</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Agree the languages on day one. Adding a second language after the build costs several times more than planning for it.</w:t>
      </w:r>
    </w:p>
    <w:p>
      <w:pPr>
        <w:keepNext/>
        <w:spacing w:before="240" w:after="80" w:line="300" w:lineRule="auto"/>
      </w:pPr>
      <w:r>
        <w:rPr>
          <w:rFonts w:ascii="Cambria" w:hAnsi="Cambria" w:eastAsia="Cambria" w:cs="Cambria"/>
          <w:b/>
          <w:color w:val="000000"/>
          <w:sz w:val="23"/>
        </w:rPr>
        <w:t>Step 2. Look at what exists</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Audit the current site: pages, traffic, speed, accessibility, and every domain in use.</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List what is broken and what is worth keeping. Clients often assume everything must go, and that is rarely true.</w:t>
      </w:r>
    </w:p>
    <w:p>
      <w:pPr>
        <w:keepNext/>
        <w:spacing w:before="240" w:after="80" w:line="300" w:lineRule="auto"/>
      </w:pPr>
      <w:r>
        <w:rPr>
          <w:rFonts w:ascii="Cambria" w:hAnsi="Cambria" w:eastAsia="Cambria" w:cs="Cambria"/>
          <w:b/>
          <w:color w:val="000000"/>
          <w:sz w:val="23"/>
        </w:rPr>
        <w:t>Step 3. Agree the structure</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Draw the sitemap and the one journey that matters most, usually the one that ends in a form or a payment.</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Wireframe the key templates in grey, with no styling. Structure gets judged on its own before anyone argues about colour.</w:t>
      </w:r>
    </w:p>
    <w:p>
      <w:pPr>
        <w:keepNext/>
        <w:spacing w:before="240" w:after="80" w:line="300" w:lineRule="auto"/>
      </w:pPr>
      <w:r>
        <w:rPr>
          <w:rFonts w:ascii="Cambria" w:hAnsi="Cambria" w:eastAsia="Cambria" w:cs="Cambria"/>
          <w:b/>
          <w:color w:val="000000"/>
          <w:sz w:val="23"/>
        </w:rPr>
        <w:t>Step 4. Set the design tokens first</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Decide colour, type scale, spacing scale and breakpoints before drawing any screen.</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Check every text and background pair for contrast now. Fixing a token is minutes. Fixing forty components is days.</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Design the empty, loading and error state of anything that loads or submits. People hit those states as often as the happy path.</w:t>
      </w:r>
    </w:p>
    <w:p>
      <w:pPr>
        <w:keepNext/>
        <w:spacing w:before="240" w:after="80" w:line="300" w:lineRule="auto"/>
      </w:pPr>
      <w:r>
        <w:rPr>
          <w:rFonts w:ascii="Cambria" w:hAnsi="Cambria" w:eastAsia="Cambria" w:cs="Cambria"/>
          <w:b/>
          <w:color w:val="000000"/>
          <w:sz w:val="23"/>
        </w:rPr>
        <w:t>Step 5. Set up the Next.js project</w:t>
      </w:r>
    </w:p>
    <w:p>
      <w:pPr>
        <w:keepNext w:val="0"/>
        <w:spacing w:before="0" w:after="120" w:line="300" w:lineRule="auto"/>
      </w:pPr>
      <w:r>
        <w:rPr>
          <w:rFonts w:ascii="Cambria" w:hAnsi="Cambria" w:eastAsia="Cambria" w:cs="Cambria"/>
          <w:b w:val="0"/>
          <w:color w:val="000000"/>
          <w:sz w:val="21"/>
        </w:rPr>
        <w:t>Start from the standard setup so every project looks the same to the next developer:</w:t>
      </w:r>
    </w:p>
    <w:p>
      <w:pPr>
        <w:keepNext w:val="0"/>
        <w:spacing w:before="0" w:after="0" w:line="276" w:lineRule="auto"/>
        <w:ind w:left="340"/>
      </w:pPr>
      <w:r>
        <w:rPr>
          <w:rFonts w:ascii="Consolas" w:hAnsi="Consolas" w:eastAsia="Consolas" w:cs="Consolas"/>
          <w:b w:val="0"/>
          <w:color w:val="555555"/>
          <w:sz w:val="18"/>
        </w:rPr>
        <w:t>npx create-next-app@latest my-site --ts --tailwind --app --eslint --src-dir</w:t>
      </w:r>
    </w:p>
    <w:p>
      <w:pPr>
        <w:spacing w:after="80"/>
      </w:pPr>
    </w:p>
    <w:p>
      <w:pPr>
        <w:keepNext w:val="0"/>
        <w:spacing w:before="0" w:after="0" w:line="276" w:lineRule="auto"/>
        <w:ind w:left="340"/>
      </w:pPr>
      <w:r>
        <w:rPr>
          <w:rFonts w:ascii="Consolas" w:hAnsi="Consolas" w:eastAsia="Consolas" w:cs="Consolas"/>
          <w:b w:val="0"/>
          <w:color w:val="555555"/>
          <w:sz w:val="18"/>
        </w:rPr>
        <w:t>src/app/[locale]/       one folder per language, layout.tsx sets lang and dir</w:t>
      </w:r>
    </w:p>
    <w:p>
      <w:pPr>
        <w:keepNext w:val="0"/>
        <w:spacing w:before="0" w:after="0" w:line="276" w:lineRule="auto"/>
        <w:ind w:left="340"/>
      </w:pPr>
      <w:r>
        <w:rPr>
          <w:rFonts w:ascii="Consolas" w:hAnsi="Consolas" w:eastAsia="Consolas" w:cs="Consolas"/>
          <w:b w:val="0"/>
          <w:color w:val="555555"/>
          <w:sz w:val="18"/>
        </w:rPr>
        <w:t>src/components/         one file per component, no page specific dumping ground</w:t>
      </w:r>
    </w:p>
    <w:p>
      <w:pPr>
        <w:keepNext w:val="0"/>
        <w:spacing w:before="0" w:after="0" w:line="276" w:lineRule="auto"/>
        <w:ind w:left="340"/>
      </w:pPr>
      <w:r>
        <w:rPr>
          <w:rFonts w:ascii="Consolas" w:hAnsi="Consolas" w:eastAsia="Consolas" w:cs="Consolas"/>
          <w:b w:val="0"/>
          <w:color w:val="555555"/>
          <w:sz w:val="18"/>
        </w:rPr>
        <w:t>src/lib/i18n/           all copy, one file per language, typed off the default</w:t>
      </w:r>
    </w:p>
    <w:p>
      <w:pPr>
        <w:keepNext w:val="0"/>
        <w:spacing w:before="0" w:after="0" w:line="276" w:lineRule="auto"/>
        <w:ind w:left="340"/>
      </w:pPr>
      <w:r>
        <w:rPr>
          <w:rFonts w:ascii="Consolas" w:hAnsi="Consolas" w:eastAsia="Consolas" w:cs="Consolas"/>
          <w:b w:val="0"/>
          <w:color w:val="555555"/>
          <w:sz w:val="18"/>
        </w:rPr>
        <w:t>src/app/globals.css     design tokens in @theme, nothing hardcoded elsewhere</w:t>
      </w:r>
    </w:p>
    <w:p>
      <w:pPr>
        <w:keepNext w:val="0"/>
        <w:spacing w:before="0" w:after="0" w:line="276" w:lineRule="auto"/>
        <w:ind w:left="340"/>
      </w:pPr>
      <w:r>
        <w:rPr>
          <w:rFonts w:ascii="Consolas" w:hAnsi="Consolas" w:eastAsia="Consolas" w:cs="Consolas"/>
          <w:b w:val="0"/>
          <w:color w:val="555555"/>
          <w:sz w:val="18"/>
        </w:rPr>
        <w:t>public/                 images, fonts, video</w:t>
      </w:r>
    </w:p>
    <w:p>
      <w:pPr>
        <w:spacing w:after="80"/>
      </w:pPr>
    </w:p>
    <w:p>
      <w:pPr>
        <w:keepNext w:val="0"/>
        <w:spacing w:before="0" w:after="120" w:line="300" w:lineRule="auto"/>
      </w:pPr>
      <w:r>
        <w:rPr>
          <w:rFonts w:ascii="Cambria" w:hAnsi="Cambria" w:eastAsia="Cambria" w:cs="Cambria"/>
          <w:b w:val="0"/>
          <w:color w:val="000000"/>
          <w:sz w:val="21"/>
        </w:rPr>
        <w:t>Put every string in the language files, even on a single language site. Pulling text back out of components later takes days.</w:t>
      </w:r>
    </w:p>
    <w:p>
      <w:pPr>
        <w:keepNext/>
        <w:spacing w:before="240" w:after="80" w:line="300" w:lineRule="auto"/>
      </w:pPr>
      <w:r>
        <w:rPr>
          <w:rFonts w:ascii="Cambria" w:hAnsi="Cambria" w:eastAsia="Cambria" w:cs="Cambria"/>
          <w:b/>
          <w:color w:val="000000"/>
          <w:sz w:val="23"/>
        </w:rPr>
        <w:t>Step 6. Build it</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Build components, not pages. Pages are assembled from components.</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Never hardcode a colour or a spacing value. If it is not a token, it does not go in.</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Semantic HTML first. Every control reachable by keyboard, every field with a real label.</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 xml:space="preserve">Images through </w:t>
      </w:r>
      <w:r>
        <w:rPr>
          <w:rFonts w:ascii="Consolas" w:hAnsi="Consolas" w:eastAsia="Consolas" w:cs="Consolas"/>
          <w:b w:val="0"/>
          <w:color w:val="000000"/>
          <w:sz w:val="20"/>
        </w:rPr>
        <w:t>next/image</w:t>
      </w:r>
      <w:r>
        <w:rPr>
          <w:rFonts w:ascii="Cambria" w:hAnsi="Cambria" w:eastAsia="Cambria" w:cs="Cambria"/>
          <w:b w:val="0"/>
          <w:color w:val="000000"/>
          <w:sz w:val="21"/>
        </w:rPr>
        <w:t xml:space="preserve"> with width and height set, so the layout does not jump.</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Nothing from a third party loads before the visitor has given consent.</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Every merge is read by a second person before it lands.</w:t>
      </w:r>
    </w:p>
    <w:p>
      <w:pPr>
        <w:keepNext/>
        <w:spacing w:before="240" w:after="80" w:line="300" w:lineRule="auto"/>
      </w:pPr>
      <w:r>
        <w:rPr>
          <w:rFonts w:ascii="Cambria" w:hAnsi="Cambria" w:eastAsia="Cambria" w:cs="Cambria"/>
          <w:b/>
          <w:color w:val="000000"/>
          <w:sz w:val="23"/>
        </w:rPr>
        <w:t>Step 7. Test it properly</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Run every form, in every language, all the way to the end.</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Accessibility: run the automated scan first, then do a manual keyboard and screen reader pass. The scanner finds about a third of real problems.</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Check speed on a throttled mobile connection, not on your own machine.</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Have each language proofread by somebody who speaks it natively.</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Confirm no tracking fires before consent is given.</w:t>
      </w:r>
    </w:p>
    <w:p>
      <w:pPr>
        <w:keepNext/>
        <w:spacing w:before="240" w:after="80" w:line="300" w:lineRule="auto"/>
      </w:pPr>
      <w:r>
        <w:rPr>
          <w:rFonts w:ascii="Cambria" w:hAnsi="Cambria" w:eastAsia="Cambria" w:cs="Cambria"/>
          <w:b/>
          <w:color w:val="000000"/>
          <w:sz w:val="23"/>
        </w:rPr>
        <w:t>Step 8. Launch</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Freeze content. Take a backup. Time the rollback so you know it works.</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Redirect every old address. Broken links are the most common thing to go wrong at launch. Take the list from the old sitemap rather than from the menu, because pages drop out of a menu long before they stop being linked to. Use permanent redirects, send each address to the page that actually replaces it, and never point a pile of unrelated ones at the front page. Where nothing replaces a page yet, say so and put it on the list to build.</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Publish the privacy policy and accessibility statement at the same moment as the site.</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Launch outside office hours, with a developer free for two hours afterwards.</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Within the hour, check forms, payments, search indexing and certificates.</w:t>
      </w:r>
    </w:p>
    <w:p>
      <w:pPr>
        <w:keepNext/>
        <w:spacing w:before="240" w:after="80" w:line="300" w:lineRule="auto"/>
      </w:pPr>
      <w:r>
        <w:rPr>
          <w:rFonts w:ascii="Cambria" w:hAnsi="Cambria" w:eastAsia="Cambria" w:cs="Cambria"/>
          <w:b/>
          <w:color w:val="000000"/>
          <w:sz w:val="23"/>
        </w:rPr>
        <w:t>Step 9. Hand it over</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Write a short manual for the people who will update the site, in their language.</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Train the editors and record the session, so the next person can watch it.</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Pass credentials through a password manager. Never by email.</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Thirty days of warranty for anything broken at launch.</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Hold a retrospective and fold what you learned back into this document.</w:t>
      </w:r>
    </w:p>
    <w:p>
      <w:pPr>
        <w:keepNext/>
        <w:spacing w:before="360" w:after="120" w:line="300" w:lineRule="auto"/>
      </w:pPr>
      <w:r>
        <w:rPr>
          <w:rFonts w:ascii="Cambria" w:hAnsi="Cambria" w:eastAsia="Cambria" w:cs="Cambria"/>
          <w:b/>
          <w:color w:val="000000"/>
          <w:sz w:val="27"/>
        </w:rPr>
        <w:t>5. Definition of done</w:t>
      </w:r>
    </w:p>
    <w:p>
      <w:pPr>
        <w:keepNext w:val="0"/>
        <w:spacing w:before="0" w:after="120" w:line="300" w:lineRule="auto"/>
      </w:pPr>
      <w:r>
        <w:rPr>
          <w:rFonts w:ascii="Cambria" w:hAnsi="Cambria" w:eastAsia="Cambria" w:cs="Cambria"/>
          <w:b w:val="0"/>
          <w:color w:val="000000"/>
          <w:sz w:val="21"/>
        </w:rPr>
        <w:t>A thing is finished only when all of this is true. Checked at step 7.</w:t>
      </w:r>
    </w:p>
    <w:tbl>
      <w:tblPr>
        <w:tblStyle w:val="TableGrid"/>
        <w:tblW w:type="auto" w:w="0"/>
        <w:tblLook w:firstColumn="1" w:firstRow="1" w:lastColumn="0" w:lastRow="0" w:noHBand="0" w:noVBand="1" w:val="04A0"/>
      </w:tblPr>
      <w:tblGrid>
        <w:gridCol w:w="4759"/>
        <w:gridCol w:w="4759"/>
      </w:tblGrid>
      <w:tr>
        <w:tc>
          <w:tcPr>
            <w:tcW w:type="dxa" w:w="4759"/>
          </w:tcPr>
          <w:p>
            <w:pPr>
              <w:spacing w:before="60" w:after="60" w:line="276" w:lineRule="auto"/>
            </w:pPr>
            <w:r>
              <w:rPr>
                <w:b/>
              </w:rPr>
            </w:r>
            <w:r>
              <w:rPr>
                <w:rFonts w:ascii="Cambria" w:hAnsi="Cambria" w:eastAsia="Cambria" w:cs="Cambria"/>
                <w:b/>
                <w:color w:val="000000"/>
                <w:sz w:val="19"/>
              </w:rPr>
              <w:t>Area</w:t>
            </w:r>
          </w:p>
        </w:tc>
        <w:tc>
          <w:tcPr>
            <w:tcW w:type="dxa" w:w="4759"/>
          </w:tcPr>
          <w:p>
            <w:pPr>
              <w:spacing w:before="60" w:after="60" w:line="276" w:lineRule="auto"/>
            </w:pPr>
            <w:r>
              <w:rPr>
                <w:b/>
              </w:rPr>
            </w:r>
            <w:r>
              <w:rPr>
                <w:rFonts w:ascii="Cambria" w:hAnsi="Cambria" w:eastAsia="Cambria" w:cs="Cambria"/>
                <w:b/>
                <w:color w:val="000000"/>
                <w:sz w:val="19"/>
              </w:rPr>
              <w:t>Rule</w:t>
            </w:r>
          </w:p>
        </w:tc>
      </w:tr>
      <w:tr>
        <w:tc>
          <w:tcPr>
            <w:tcW w:type="dxa" w:w="4759"/>
          </w:tcPr>
          <w:p>
            <w:pPr>
              <w:spacing w:before="60" w:after="60" w:line="276" w:lineRule="auto"/>
            </w:pPr>
            <w:r/>
            <w:r>
              <w:rPr>
                <w:rFonts w:ascii="Cambria" w:hAnsi="Cambria" w:eastAsia="Cambria" w:cs="Cambria"/>
                <w:b w:val="0"/>
                <w:color w:val="555555"/>
                <w:sz w:val="19"/>
              </w:rPr>
              <w:t>Accessibility</w:t>
            </w:r>
          </w:p>
        </w:tc>
        <w:tc>
          <w:tcPr>
            <w:tcW w:type="dxa" w:w="4759"/>
          </w:tcPr>
          <w:p>
            <w:pPr>
              <w:spacing w:before="60" w:after="60" w:line="276" w:lineRule="auto"/>
            </w:pPr>
            <w:r/>
            <w:r>
              <w:rPr>
                <w:rFonts w:ascii="Cambria" w:hAnsi="Cambria" w:eastAsia="Cambria" w:cs="Cambria"/>
                <w:b w:val="0"/>
                <w:color w:val="555555"/>
                <w:sz w:val="19"/>
              </w:rPr>
              <w:t>WCAG 2.1 AA. Contrast 4.5:1 on body text, 3:1 on large text and on controls. Visible focus everywhere. Full keyboard use. Real labels. Alt text on meaningful images.</w:t>
            </w:r>
          </w:p>
        </w:tc>
      </w:tr>
      <w:tr>
        <w:tc>
          <w:tcPr>
            <w:tcW w:type="dxa" w:w="4759"/>
          </w:tcPr>
          <w:p>
            <w:pPr>
              <w:spacing w:before="60" w:after="60" w:line="276" w:lineRule="auto"/>
            </w:pPr>
            <w:r/>
            <w:r>
              <w:rPr>
                <w:rFonts w:ascii="Cambria" w:hAnsi="Cambria" w:eastAsia="Cambria" w:cs="Cambria"/>
                <w:b w:val="0"/>
                <w:color w:val="555555"/>
                <w:sz w:val="19"/>
              </w:rPr>
              <w:t>Responsive</w:t>
            </w:r>
          </w:p>
        </w:tc>
        <w:tc>
          <w:tcPr>
            <w:tcW w:type="dxa" w:w="4759"/>
          </w:tcPr>
          <w:p>
            <w:pPr>
              <w:spacing w:before="60" w:after="60" w:line="276" w:lineRule="auto"/>
            </w:pPr>
            <w:r/>
            <w:r>
              <w:rPr>
                <w:rFonts w:ascii="Cambria" w:hAnsi="Cambria" w:eastAsia="Cambria" w:cs="Cambria"/>
                <w:b w:val="0"/>
                <w:color w:val="555555"/>
                <w:sz w:val="19"/>
              </w:rPr>
              <w:t>Works at 360, 390, 412, 768, 1024 and 1440. No sideways scroll. Tap targets 44 px. Test a tall phone as well as a short one, since spacing tied to screen height breaks on one and not the other.</w:t>
            </w:r>
          </w:p>
        </w:tc>
      </w:tr>
      <w:tr>
        <w:tc>
          <w:tcPr>
            <w:tcW w:type="dxa" w:w="4759"/>
          </w:tcPr>
          <w:p>
            <w:pPr>
              <w:spacing w:before="60" w:after="60" w:line="276" w:lineRule="auto"/>
            </w:pPr>
            <w:r/>
            <w:r>
              <w:rPr>
                <w:rFonts w:ascii="Cambria" w:hAnsi="Cambria" w:eastAsia="Cambria" w:cs="Cambria"/>
                <w:b w:val="0"/>
                <w:color w:val="555555"/>
                <w:sz w:val="19"/>
              </w:rPr>
              <w:t>Speed</w:t>
            </w:r>
          </w:p>
        </w:tc>
        <w:tc>
          <w:tcPr>
            <w:tcW w:type="dxa" w:w="4759"/>
          </w:tcPr>
          <w:p>
            <w:pPr>
              <w:spacing w:before="60" w:after="60" w:line="276" w:lineRule="auto"/>
            </w:pPr>
            <w:r/>
            <w:r>
              <w:rPr>
                <w:rFonts w:ascii="Cambria" w:hAnsi="Cambria" w:eastAsia="Cambria" w:cs="Cambria"/>
                <w:b w:val="0"/>
                <w:color w:val="555555"/>
                <w:sz w:val="19"/>
              </w:rPr>
              <w:t>Largest paint under 2.5s on throttled mobile. Layout shift under 0.1. No autoplaying video in the first screen.</w:t>
            </w:r>
          </w:p>
        </w:tc>
      </w:tr>
      <w:tr>
        <w:tc>
          <w:tcPr>
            <w:tcW w:type="dxa" w:w="4759"/>
          </w:tcPr>
          <w:p>
            <w:pPr>
              <w:spacing w:before="60" w:after="60" w:line="276" w:lineRule="auto"/>
            </w:pPr>
            <w:r/>
            <w:r>
              <w:rPr>
                <w:rFonts w:ascii="Cambria" w:hAnsi="Cambria" w:eastAsia="Cambria" w:cs="Cambria"/>
                <w:b w:val="0"/>
                <w:color w:val="555555"/>
                <w:sz w:val="19"/>
              </w:rPr>
              <w:t>Privacy</w:t>
            </w:r>
          </w:p>
        </w:tc>
        <w:tc>
          <w:tcPr>
            <w:tcW w:type="dxa" w:w="4759"/>
          </w:tcPr>
          <w:p>
            <w:pPr>
              <w:spacing w:before="60" w:after="60" w:line="276" w:lineRule="auto"/>
            </w:pPr>
            <w:r/>
            <w:r>
              <w:rPr>
                <w:rFonts w:ascii="Cambria" w:hAnsi="Cambria" w:eastAsia="Cambria" w:cs="Cambria"/>
                <w:b w:val="0"/>
                <w:color w:val="555555"/>
                <w:sz w:val="19"/>
              </w:rPr>
              <w:t>No cookie or tracker before consent. Withdrawing consent is as easy as giving it.</w:t>
            </w:r>
          </w:p>
        </w:tc>
      </w:tr>
      <w:tr>
        <w:tc>
          <w:tcPr>
            <w:tcW w:type="dxa" w:w="4759"/>
          </w:tcPr>
          <w:p>
            <w:pPr>
              <w:spacing w:before="60" w:after="60" w:line="276" w:lineRule="auto"/>
            </w:pPr>
            <w:r/>
            <w:r>
              <w:rPr>
                <w:rFonts w:ascii="Cambria" w:hAnsi="Cambria" w:eastAsia="Cambria" w:cs="Cambria"/>
                <w:b w:val="0"/>
                <w:color w:val="555555"/>
                <w:sz w:val="19"/>
              </w:rPr>
              <w:t>Content</w:t>
            </w:r>
          </w:p>
        </w:tc>
        <w:tc>
          <w:tcPr>
            <w:tcW w:type="dxa" w:w="4759"/>
          </w:tcPr>
          <w:p>
            <w:pPr>
              <w:spacing w:before="60" w:after="60" w:line="276" w:lineRule="auto"/>
            </w:pPr>
            <w:r/>
            <w:r>
              <w:rPr>
                <w:rFonts w:ascii="Cambria" w:hAnsi="Cambria" w:eastAsia="Cambria" w:cs="Cambria"/>
                <w:b w:val="0"/>
                <w:color w:val="555555"/>
                <w:sz w:val="19"/>
              </w:rPr>
              <w:t>Proofread natively. Title, description and one H1 on every page, different on every page.</w:t>
            </w:r>
          </w:p>
        </w:tc>
      </w:tr>
      <w:tr>
        <w:tc>
          <w:tcPr>
            <w:tcW w:type="dxa" w:w="4759"/>
          </w:tcPr>
          <w:p>
            <w:pPr>
              <w:spacing w:before="60" w:after="60" w:line="276" w:lineRule="auto"/>
            </w:pPr>
            <w:r/>
            <w:r>
              <w:rPr>
                <w:rFonts w:ascii="Cambria" w:hAnsi="Cambria" w:eastAsia="Cambria" w:cs="Cambria"/>
                <w:b w:val="0"/>
                <w:color w:val="555555"/>
                <w:sz w:val="19"/>
              </w:rPr>
              <w:t>Found</w:t>
            </w:r>
          </w:p>
        </w:tc>
        <w:tc>
          <w:tcPr>
            <w:tcW w:type="dxa" w:w="4759"/>
          </w:tcPr>
          <w:p>
            <w:pPr>
              <w:spacing w:before="60" w:after="60" w:line="276" w:lineRule="auto"/>
            </w:pPr>
            <w:r/>
            <w:r>
              <w:rPr>
                <w:rFonts w:ascii="Cambria" w:hAnsi="Cambria" w:eastAsia="Cambria" w:cs="Cambria"/>
                <w:b w:val="0"/>
                <w:color w:val="555555"/>
                <w:sz w:val="19"/>
              </w:rPr>
              <w:t>A sitemap and a robots file. A canonical address on every page. If the site is in more than one language, every page names its translations, and they name it back.</w:t>
            </w:r>
          </w:p>
        </w:tc>
      </w:tr>
      <w:tr>
        <w:tc>
          <w:tcPr>
            <w:tcW w:type="dxa" w:w="4759"/>
          </w:tcPr>
          <w:p>
            <w:pPr>
              <w:spacing w:before="60" w:after="60" w:line="276" w:lineRule="auto"/>
            </w:pPr>
            <w:r/>
            <w:r>
              <w:rPr>
                <w:rFonts w:ascii="Cambria" w:hAnsi="Cambria" w:eastAsia="Cambria" w:cs="Cambria"/>
                <w:b w:val="0"/>
                <w:color w:val="555555"/>
                <w:sz w:val="19"/>
              </w:rPr>
              <w:t>Figures</w:t>
            </w:r>
          </w:p>
        </w:tc>
        <w:tc>
          <w:tcPr>
            <w:tcW w:type="dxa" w:w="4759"/>
          </w:tcPr>
          <w:p>
            <w:pPr>
              <w:spacing w:before="60" w:after="60" w:line="276" w:lineRule="auto"/>
            </w:pPr>
            <w:r/>
            <w:r>
              <w:rPr>
                <w:rFonts w:ascii="Cambria" w:hAnsi="Cambria" w:eastAsia="Cambria" w:cs="Cambria"/>
                <w:b w:val="0"/>
                <w:color w:val="555555"/>
                <w:sz w:val="19"/>
              </w:rPr>
              <w:t>Every number on the site traces to something published, and the source is named where a reader can check it. Numbers live in one file, not in the copy.</w:t>
            </w:r>
          </w:p>
        </w:tc>
      </w:tr>
      <w:tr>
        <w:tc>
          <w:tcPr>
            <w:tcW w:type="dxa" w:w="4759"/>
          </w:tcPr>
          <w:p>
            <w:pPr>
              <w:spacing w:before="60" w:after="60" w:line="276" w:lineRule="auto"/>
            </w:pPr>
            <w:r/>
            <w:r>
              <w:rPr>
                <w:rFonts w:ascii="Cambria" w:hAnsi="Cambria" w:eastAsia="Cambria" w:cs="Cambria"/>
                <w:b w:val="0"/>
                <w:color w:val="555555"/>
                <w:sz w:val="19"/>
              </w:rPr>
              <w:t>Code</w:t>
            </w:r>
          </w:p>
        </w:tc>
        <w:tc>
          <w:tcPr>
            <w:tcW w:type="dxa" w:w="4759"/>
          </w:tcPr>
          <w:p>
            <w:pPr>
              <w:spacing w:before="60" w:after="60" w:line="276" w:lineRule="auto"/>
            </w:pPr>
            <w:r/>
            <w:r>
              <w:rPr>
                <w:rFonts w:ascii="Cambria" w:hAnsi="Cambria" w:eastAsia="Cambria" w:cs="Cambria"/>
                <w:b w:val="0"/>
                <w:color w:val="555555"/>
                <w:sz w:val="19"/>
              </w:rPr>
              <w:t>Reviewed by a second person. No hardcoded colours or spacing. Builds with no warnings.</w:t>
            </w:r>
          </w:p>
        </w:tc>
      </w:tr>
    </w:tbl>
    <w:p>
      <w:pPr>
        <w:spacing w:after="120"/>
      </w:pPr>
    </w:p>
    <w:p>
      <w:pPr>
        <w:keepNext/>
        <w:spacing w:before="360" w:after="120" w:line="300" w:lineRule="auto"/>
      </w:pPr>
      <w:r>
        <w:rPr>
          <w:rFonts w:ascii="Cambria" w:hAnsi="Cambria" w:eastAsia="Cambria" w:cs="Cambria"/>
          <w:b/>
          <w:color w:val="000000"/>
          <w:sz w:val="27"/>
        </w:rPr>
        <w:t>6. Norwegian rules that apply</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Universell utforming. Public facing sites must meet WCAG. Enforced by Tilsynet for universell utforming av IKT.</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GDPR, through personopplysningsloven. Norway is in the EEA, so it applies fully. Datatilsynet supervises.</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Cookies, under ekomloven. Consent before anything non essential is stored or tracked.</w:t>
      </w:r>
    </w:p>
    <w:p>
      <w:pPr>
        <w:keepNext w:val="0"/>
        <w:spacing w:before="0" w:after="60" w:line="300" w:lineRule="auto"/>
        <w:ind w:left="397" w:hanging="198"/>
      </w:pPr>
      <w:r>
        <w:rPr>
          <w:rFonts w:ascii="Cambria" w:hAnsi="Cambria" w:eastAsia="Cambria" w:cs="Cambria"/>
          <w:b w:val="0"/>
          <w:color w:val="555555"/>
          <w:sz w:val="21"/>
        </w:rPr>
        <w:t>•</w:t>
        <w:tab/>
      </w:r>
      <w:r>
        <w:rPr>
          <w:rFonts w:ascii="Cambria" w:hAnsi="Cambria" w:eastAsia="Cambria" w:cs="Cambria"/>
          <w:b w:val="0"/>
          <w:color w:val="000000"/>
          <w:sz w:val="21"/>
        </w:rPr>
        <w:t>Markedsføringsloven. Covers marketing claims, newsletters and prize draws.</w:t>
      </w:r>
    </w:p>
    <w:p>
      <w:pPr>
        <w:keepNext/>
        <w:spacing w:before="360" w:after="120" w:line="300" w:lineRule="auto"/>
      </w:pPr>
      <w:r>
        <w:rPr>
          <w:rFonts w:ascii="Cambria" w:hAnsi="Cambria" w:eastAsia="Cambria" w:cs="Cambria"/>
          <w:b/>
          <w:color w:val="000000"/>
          <w:sz w:val="27"/>
        </w:rPr>
        <w:t>7. When something goes wrong (Avvik)</w:t>
      </w:r>
    </w:p>
    <w:tbl>
      <w:tblPr>
        <w:tblStyle w:val="TableGrid"/>
        <w:tblW w:type="auto" w:w="0"/>
        <w:tblLook w:firstColumn="1" w:firstRow="1" w:lastColumn="0" w:lastRow="0" w:noHBand="0" w:noVBand="1" w:val="04A0"/>
      </w:tblPr>
      <w:tblGrid>
        <w:gridCol w:w="3173"/>
        <w:gridCol w:w="3173"/>
        <w:gridCol w:w="3173"/>
      </w:tblGrid>
      <w:tr>
        <w:tc>
          <w:tcPr>
            <w:tcW w:type="dxa" w:w="3173"/>
          </w:tcPr>
          <w:p>
            <w:pPr>
              <w:spacing w:before="60" w:after="60" w:line="276" w:lineRule="auto"/>
            </w:pPr>
            <w:r>
              <w:rPr>
                <w:b/>
              </w:rPr>
            </w:r>
            <w:r>
              <w:rPr>
                <w:rFonts w:ascii="Cambria" w:hAnsi="Cambria" w:eastAsia="Cambria" w:cs="Cambria"/>
                <w:b/>
                <w:color w:val="000000"/>
                <w:sz w:val="19"/>
              </w:rPr>
              <w:t>How bad</w:t>
            </w:r>
          </w:p>
        </w:tc>
        <w:tc>
          <w:tcPr>
            <w:tcW w:type="dxa" w:w="3173"/>
          </w:tcPr>
          <w:p>
            <w:pPr>
              <w:spacing w:before="60" w:after="60" w:line="276" w:lineRule="auto"/>
            </w:pPr>
            <w:r>
              <w:rPr>
                <w:b/>
              </w:rPr>
            </w:r>
            <w:r>
              <w:rPr>
                <w:rFonts w:ascii="Cambria" w:hAnsi="Cambria" w:eastAsia="Cambria" w:cs="Cambria"/>
                <w:b/>
                <w:color w:val="000000"/>
                <w:sz w:val="19"/>
              </w:rPr>
              <w:t>Example</w:t>
            </w:r>
          </w:p>
        </w:tc>
        <w:tc>
          <w:tcPr>
            <w:tcW w:type="dxa" w:w="3173"/>
          </w:tcPr>
          <w:p>
            <w:pPr>
              <w:spacing w:before="60" w:after="60" w:line="276" w:lineRule="auto"/>
            </w:pPr>
            <w:r>
              <w:rPr>
                <w:b/>
              </w:rPr>
            </w:r>
            <w:r>
              <w:rPr>
                <w:rFonts w:ascii="Cambria" w:hAnsi="Cambria" w:eastAsia="Cambria" w:cs="Cambria"/>
                <w:b/>
                <w:color w:val="000000"/>
                <w:sz w:val="19"/>
              </w:rPr>
              <w:t>What to do</w:t>
            </w:r>
          </w:p>
        </w:tc>
      </w:tr>
      <w:tr>
        <w:tc>
          <w:tcPr>
            <w:tcW w:type="dxa" w:w="3173"/>
          </w:tcPr>
          <w:p>
            <w:pPr>
              <w:spacing w:before="60" w:after="60" w:line="276" w:lineRule="auto"/>
            </w:pPr>
            <w:r/>
            <w:r>
              <w:rPr>
                <w:rFonts w:ascii="Cambria" w:hAnsi="Cambria" w:eastAsia="Cambria" w:cs="Cambria"/>
                <w:b w:val="0"/>
                <w:color w:val="555555"/>
                <w:sz w:val="19"/>
              </w:rPr>
              <w:t>Critical</w:t>
            </w:r>
          </w:p>
        </w:tc>
        <w:tc>
          <w:tcPr>
            <w:tcW w:type="dxa" w:w="3173"/>
          </w:tcPr>
          <w:p>
            <w:pPr>
              <w:spacing w:before="60" w:after="60" w:line="276" w:lineRule="auto"/>
            </w:pPr>
            <w:r/>
            <w:r>
              <w:rPr>
                <w:rFonts w:ascii="Cambria" w:hAnsi="Cambria" w:eastAsia="Cambria" w:cs="Cambria"/>
                <w:b w:val="0"/>
                <w:color w:val="555555"/>
                <w:sz w:val="19"/>
              </w:rPr>
              <w:t>Personal data exposed, site down, tracking without consent</w:t>
            </w:r>
          </w:p>
        </w:tc>
        <w:tc>
          <w:tcPr>
            <w:tcW w:type="dxa" w:w="3173"/>
          </w:tcPr>
          <w:p>
            <w:pPr>
              <w:spacing w:before="60" w:after="60" w:line="276" w:lineRule="auto"/>
            </w:pPr>
            <w:r/>
            <w:r>
              <w:rPr>
                <w:rFonts w:ascii="Cambria" w:hAnsi="Cambria" w:eastAsia="Cambria" w:cs="Cambria"/>
                <w:b w:val="0"/>
                <w:color w:val="555555"/>
                <w:sz w:val="19"/>
              </w:rPr>
              <w:t>Stop. Tell the owner the same day. If personal data leaked, Datatilsynet must be told within 72 hours of you finding out.</w:t>
            </w:r>
          </w:p>
        </w:tc>
      </w:tr>
      <w:tr>
        <w:tc>
          <w:tcPr>
            <w:tcW w:type="dxa" w:w="3173"/>
          </w:tcPr>
          <w:p>
            <w:pPr>
              <w:spacing w:before="60" w:after="60" w:line="276" w:lineRule="auto"/>
            </w:pPr>
            <w:r/>
            <w:r>
              <w:rPr>
                <w:rFonts w:ascii="Cambria" w:hAnsi="Cambria" w:eastAsia="Cambria" w:cs="Cambria"/>
                <w:b w:val="0"/>
                <w:color w:val="555555"/>
                <w:sz w:val="19"/>
              </w:rPr>
              <w:t>Major</w:t>
            </w:r>
          </w:p>
        </w:tc>
        <w:tc>
          <w:tcPr>
            <w:tcW w:type="dxa" w:w="3173"/>
          </w:tcPr>
          <w:p>
            <w:pPr>
              <w:spacing w:before="60" w:after="60" w:line="276" w:lineRule="auto"/>
            </w:pPr>
            <w:r/>
            <w:r>
              <w:rPr>
                <w:rFonts w:ascii="Cambria" w:hAnsi="Cambria" w:eastAsia="Cambria" w:cs="Cambria"/>
                <w:b w:val="0"/>
                <w:color w:val="555555"/>
                <w:sz w:val="19"/>
              </w:rPr>
              <w:t>Accessibility failure found after launch, payment path broken</w:t>
            </w:r>
          </w:p>
        </w:tc>
        <w:tc>
          <w:tcPr>
            <w:tcW w:type="dxa" w:w="3173"/>
          </w:tcPr>
          <w:p>
            <w:pPr>
              <w:spacing w:before="60" w:after="60" w:line="276" w:lineRule="auto"/>
            </w:pPr>
            <w:r/>
            <w:r>
              <w:rPr>
                <w:rFonts w:ascii="Cambria" w:hAnsi="Cambria" w:eastAsia="Cambria" w:cs="Cambria"/>
                <w:b w:val="0"/>
                <w:color w:val="555555"/>
                <w:sz w:val="19"/>
              </w:rPr>
              <w:t>Log it, fix within five working days, record the cause in the retrospective.</w:t>
            </w:r>
          </w:p>
        </w:tc>
      </w:tr>
      <w:tr>
        <w:tc>
          <w:tcPr>
            <w:tcW w:type="dxa" w:w="3173"/>
          </w:tcPr>
          <w:p>
            <w:pPr>
              <w:spacing w:before="60" w:after="60" w:line="276" w:lineRule="auto"/>
            </w:pPr>
            <w:r/>
            <w:r>
              <w:rPr>
                <w:rFonts w:ascii="Cambria" w:hAnsi="Cambria" w:eastAsia="Cambria" w:cs="Cambria"/>
                <w:b w:val="0"/>
                <w:color w:val="555555"/>
                <w:sz w:val="19"/>
              </w:rPr>
              <w:t>Minor</w:t>
            </w:r>
          </w:p>
        </w:tc>
        <w:tc>
          <w:tcPr>
            <w:tcW w:type="dxa" w:w="3173"/>
          </w:tcPr>
          <w:p>
            <w:pPr>
              <w:spacing w:before="60" w:after="60" w:line="276" w:lineRule="auto"/>
            </w:pPr>
            <w:r/>
            <w:r>
              <w:rPr>
                <w:rFonts w:ascii="Cambria" w:hAnsi="Cambria" w:eastAsia="Cambria" w:cs="Cambria"/>
                <w:b w:val="0"/>
                <w:color w:val="555555"/>
                <w:sz w:val="19"/>
              </w:rPr>
              <w:t>Typo, spacing, missing alt text on a decorative image</w:t>
            </w:r>
          </w:p>
        </w:tc>
        <w:tc>
          <w:tcPr>
            <w:tcW w:type="dxa" w:w="3173"/>
          </w:tcPr>
          <w:p>
            <w:pPr>
              <w:spacing w:before="60" w:after="60" w:line="276" w:lineRule="auto"/>
            </w:pPr>
            <w:r/>
            <w:r>
              <w:rPr>
                <w:rFonts w:ascii="Cambria" w:hAnsi="Cambria" w:eastAsia="Cambria" w:cs="Cambria"/>
                <w:b w:val="0"/>
                <w:color w:val="555555"/>
                <w:sz w:val="19"/>
              </w:rPr>
              <w:t>Log it, fix in the next release.</w:t>
            </w:r>
          </w:p>
        </w:tc>
      </w:tr>
    </w:tbl>
    <w:p>
      <w:pPr>
        <w:spacing w:after="120"/>
      </w:pPr>
    </w:p>
    <w:p>
      <w:pPr>
        <w:keepNext/>
        <w:spacing w:before="360" w:after="120" w:line="300" w:lineRule="auto"/>
      </w:pPr>
      <w:r>
        <w:rPr>
          <w:rFonts w:ascii="Cambria" w:hAnsi="Cambria" w:eastAsia="Cambria" w:cs="Cambria"/>
          <w:b/>
          <w:color w:val="000000"/>
          <w:sz w:val="27"/>
        </w:rPr>
        <w:t>8. What to keep (Dokumentasjon)</w:t>
      </w:r>
    </w:p>
    <w:tbl>
      <w:tblPr>
        <w:tblStyle w:val="TableGrid"/>
        <w:tblW w:type="auto" w:w="0"/>
        <w:tblLook w:firstColumn="1" w:firstRow="1" w:lastColumn="0" w:lastRow="0" w:noHBand="0" w:noVBand="1" w:val="04A0"/>
      </w:tblPr>
      <w:tblGrid>
        <w:gridCol w:w="4759"/>
        <w:gridCol w:w="4759"/>
      </w:tblGrid>
      <w:tr>
        <w:tc>
          <w:tcPr>
            <w:tcW w:type="dxa" w:w="4759"/>
          </w:tcPr>
          <w:p>
            <w:pPr>
              <w:spacing w:before="60" w:after="60" w:line="276" w:lineRule="auto"/>
            </w:pPr>
            <w:r>
              <w:rPr>
                <w:b/>
              </w:rPr>
            </w:r>
            <w:r>
              <w:rPr>
                <w:rFonts w:ascii="Cambria" w:hAnsi="Cambria" w:eastAsia="Cambria" w:cs="Cambria"/>
                <w:b/>
                <w:color w:val="000000"/>
                <w:sz w:val="19"/>
              </w:rPr>
              <w:t>Record</w:t>
            </w:r>
          </w:p>
        </w:tc>
        <w:tc>
          <w:tcPr>
            <w:tcW w:type="dxa" w:w="4759"/>
          </w:tcPr>
          <w:p>
            <w:pPr>
              <w:spacing w:before="60" w:after="60" w:line="276" w:lineRule="auto"/>
            </w:pPr>
            <w:r>
              <w:rPr>
                <w:b/>
              </w:rPr>
            </w:r>
            <w:r>
              <w:rPr>
                <w:rFonts w:ascii="Cambria" w:hAnsi="Cambria" w:eastAsia="Cambria" w:cs="Cambria"/>
                <w:b/>
                <w:color w:val="000000"/>
                <w:sz w:val="19"/>
              </w:rPr>
              <w:t>Keep for</w:t>
            </w:r>
          </w:p>
        </w:tc>
      </w:tr>
      <w:tr>
        <w:tc>
          <w:tcPr>
            <w:tcW w:type="dxa" w:w="4759"/>
          </w:tcPr>
          <w:p>
            <w:pPr>
              <w:spacing w:before="60" w:after="60" w:line="276" w:lineRule="auto"/>
            </w:pPr>
            <w:r/>
            <w:r>
              <w:rPr>
                <w:rFonts w:ascii="Cambria" w:hAnsi="Cambria" w:eastAsia="Cambria" w:cs="Cambria"/>
                <w:b w:val="0"/>
                <w:color w:val="555555"/>
                <w:sz w:val="19"/>
              </w:rPr>
              <w:t>Signed brief and gate approvals</w:t>
            </w:r>
          </w:p>
        </w:tc>
        <w:tc>
          <w:tcPr>
            <w:tcW w:type="dxa" w:w="4759"/>
          </w:tcPr>
          <w:p>
            <w:pPr>
              <w:spacing w:before="60" w:after="60" w:line="276" w:lineRule="auto"/>
            </w:pPr>
            <w:r/>
            <w:r>
              <w:rPr>
                <w:rFonts w:ascii="Cambria" w:hAnsi="Cambria" w:eastAsia="Cambria" w:cs="Cambria"/>
                <w:b w:val="0"/>
                <w:color w:val="555555"/>
                <w:sz w:val="19"/>
              </w:rPr>
              <w:t>5 years</w:t>
            </w:r>
          </w:p>
        </w:tc>
      </w:tr>
      <w:tr>
        <w:tc>
          <w:tcPr>
            <w:tcW w:type="dxa" w:w="4759"/>
          </w:tcPr>
          <w:p>
            <w:pPr>
              <w:spacing w:before="60" w:after="60" w:line="276" w:lineRule="auto"/>
            </w:pPr>
            <w:r/>
            <w:r>
              <w:rPr>
                <w:rFonts w:ascii="Cambria" w:hAnsi="Cambria" w:eastAsia="Cambria" w:cs="Cambria"/>
                <w:b w:val="0"/>
                <w:color w:val="555555"/>
                <w:sz w:val="19"/>
              </w:rPr>
              <w:t>Design tokens and contrast report</w:t>
            </w:r>
          </w:p>
        </w:tc>
        <w:tc>
          <w:tcPr>
            <w:tcW w:type="dxa" w:w="4759"/>
          </w:tcPr>
          <w:p>
            <w:pPr>
              <w:spacing w:before="60" w:after="60" w:line="276" w:lineRule="auto"/>
            </w:pPr>
            <w:r/>
            <w:r>
              <w:rPr>
                <w:rFonts w:ascii="Cambria" w:hAnsi="Cambria" w:eastAsia="Cambria" w:cs="Cambria"/>
                <w:b w:val="0"/>
                <w:color w:val="555555"/>
                <w:sz w:val="19"/>
              </w:rPr>
              <w:t>Life of the site</w:t>
            </w:r>
          </w:p>
        </w:tc>
      </w:tr>
      <w:tr>
        <w:tc>
          <w:tcPr>
            <w:tcW w:type="dxa" w:w="4759"/>
          </w:tcPr>
          <w:p>
            <w:pPr>
              <w:spacing w:before="60" w:after="60" w:line="276" w:lineRule="auto"/>
            </w:pPr>
            <w:r/>
            <w:r>
              <w:rPr>
                <w:rFonts w:ascii="Cambria" w:hAnsi="Cambria" w:eastAsia="Cambria" w:cs="Cambria"/>
                <w:b w:val="0"/>
                <w:color w:val="555555"/>
                <w:sz w:val="19"/>
              </w:rPr>
              <w:t>Test log and accessibility report</w:t>
            </w:r>
          </w:p>
        </w:tc>
        <w:tc>
          <w:tcPr>
            <w:tcW w:type="dxa" w:w="4759"/>
          </w:tcPr>
          <w:p>
            <w:pPr>
              <w:spacing w:before="60" w:after="60" w:line="276" w:lineRule="auto"/>
            </w:pPr>
            <w:r/>
            <w:r>
              <w:rPr>
                <w:rFonts w:ascii="Cambria" w:hAnsi="Cambria" w:eastAsia="Cambria" w:cs="Cambria"/>
                <w:b w:val="0"/>
                <w:color w:val="555555"/>
                <w:sz w:val="19"/>
              </w:rPr>
              <w:t>5 years</w:t>
            </w:r>
          </w:p>
        </w:tc>
      </w:tr>
      <w:tr>
        <w:tc>
          <w:tcPr>
            <w:tcW w:type="dxa" w:w="4759"/>
          </w:tcPr>
          <w:p>
            <w:pPr>
              <w:spacing w:before="60" w:after="60" w:line="276" w:lineRule="auto"/>
            </w:pPr>
            <w:r/>
            <w:r>
              <w:rPr>
                <w:rFonts w:ascii="Cambria" w:hAnsi="Cambria" w:eastAsia="Cambria" w:cs="Cambria"/>
                <w:b w:val="0"/>
                <w:color w:val="555555"/>
                <w:sz w:val="19"/>
              </w:rPr>
              <w:t>Privacy assessment and processor agreement</w:t>
            </w:r>
          </w:p>
        </w:tc>
        <w:tc>
          <w:tcPr>
            <w:tcW w:type="dxa" w:w="4759"/>
          </w:tcPr>
          <w:p>
            <w:pPr>
              <w:spacing w:before="60" w:after="60" w:line="276" w:lineRule="auto"/>
            </w:pPr>
            <w:r/>
            <w:r>
              <w:rPr>
                <w:rFonts w:ascii="Cambria" w:hAnsi="Cambria" w:eastAsia="Cambria" w:cs="Cambria"/>
                <w:b w:val="0"/>
                <w:color w:val="555555"/>
                <w:sz w:val="19"/>
              </w:rPr>
              <w:t>Length of processing, plus 5 years</w:t>
            </w:r>
          </w:p>
        </w:tc>
      </w:tr>
      <w:tr>
        <w:tc>
          <w:tcPr>
            <w:tcW w:type="dxa" w:w="4759"/>
          </w:tcPr>
          <w:p>
            <w:pPr>
              <w:spacing w:before="60" w:after="60" w:line="276" w:lineRule="auto"/>
            </w:pPr>
            <w:r/>
            <w:r>
              <w:rPr>
                <w:rFonts w:ascii="Cambria" w:hAnsi="Cambria" w:eastAsia="Cambria" w:cs="Cambria"/>
                <w:b w:val="0"/>
                <w:color w:val="555555"/>
                <w:sz w:val="19"/>
              </w:rPr>
              <w:t>Handover manual and training recording</w:t>
            </w:r>
          </w:p>
        </w:tc>
        <w:tc>
          <w:tcPr>
            <w:tcW w:type="dxa" w:w="4759"/>
          </w:tcPr>
          <w:p>
            <w:pPr>
              <w:spacing w:before="60" w:after="60" w:line="276" w:lineRule="auto"/>
            </w:pPr>
            <w:r/>
            <w:r>
              <w:rPr>
                <w:rFonts w:ascii="Cambria" w:hAnsi="Cambria" w:eastAsia="Cambria" w:cs="Cambria"/>
                <w:b w:val="0"/>
                <w:color w:val="555555"/>
                <w:sz w:val="19"/>
              </w:rPr>
              <w:t>Life of the site</w:t>
            </w:r>
          </w:p>
        </w:tc>
      </w:tr>
      <w:tr>
        <w:tc>
          <w:tcPr>
            <w:tcW w:type="dxa" w:w="4759"/>
          </w:tcPr>
          <w:p>
            <w:pPr>
              <w:spacing w:before="60" w:after="60" w:line="276" w:lineRule="auto"/>
            </w:pPr>
            <w:r/>
            <w:r>
              <w:rPr>
                <w:rFonts w:ascii="Cambria" w:hAnsi="Cambria" w:eastAsia="Cambria" w:cs="Cambria"/>
                <w:b w:val="0"/>
                <w:color w:val="555555"/>
                <w:sz w:val="19"/>
              </w:rPr>
              <w:t>Retrospective notes</w:t>
            </w:r>
          </w:p>
        </w:tc>
        <w:tc>
          <w:tcPr>
            <w:tcW w:type="dxa" w:w="4759"/>
          </w:tcPr>
          <w:p>
            <w:pPr>
              <w:spacing w:before="60" w:after="60" w:line="276" w:lineRule="auto"/>
            </w:pPr>
            <w:r/>
            <w:r>
              <w:rPr>
                <w:rFonts w:ascii="Cambria" w:hAnsi="Cambria" w:eastAsia="Cambria" w:cs="Cambria"/>
                <w:b w:val="0"/>
                <w:color w:val="555555"/>
                <w:sz w:val="19"/>
              </w:rPr>
              <w:t>3 years</w:t>
            </w:r>
          </w:p>
        </w:tc>
      </w:tr>
    </w:tbl>
    <w:p>
      <w:pPr>
        <w:spacing w:after="120"/>
      </w:pPr>
    </w:p>
    <w:p>
      <w:pPr>
        <w:keepNext w:val="0"/>
        <w:spacing w:before="0" w:after="120" w:line="300" w:lineRule="auto"/>
      </w:pPr>
      <w:r>
        <w:rPr>
          <w:rFonts w:ascii="Cambria" w:hAnsi="Cambria" w:eastAsia="Cambria" w:cs="Cambria"/>
          <w:b w:val="0"/>
          <w:color w:val="000000"/>
          <w:sz w:val="21"/>
        </w:rPr>
        <w:t>If a step here does not work in practice, say so and we will change it. A procedure nobody follows is worse than no procedure.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