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Kausap AI — System Design Documentation</w:t>
      </w:r>
    </w:p>
    <w:p>
      <w:pPr>
        <w:spacing w:after="120"/>
      </w:pPr>
      <w:r>
        <w:t xml:space="preserve">Software Development Model, System Flowcharts, Data Flow Diagrams, Use Case Diagram, and Entity Relationship Diagram.</w:t>
      </w:r>
    </w:p>
    <w:p>
      <w:pPr>
        <w:pStyle w:val="Heading2"/>
        <w:spacing w:before="200"/>
      </w:pPr>
      <w:r>
        <w:t xml:space="preserve">1. Software Development Model</w:t>
      </w:r>
    </w:p>
    <w:p>
      <w:pPr>
        <w:spacing w:after="120"/>
      </w:pPr>
      <w:r>
        <w:t xml:space="preserve">The Kausap AI platform was developed using the Agile Iterative-Incremental model. The system was built in small, working increments (24+ tracked phases, from backend setup and signup flows to dark mode, security hardening, and micro-interactions), with each increment going through planning, design, development, testing, deployment, and review. Feedback from beta testers (students and counselors) fed directly into the product backlog for the next increment.</w:t>
      </w:r>
    </w:p>
    <w:p>
      <w:pPr>
        <w:spacing w:after="120"/>
      </w:pPr>
      <w:r>
        <w:t xml:space="preserve">This model was chosen because mental-health requirements (clinical guardrails, counselor triage, privacy) evolved as stakeholders reviewed working builds, and because it allowed continuous delivery via CI/CD.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3000"/>
      </w:tblGrid>
      <w:tr>
        <w:trPr>
          <w:tblHeader/>
        </w:trPr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284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284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 in Kausap AI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284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Planning</w:t>
            </w:r>
          </w:p>
        </w:tc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phase scope from backlog; write implementation plans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plans, GitHub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screens, REST API contracts, SQLModel database schema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widgets, FastAPI, SQLModel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client and FastAPI backend, AI provider chain, clinical guardrails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Dart, Python, VS Code / Antigravity IDE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test suites, E2E browser test, static analysis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scripts, Playwright, flutter analyze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web and APK builds; backend hosting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Actions, Firebase Hosting, Render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5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feedback and bug-fix cycle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monitoring, beta testing notes</w:t>
            </w:r>
          </w:p>
        </w:tc>
      </w:tr>
    </w:tbl>
    <w:p>
      <w:pPr>
        <w:jc w:val="center"/>
      </w:pPr>
      <w:r>
        <w:drawing>
          <wp:inline distT="0" distB="0" distL="0" distR="0">
            <wp:extent cx="81915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1. Agile Iterative-Incremental Development Model</w:t>
      </w:r>
    </w:p>
    <w:p>
      <w:pPr>
        <w:pStyle w:val="Heading1"/>
        <w:pageBreakBefore/>
      </w:pPr>
      <w:r>
        <w:t xml:space="preserve">2. System Flowcharts</w:t>
      </w:r>
    </w:p>
    <w:p>
      <w:pPr>
        <w:spacing w:after="120"/>
      </w:pPr>
      <w:r>
        <w:t xml:space="preserve">Flowchart 1 shows the overall user journey and role-based routing (Student, Counselor, Administrator). Flowchart 2 details the AI chat pipeline with its three safety layers and multi-provider fallback chain.</w:t>
      </w:r>
    </w:p>
    <w:p>
      <w:pPr>
        <w:jc w:val="center"/>
      </w:pPr>
      <w:r>
        <w:drawing>
          <wp:inline distT="0" distB="0" distL="0" distR="0">
            <wp:extent cx="2390775" cy="4953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2. Main System Flowchart</w:t>
      </w:r>
    </w:p>
    <w:p>
      <w:pPr>
        <w:pStyle w:val="Heading1"/>
        <w:pageBreakBefore/>
      </w:pPr>
      <w:r>
        <w:t xml:space="preserve">2.1 AI Chat Pipeline Flowchart</w:t>
      </w:r>
    </w:p>
    <w:p>
      <w:pPr>
        <w:jc w:val="center"/>
      </w:pPr>
      <w:r>
        <w:drawing>
          <wp:inline distT="0" distB="0" distL="0" distR="0">
            <wp:extent cx="1162050" cy="4953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3. AI Chat Pipeline and Clinical Guardrails Flowchart</w:t>
      </w:r>
    </w:p>
    <w:p>
      <w:pPr>
        <w:pStyle w:val="Heading1"/>
        <w:pageBreakBefore/>
      </w:pPr>
      <w:r>
        <w:t xml:space="preserve">3. Data Flow Diagram</w:t>
      </w:r>
    </w:p>
    <w:p>
      <w:pPr>
        <w:pStyle w:val="Heading2"/>
        <w:spacing w:before="200"/>
      </w:pPr>
      <w:r>
        <w:t xml:space="preserve">3.1 Context Diagram (Level 0)</w:t>
      </w:r>
    </w:p>
    <w:p>
      <w:pPr>
        <w:jc w:val="center"/>
      </w:pPr>
      <w:r>
        <w:drawing>
          <wp:inline distT="0" distB="0" distL="0" distR="0">
            <wp:extent cx="8191500" cy="4295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4. DFD Level 0 — Context Diagram</w:t>
      </w:r>
    </w:p>
    <w:p>
      <w:pPr>
        <w:pStyle w:val="Heading1"/>
        <w:pageBreakBefore/>
      </w:pPr>
      <w:r>
        <w:t xml:space="preserve">3.2 Level 1 Data Flow Diagram</w:t>
      </w:r>
    </w:p>
    <w:p>
      <w:pPr>
        <w:jc w:val="center"/>
      </w:pPr>
      <w:r>
        <w:drawing>
          <wp:inline distT="0" distB="0" distL="0" distR="0">
            <wp:extent cx="2895600" cy="4953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5. DFD Level 1</w:t>
      </w:r>
    </w:p>
    <w:p>
      <w:pPr>
        <w:pStyle w:val="Heading1"/>
        <w:pageBreakBefore/>
      </w:pPr>
      <w:r>
        <w:t xml:space="preserve">4. Use Case Diagram</w:t>
      </w:r>
    </w:p>
    <w:p>
      <w:pPr>
        <w:spacing w:after="120"/>
      </w:pPr>
      <w:r>
        <w:t xml:space="preserve">Actors: Student/Client, Guidance Counselor, System Administrator; external actors: AI Provider and Email Service.</w:t>
      </w:r>
    </w:p>
    <w:p>
      <w:pPr>
        <w:pStyle w:val="Heading2"/>
        <w:spacing w:before="200"/>
      </w:pPr>
      <w:r>
        <w:t xml:space="preserve">4.1 Student / Client</w:t>
      </w:r>
    </w:p>
    <w:p>
      <w:pPr>
        <w:jc w:val="center"/>
      </w:pPr>
      <w:r>
        <w:drawing>
          <wp:inline distT="0" distB="0" distL="0" distR="0">
            <wp:extent cx="4181475" cy="4953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6. Use Case Diagram — Student / Client</w:t>
      </w:r>
    </w:p>
    <w:p>
      <w:pPr>
        <w:pStyle w:val="Heading1"/>
        <w:pageBreakBefore/>
      </w:pPr>
      <w:r>
        <w:t xml:space="preserve">4.2 Guidance Counselor</w:t>
      </w:r>
    </w:p>
    <w:p>
      <w:pPr>
        <w:jc w:val="center"/>
      </w:pPr>
      <w:r>
        <w:drawing>
          <wp:inline distT="0" distB="0" distL="0" distR="0">
            <wp:extent cx="7248525" cy="4953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7. Use Case Diagram — Guidance Counselor</w:t>
      </w:r>
    </w:p>
    <w:p>
      <w:pPr>
        <w:pStyle w:val="Heading1"/>
        <w:pageBreakBefore/>
      </w:pPr>
      <w:r>
        <w:t xml:space="preserve">4.3 System Administrator</w:t>
      </w:r>
    </w:p>
    <w:p>
      <w:pPr>
        <w:jc w:val="center"/>
      </w:pPr>
      <w:r>
        <w:drawing>
          <wp:inline distT="0" distB="0" distL="0" distR="0">
            <wp:extent cx="3895725" cy="4953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8. Use Case Diagram — System Administrator</w:t>
      </w:r>
    </w:p>
    <w:p>
      <w:pPr>
        <w:pStyle w:val="Heading1"/>
        <w:pageBreakBefore/>
      </w:pPr>
      <w:r>
        <w:t xml:space="preserve">5. Entity Relationship Diagram</w:t>
      </w:r>
    </w:p>
    <w:p>
      <w:pPr>
        <w:spacing w:after="120"/>
      </w:pPr>
      <w:r>
        <w:t xml:space="preserve">Database: Neon Serverless PostgreSQL, modeled with SQLModel/SQLAlchemy.</w:t>
      </w:r>
    </w:p>
    <w:p>
      <w:pPr>
        <w:jc w:val="center"/>
      </w:pPr>
      <w:r>
        <w:drawing>
          <wp:inline distT="0" distB="0" distL="0" distR="0">
            <wp:extent cx="5876925" cy="4953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9. Entity Relationship Diagram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cc02e643b4bdabc7b41dc0649d7d8488c610880.png"/><Relationship Id="rId8" Type="http://schemas.openxmlformats.org/officeDocument/2006/relationships/image" Target="media/e53175c10de7957ce506eb60e056f07e42df4f4e.png"/><Relationship Id="rId9" Type="http://schemas.openxmlformats.org/officeDocument/2006/relationships/image" Target="media/54adc56c9d4e496dc067a26e9080c246906b45cd.png"/><Relationship Id="rId10" Type="http://schemas.openxmlformats.org/officeDocument/2006/relationships/image" Target="media/c13157ee4c9b38e3facd75241f78f079af3ebd6e.png"/><Relationship Id="rId11" Type="http://schemas.openxmlformats.org/officeDocument/2006/relationships/image" Target="media/b75c6d1b4484efb3b2b40f02861ddba2a2688b43.png"/><Relationship Id="rId12" Type="http://schemas.openxmlformats.org/officeDocument/2006/relationships/image" Target="media/cbb3ddf54d7841c285f956e6e2da09b5cd09a15a.png"/><Relationship Id="rId13" Type="http://schemas.openxmlformats.org/officeDocument/2006/relationships/image" Target="media/64519f893867b82b68dad34bb74960f44bf34a46.png"/><Relationship Id="rId14" Type="http://schemas.openxmlformats.org/officeDocument/2006/relationships/image" Target="media/01536213d57895d74018f731d154abfbfc2f09ff.png"/><Relationship Id="rId15" Type="http://schemas.openxmlformats.org/officeDocument/2006/relationships/image" Target="media/c340f5896fb113894766dfeb46463711899663e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2026-10-14T12:05:11.285Z</dcterms:created>
  <dcterms:modified xsi:type="dcterms:W3CDTF">2026-10-14T12:05:11.286Z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