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E40AF"/>
          <w:sz w:val="52"/>
          <w:szCs w:val="52"/>
        </w:rPr>
        <w:t xml:space="preserve">AI ECOSYSTEM ANALYSIS</w:t>
      </w:r>
    </w:p>
    <w:p>
      <w:pPr>
        <w:spacing w:before="0" w:after="60"/>
        <w:jc w:val="center"/>
      </w:pPr>
      <w:r>
        <w:rPr>
          <w:rFonts w:ascii="Arial" w:cs="Arial" w:eastAsia="Arial" w:hAnsi="Arial"/>
          <w:color w:val="374151"/>
          <w:sz w:val="36"/>
          <w:szCs w:val="36"/>
        </w:rPr>
        <w:t xml:space="preserve">Periodic Table of AI Startups</w:t>
      </w:r>
    </w:p>
    <w:p>
      <w:pPr>
        <w:spacing w:before="0" w:after="60"/>
        <w:jc w:val="center"/>
      </w:pPr>
      <w:r>
        <w:rPr>
          <w:rFonts w:ascii="Arial" w:cs="Arial" w:eastAsia="Arial" w:hAnsi="Arial"/>
          <w:color w:val="6B7280"/>
          <w:sz w:val="26"/>
          <w:szCs w:val="26"/>
        </w:rPr>
        <w:t xml:space="preserve">February 2025 – February 2026</w:t>
      </w:r>
    </w:p>
    <w:p>
      <w:pPr>
        <w:pBdr>
          <w:bottom w:val="single" w:color="1E40AF" w:sz="6" w:space="1"/>
        </w:pBdr>
        <w:spacing w:before="100" w:after="100"/>
      </w:pPr>
    </w:p>
    <w:p>
      <w:pPr>
        <w:spacing w:before="80" w:after="60"/>
        <w:jc w:val="center"/>
      </w:pPr>
      <w:r>
        <w:rPr>
          <w:rFonts w:ascii="Arial" w:cs="Arial" w:eastAsia="Arial" w:hAnsi="Arial"/>
          <w:i/>
          <w:iCs/>
          <w:color w:val="6B7280"/>
          <w:sz w:val="20"/>
          <w:szCs w:val="20"/>
        </w:rPr>
        <w:t xml:space="preserve">Prepared for: Venture Capitalists, Startup Founders &amp; Strategy Teams</w:t>
      </w:r>
    </w:p>
    <w:p>
      <w:pPr>
        <w:spacing w:before="400"/>
      </w:pPr>
    </w:p>
    <w:p>
      <w:pPr>
        <w:pStyle w:val="Heading1"/>
        <w:spacing w:before="360" w:after="180"/>
      </w:pPr>
      <w:r>
        <w:rPr>
          <w:rFonts w:ascii="Arial" w:cs="Arial" w:eastAsia="Arial" w:hAnsi="Arial"/>
          <w:b/>
          <w:bCs/>
          <w:color w:val="1E40AF"/>
          <w:sz w:val="32"/>
          <w:szCs w:val="32"/>
        </w:rPr>
        <w:t xml:space="preserve">1. Executive Summary</w:t>
      </w:r>
    </w:p>
    <w:p>
      <w:pPr>
        <w:pBdr>
          <w:bottom w:val="single" w:color="1E40AF" w:sz="6" w:space="1"/>
        </w:pBdr>
        <w:spacing w:before="100" w:after="100"/>
      </w:pPr>
    </w:p>
    <w:p>
      <w:pPr>
        <w:spacing w:before="100" w:after="120"/>
      </w:pPr>
      <w:r>
        <w:rPr>
          <w:rFonts w:ascii="Arial" w:cs="Arial" w:eastAsia="Arial" w:hAnsi="Arial"/>
          <w:sz w:val="22"/>
          <w:szCs w:val="22"/>
        </w:rPr>
        <w:t xml:space="preserve">The artificial intelligence startup ecosystem in 2025–2026 is experiencing unprecedented growth across all segments. With over 300 startups tracked and more than $137 billion in total funding, AI has firmly established itself as the defining technology investment theme of this era.</w:t>
      </w:r>
    </w:p>
    <w:p>
      <w:pPr>
        <w:spacing w:before="100" w:after="120"/>
      </w:pPr>
      <w:r>
        <w:rPr>
          <w:rFonts w:ascii="Arial" w:cs="Arial" w:eastAsia="Arial" w:hAnsi="Arial"/>
          <w:sz w:val="22"/>
          <w:szCs w:val="22"/>
        </w:rPr>
        <w:t xml:space="preserve">This report analyzes 14 distinct AI categories spanning Foundation Models, Horizontal AI tools, Vertical AI applications, and Emerging &amp; Frontier technologies. The data reveals a market that is simultaneously consolidating at the top (Foundation Models absorbing 58% of all funding) while rapidly diversifying at the bottom through specialized verticals and emerging segments.</w:t>
      </w:r>
    </w:p>
    <w:p>
      <w:pPr>
        <w:spacing w:before="100" w:after="120"/>
      </w:pPr>
      <w:r>
        <w:rPr>
          <w:rFonts w:ascii="Arial" w:cs="Arial" w:eastAsia="Arial" w:hAnsi="Arial"/>
          <w:sz w:val="22"/>
          <w:szCs w:val="22"/>
        </w:rPr>
        <w:t xml:space="preserve">Three categories stand out as the most explosive growth opportunities: AI Coding &amp; Dev Tools (+320% YoY), AI Agents &amp; Copilots (+260%), and Vertical SaaS + AI (+250%). These segments represent where the next generation of market leaders are being formed today.</w:t>
      </w:r>
    </w:p>
    <w:p>
      <w:pPr>
        <w:spacing w:before="200"/>
      </w:pPr>
    </w:p>
    <w:p>
      <w:pPr>
        <w:pStyle w:val="Heading1"/>
        <w:spacing w:before="360" w:after="180"/>
      </w:pPr>
      <w:r>
        <w:rPr>
          <w:rFonts w:ascii="Arial" w:cs="Arial" w:eastAsia="Arial" w:hAnsi="Arial"/>
          <w:b/>
          <w:bCs/>
          <w:color w:val="1E40AF"/>
          <w:sz w:val="32"/>
          <w:szCs w:val="32"/>
        </w:rPr>
        <w:t xml:space="preserve">2. Market Overview</w:t>
      </w:r>
    </w:p>
    <w:p>
      <w:pPr>
        <w:pBdr>
          <w:bottom w:val="single" w:color="1E40AF" w:sz="6" w:space="1"/>
        </w:pBdr>
        <w:spacing w:before="100" w:after="100"/>
      </w:pPr>
    </w:p>
    <w:p>
      <w:pPr>
        <w:pStyle w:val="Heading2"/>
        <w:spacing w:before="280" w:after="120"/>
      </w:pPr>
      <w:r>
        <w:rPr>
          <w:rFonts w:ascii="Arial" w:cs="Arial" w:eastAsia="Arial" w:hAnsi="Arial"/>
          <w:b/>
          <w:bCs/>
          <w:color w:val="1E3A8A"/>
          <w:sz w:val="26"/>
          <w:szCs w:val="26"/>
        </w:rPr>
        <w:t xml:space="preserve">2.1 The Big Picture</w:t>
      </w:r>
    </w:p>
    <w:p>
      <w:pPr>
        <w:spacing w:before="100" w:after="120"/>
      </w:pPr>
      <w:r>
        <w:rPr>
          <w:rFonts w:ascii="Arial" w:cs="Arial" w:eastAsia="Arial" w:hAnsi="Arial"/>
          <w:sz w:val="22"/>
          <w:szCs w:val="22"/>
        </w:rPr>
        <w:t xml:space="preserve">The AI startup market analyzed in this report encompasses 14 categories, 309 total startups, and $137 billion in combined funding. This is not a market in its infancy — it is a market in full acceleration.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Funding</w:t>
            </w:r>
          </w:p>
        </w:tc>
        <w:tc>
          <w:tcPr>
            <w:tcW w:type="dxa" w:w="324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Startups</w:t>
            </w:r>
          </w:p>
        </w:tc>
        <w:tc>
          <w:tcPr>
            <w:tcW w:type="dxa" w:w="324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YoY Growth</w:t>
            </w:r>
          </w:p>
        </w:tc>
      </w:tr>
      <w:tr>
        <w:tc>
          <w:tcPr>
            <w:tcW w:type="dxa" w:w="3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sz w:val="20"/>
                <w:szCs w:val="20"/>
              </w:rPr>
              <w:t xml:space="preserve">$137.5 Billion</w:t>
            </w:r>
          </w:p>
        </w:tc>
        <w:tc>
          <w:tcPr>
            <w:tcW w:type="dxa" w:w="3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sz w:val="20"/>
                <w:szCs w:val="20"/>
              </w:rPr>
              <w:t xml:space="preserve">309 Companies</w:t>
            </w:r>
          </w:p>
        </w:tc>
        <w:tc>
          <w:tcPr>
            <w:tcW w:type="dxa" w:w="3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sz w:val="20"/>
                <w:szCs w:val="20"/>
              </w:rPr>
              <w:t xml:space="preserve">~184%</w:t>
            </w:r>
          </w:p>
        </w:tc>
      </w:tr>
    </w:tbl>
    <w:p>
      <w:pPr>
        <w:spacing w:before="200"/>
      </w:pPr>
    </w:p>
    <w:p>
      <w:pPr>
        <w:pStyle w:val="Heading2"/>
        <w:spacing w:before="280" w:after="120"/>
      </w:pPr>
      <w:r>
        <w:rPr>
          <w:rFonts w:ascii="Arial" w:cs="Arial" w:eastAsia="Arial" w:hAnsi="Arial"/>
          <w:b/>
          <w:bCs/>
          <w:color w:val="1E3A8A"/>
          <w:sz w:val="26"/>
          <w:szCs w:val="26"/>
        </w:rPr>
        <w:t xml:space="preserve">2.2 The Four Major Groups</w:t>
      </w:r>
    </w:p>
    <w:p>
      <w:pPr>
        <w:spacing w:before="100" w:after="120"/>
      </w:pPr>
      <w:r>
        <w:rPr>
          <w:rFonts w:ascii="Arial" w:cs="Arial" w:eastAsia="Arial" w:hAnsi="Arial"/>
          <w:sz w:val="22"/>
          <w:szCs w:val="22"/>
        </w:rPr>
        <w:t xml:space="preserve">The 14 categories organize into four strategic layers of the AI stack:</w:t>
      </w:r>
    </w:p>
    <w:p>
      <w:pPr>
        <w:pStyle w:val="ListParagraph"/>
        <w:numPr>
          <w:ilvl w:val="0"/>
          <w:numId w:val="2"/>
        </w:numPr>
        <w:spacing w:before="60" w:after="60"/>
      </w:pPr>
      <w:r>
        <w:rPr>
          <w:rFonts w:ascii="Arial" w:cs="Arial" w:eastAsia="Arial" w:hAnsi="Arial"/>
          <w:sz w:val="22"/>
          <w:szCs w:val="22"/>
        </w:rPr>
        <w:t xml:space="preserve">Foundation Layer (2 categories): The infrastructure and model base — highest funding concentration at $87B combined</w:t>
      </w:r>
    </w:p>
    <w:p>
      <w:pPr>
        <w:pStyle w:val="ListParagraph"/>
        <w:numPr>
          <w:ilvl w:val="0"/>
          <w:numId w:val="2"/>
        </w:numPr>
        <w:spacing w:before="60" w:after="60"/>
      </w:pPr>
      <w:r>
        <w:rPr>
          <w:rFonts w:ascii="Arial" w:cs="Arial" w:eastAsia="Arial" w:hAnsi="Arial"/>
          <w:sz w:val="22"/>
          <w:szCs w:val="22"/>
        </w:rPr>
        <w:t xml:space="preserve">Horizontal AI (4 categories): Cross-industry tools used by all businesses — fastest collective growth, $28B in funding</w:t>
      </w:r>
    </w:p>
    <w:p>
      <w:pPr>
        <w:pStyle w:val="ListParagraph"/>
        <w:numPr>
          <w:ilvl w:val="0"/>
          <w:numId w:val="2"/>
        </w:numPr>
        <w:spacing w:before="60" w:after="60"/>
      </w:pPr>
      <w:r>
        <w:rPr>
          <w:rFonts w:ascii="Arial" w:cs="Arial" w:eastAsia="Arial" w:hAnsi="Arial"/>
          <w:sz w:val="22"/>
          <w:szCs w:val="22"/>
        </w:rPr>
        <w:t xml:space="preserve">Vertical AI (5 categories): Industry-specific applications — most diverse segment, $13.7B across healthcare, finance, legal, science, and SaaS</w:t>
      </w:r>
    </w:p>
    <w:p>
      <w:pPr>
        <w:pStyle w:val="ListParagraph"/>
        <w:numPr>
          <w:ilvl w:val="0"/>
          <w:numId w:val="2"/>
        </w:numPr>
        <w:spacing w:before="60" w:after="60"/>
      </w:pPr>
      <w:r>
        <w:rPr>
          <w:rFonts w:ascii="Arial" w:cs="Arial" w:eastAsia="Arial" w:hAnsi="Arial"/>
          <w:sz w:val="22"/>
          <w:szCs w:val="22"/>
        </w:rPr>
        <w:t xml:space="preserve">Emerging &amp; Frontier (3 categories): Next-wave categories including robotics, security, and voice AI — $8.8B in early-stage capital</w:t>
      </w:r>
    </w:p>
    <w:p>
      <w:pPr>
        <w:spacing w:before="200"/>
      </w:pPr>
    </w:p>
    <w:p>
      <w:pPr>
        <w:pStyle w:val="Heading1"/>
        <w:spacing w:before="360" w:after="180"/>
      </w:pPr>
      <w:r>
        <w:rPr>
          <w:rFonts w:ascii="Arial" w:cs="Arial" w:eastAsia="Arial" w:hAnsi="Arial"/>
          <w:b/>
          <w:bCs/>
          <w:color w:val="1E40AF"/>
          <w:sz w:val="32"/>
          <w:szCs w:val="32"/>
        </w:rPr>
        <w:t xml:space="preserve">3. Funding Concentration Analysis</w:t>
      </w:r>
    </w:p>
    <w:p>
      <w:pPr>
        <w:pBdr>
          <w:bottom w:val="single" w:color="1E40AF" w:sz="6" w:space="1"/>
        </w:pBdr>
        <w:spacing w:before="100" w:after="100"/>
      </w:pPr>
    </w:p>
    <w:p>
      <w:pPr>
        <w:pStyle w:val="Heading2"/>
        <w:spacing w:before="280" w:after="120"/>
      </w:pPr>
      <w:r>
        <w:rPr>
          <w:rFonts w:ascii="Arial" w:cs="Arial" w:eastAsia="Arial" w:hAnsi="Arial"/>
          <w:b/>
          <w:bCs/>
          <w:color w:val="1E3A8A"/>
          <w:sz w:val="26"/>
          <w:szCs w:val="26"/>
        </w:rPr>
        <w:t xml:space="preserve">3.1 Funding by Category (Ranked)</w:t>
      </w:r>
    </w:p>
    <w:p>
      <w:pPr>
        <w:spacing w:before="100" w:after="120"/>
      </w:pPr>
      <w:r>
        <w:rPr>
          <w:rFonts w:ascii="Arial" w:cs="Arial" w:eastAsia="Arial" w:hAnsi="Arial"/>
          <w:sz w:val="22"/>
          <w:szCs w:val="22"/>
        </w:rPr>
        <w:t xml:space="preserve">The following table ranks all 14 AI categories by total funding, revealing a highly concentrated market where the top 3 categories account for nearly 75% of all capital deployed.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1800"/>
        <w:gridCol w:w="2720"/>
      </w:tblGrid>
      <w:tr>
        <w:tc>
          <w:tcPr>
            <w:tcW w:type="dxa" w:w="4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Funding ($B)</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Startups</w:t>
            </w:r>
          </w:p>
        </w:tc>
        <w:tc>
          <w:tcPr>
            <w:tcW w:type="dxa" w:w="272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Foundation Models &amp; LLMs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$80.0B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Mature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Agents &amp; Copilots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Explosive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Enterprise AI Software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Steady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Healthcare AI</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Coding &amp; Dev 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Explosive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Autonomous &amp; Robotics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Science &amp; Drug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Security &amp; Compliance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Financial Services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Steady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Generative Media</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Steady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Voice &amp; Conversational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Legal AI</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$1.5B</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Rising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Vertical SaaS +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Explosive 🚀</w:t>
            </w:r>
          </w:p>
        </w:tc>
      </w:tr>
    </w:tbl>
    <w:p>
      <w:pPr>
        <w:spacing w:before="200"/>
      </w:pPr>
    </w:p>
    <w:p>
      <w:pPr>
        <w:pStyle w:val="Heading2"/>
        <w:spacing w:before="280" w:after="120"/>
      </w:pPr>
      <w:r>
        <w:rPr>
          <w:rFonts w:ascii="Arial" w:cs="Arial" w:eastAsia="Arial" w:hAnsi="Arial"/>
          <w:b/>
          <w:bCs/>
          <w:color w:val="1E3A8A"/>
          <w:sz w:val="26"/>
          <w:szCs w:val="26"/>
        </w:rPr>
        <w:t xml:space="preserve">3.2 Key Funding Insight</w:t>
      </w:r>
    </w:p>
    <w:p>
      <w:pPr>
        <w:spacing w:before="100" w:after="120"/>
      </w:pPr>
      <w:r>
        <w:rPr>
          <w:rFonts w:ascii="Arial" w:cs="Arial" w:eastAsia="Arial" w:hAnsi="Arial"/>
          <w:sz w:val="22"/>
          <w:szCs w:val="22"/>
        </w:rPr>
        <w:t xml:space="preserve">Foundation Models &amp; LLMs dominates with $80B — more than all other 13 categories combined. OpenAI alone raised $40B in a single funding round, a historic milestone that distorts the market significantly. Stripping out Foundation Models, the remaining $57.5B is distributed more evenly across horizontals and verticals, pointing to a healthy, diversifying ecosystem.</w:t>
      </w:r>
    </w:p>
    <w:p>
      <w:pPr>
        <w:spacing w:before="200"/>
      </w:pPr>
    </w:p>
    <w:p>
      <w:pPr>
        <w:pStyle w:val="Heading1"/>
        <w:spacing w:before="360" w:after="180"/>
      </w:pPr>
      <w:r>
        <w:rPr>
          <w:rFonts w:ascii="Arial" w:cs="Arial" w:eastAsia="Arial" w:hAnsi="Arial"/>
          <w:b/>
          <w:bCs/>
          <w:color w:val="1E40AF"/>
          <w:sz w:val="32"/>
          <w:szCs w:val="32"/>
        </w:rPr>
        <w:t xml:space="preserve">4. Growth Trends &amp; Momentum</w:t>
      </w:r>
    </w:p>
    <w:p>
      <w:pPr>
        <w:pBdr>
          <w:bottom w:val="single" w:color="1E40AF" w:sz="6" w:space="1"/>
        </w:pBdr>
        <w:spacing w:before="100" w:after="100"/>
      </w:pPr>
    </w:p>
    <w:p>
      <w:pPr>
        <w:pStyle w:val="Heading2"/>
        <w:spacing w:before="280" w:after="120"/>
      </w:pPr>
      <w:r>
        <w:rPr>
          <w:rFonts w:ascii="Arial" w:cs="Arial" w:eastAsia="Arial" w:hAnsi="Arial"/>
          <w:b/>
          <w:bCs/>
          <w:color w:val="1E3A8A"/>
          <w:sz w:val="26"/>
          <w:szCs w:val="26"/>
        </w:rPr>
        <w:t xml:space="preserve">4.1 The Explosive Trio</w:t>
      </w:r>
    </w:p>
    <w:p>
      <w:pPr>
        <w:spacing w:before="100" w:after="120"/>
      </w:pPr>
      <w:r>
        <w:rPr>
          <w:rFonts w:ascii="Arial" w:cs="Arial" w:eastAsia="Arial" w:hAnsi="Arial"/>
          <w:sz w:val="22"/>
          <w:szCs w:val="22"/>
        </w:rPr>
        <w:t xml:space="preserve">Three categories are growing at extraordinary rates, making them the most exciting investment opportunities in the current cycle: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520"/>
      </w:tblGrid>
      <w:tr>
        <w:tc>
          <w:tcPr>
            <w:tcW w:type="dxa" w:w="32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YoY Growth</w:t>
            </w:r>
          </w:p>
        </w:tc>
        <w:tc>
          <w:tcPr>
            <w:tcW w:type="dxa" w:w="4520"/>
            <w:tcBorders>
              <w:top w:val="single" w:color="1E40AF" w:sz="1"/>
              <w:left w:val="single" w:color="1E40AF" w:sz="1"/>
              <w:bottom w:val="single" w:color="1E40AF" w:sz="1"/>
              <w:right w:val="single" w:color="1E40AF"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What's Driving It</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Coding &amp; Dev Tools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sz w:val="20"/>
                <w:szCs w:val="20"/>
              </w:rPr>
              <w:t xml:space="preserve">+320%</w:t>
            </w:r>
          </w:p>
        </w:tc>
        <w:tc>
          <w:tcPr>
            <w:tcW w:type="dxa" w:w="45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'Vibe coding' paradigm shift; tools like Cursor &amp; Lovable democratizing software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Agents &amp; Copilots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+260%</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Autonomous task execution replacing manual workflows; market tripled in 12 months</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Vertical SaaS + AI</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sz w:val="20"/>
                <w:szCs w:val="20"/>
              </w:rPr>
              <w:t xml:space="preserve">+250%</w:t>
            </w:r>
          </w:p>
        </w:tc>
        <w:tc>
          <w:tcPr>
            <w:tcW w:type="dxa" w:w="45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AI-led software roll-ups and niche industry automation creating outsized returns</w:t>
            </w:r>
          </w:p>
        </w:tc>
      </w:tr>
    </w:tbl>
    <w:p>
      <w:pPr>
        <w:spacing w:before="200"/>
      </w:pPr>
    </w:p>
    <w:p>
      <w:pPr>
        <w:pStyle w:val="Heading2"/>
        <w:spacing w:before="280" w:after="120"/>
      </w:pPr>
      <w:r>
        <w:rPr>
          <w:rFonts w:ascii="Arial" w:cs="Arial" w:eastAsia="Arial" w:hAnsi="Arial"/>
          <w:b/>
          <w:bCs/>
          <w:color w:val="1E3A8A"/>
          <w:sz w:val="26"/>
          <w:szCs w:val="26"/>
        </w:rPr>
        <w:t xml:space="preserve">4.2 Steady and Mature Segments</w:t>
      </w:r>
    </w:p>
    <w:p>
      <w:pPr>
        <w:spacing w:before="100" w:after="120"/>
      </w:pPr>
      <w:r>
        <w:rPr>
          <w:rFonts w:ascii="Arial" w:cs="Arial" w:eastAsia="Arial" w:hAnsi="Arial"/>
          <w:sz w:val="22"/>
          <w:szCs w:val="22"/>
        </w:rPr>
        <w:t xml:space="preserve">Not all growth is explosive — and that is a feature, not a bug. Mature and steady segments represent safer, more predictable investments:</w:t>
      </w:r>
    </w:p>
    <w:p>
      <w:pPr>
        <w:pStyle w:val="ListParagraph"/>
        <w:numPr>
          <w:ilvl w:val="0"/>
          <w:numId w:val="2"/>
        </w:numPr>
        <w:spacing w:before="60" w:after="60"/>
      </w:pPr>
      <w:r>
        <w:rPr>
          <w:rFonts w:ascii="Arial" w:cs="Arial" w:eastAsia="Arial" w:hAnsi="Arial"/>
          <w:sz w:val="22"/>
          <w:szCs w:val="22"/>
        </w:rPr>
        <w:t xml:space="preserve">Foundation Models &amp; LLMs (Mature, +75% YoY): The market has consolidated around a handful of players. New entrants face immense capital barriers.</w:t>
      </w:r>
    </w:p>
    <w:p>
      <w:pPr>
        <w:pStyle w:val="ListParagraph"/>
        <w:numPr>
          <w:ilvl w:val="0"/>
          <w:numId w:val="2"/>
        </w:numPr>
        <w:spacing w:before="60" w:after="60"/>
      </w:pPr>
      <w:r>
        <w:rPr>
          <w:rFonts w:ascii="Arial" w:cs="Arial" w:eastAsia="Arial" w:hAnsi="Arial"/>
          <w:sz w:val="22"/>
          <w:szCs w:val="22"/>
        </w:rPr>
        <w:t xml:space="preserve">AI Infrastructure (Steady, +100% YoY): The 'picks and shovels' of AI — chips, MLOps, cloud compute — consistently grow as AI consumption rises.</w:t>
      </w:r>
    </w:p>
    <w:p>
      <w:pPr>
        <w:pStyle w:val="ListParagraph"/>
        <w:numPr>
          <w:ilvl w:val="0"/>
          <w:numId w:val="2"/>
        </w:numPr>
        <w:spacing w:before="60" w:after="60"/>
      </w:pPr>
      <w:r>
        <w:rPr>
          <w:rFonts w:ascii="Arial" w:cs="Arial" w:eastAsia="Arial" w:hAnsi="Arial"/>
          <w:sz w:val="22"/>
          <w:szCs w:val="22"/>
        </w:rPr>
        <w:t xml:space="preserve">Generative Media (Steady, +130% YoY): Growing steadily as enterprises (Netflix, Disney) integrate AI tools, but not yet at the explosive stage.</w:t>
      </w:r>
    </w:p>
    <w:p>
      <w:pPr>
        <w:pStyle w:val="ListParagraph"/>
        <w:numPr>
          <w:ilvl w:val="0"/>
          <w:numId w:val="2"/>
        </w:numPr>
        <w:spacing w:before="60" w:after="60"/>
      </w:pPr>
      <w:r>
        <w:rPr>
          <w:rFonts w:ascii="Arial" w:cs="Arial" w:eastAsia="Arial" w:hAnsi="Arial"/>
          <w:sz w:val="22"/>
          <w:szCs w:val="22"/>
        </w:rPr>
        <w:t xml:space="preserve">Financial Services AI (Steady, +120% YoY): The most crowded vertical per CB Insights; growth is healthy but competition is intense.</w:t>
      </w:r>
    </w:p>
    <w:p>
      <w:pPr>
        <w:spacing w:before="200"/>
      </w:pPr>
    </w:p>
    <w:p>
      <w:pPr>
        <w:pStyle w:val="Heading1"/>
        <w:spacing w:before="360" w:after="180"/>
      </w:pPr>
      <w:r>
        <w:rPr>
          <w:rFonts w:ascii="Arial" w:cs="Arial" w:eastAsia="Arial" w:hAnsi="Arial"/>
          <w:b/>
          <w:bCs/>
          <w:color w:val="1E40AF"/>
          <w:sz w:val="32"/>
          <w:szCs w:val="32"/>
        </w:rPr>
        <w:t xml:space="preserve">5. Category Deep Dives</w:t>
      </w:r>
    </w:p>
    <w:p>
      <w:pPr>
        <w:pBdr>
          <w:bottom w:val="single" w:color="1E40AF" w:sz="6" w:space="1"/>
        </w:pBdr>
        <w:spacing w:before="100" w:after="100"/>
      </w:pPr>
    </w:p>
    <w:p>
      <w:pPr>
        <w:pStyle w:val="Heading2"/>
        <w:spacing w:before="280" w:after="120"/>
      </w:pPr>
      <w:r>
        <w:rPr>
          <w:rFonts w:ascii="Arial" w:cs="Arial" w:eastAsia="Arial" w:hAnsi="Arial"/>
          <w:b/>
          <w:bCs/>
          <w:color w:val="1E3A8A"/>
          <w:sz w:val="26"/>
          <w:szCs w:val="26"/>
        </w:rPr>
        <w:t xml:space="preserve">5.1 Foundation Layer</w:t>
      </w:r>
    </w:p>
    <w:p>
      <w:pPr>
        <w:spacing w:before="100" w:after="120"/>
      </w:pPr>
      <w:r>
        <w:rPr>
          <w:rFonts w:ascii="Arial" w:cs="Arial" w:eastAsia="Arial" w:hAnsi="Arial"/>
          <w:sz w:val="22"/>
          <w:szCs w:val="22"/>
        </w:rPr>
        <w:t xml:space="preserve">Foundation Models &amp; LLMs: The category is defined by OpenAI ($40B round), Anthropic, xAI, Mistral, and DeepSeek. With +75% YoY growth, this is a mature market. The key dynamic: compute costs and regulatory scrutiny are the primary risks. The moat is massive for incumbents.</w:t>
      </w:r>
    </w:p>
    <w:p>
      <w:pPr>
        <w:spacing w:before="100" w:after="120"/>
      </w:pPr>
      <w:r>
        <w:rPr>
          <w:rFonts w:ascii="Arial" w:cs="Arial" w:eastAsia="Arial" w:hAnsi="Arial"/>
          <w:sz w:val="22"/>
          <w:szCs w:val="22"/>
        </w:rPr>
        <w:t xml:space="preserve">AI Infrastructure: 28 startups including Databricks, Groq, and Scale AI are building the pipes through which all AI flows. This is a steady, reliable category — every other category's growth directly fuels infrastructure demand.</w:t>
      </w:r>
    </w:p>
    <w:p>
      <w:pPr>
        <w:pStyle w:val="Heading2"/>
        <w:spacing w:before="280" w:after="120"/>
      </w:pPr>
      <w:r>
        <w:rPr>
          <w:rFonts w:ascii="Arial" w:cs="Arial" w:eastAsia="Arial" w:hAnsi="Arial"/>
          <w:b/>
          <w:bCs/>
          <w:color w:val="1E3A8A"/>
          <w:sz w:val="26"/>
          <w:szCs w:val="26"/>
        </w:rPr>
        <w:t xml:space="preserve">5.2 Horizontal AI</w:t>
      </w:r>
    </w:p>
    <w:p>
      <w:pPr>
        <w:spacing w:before="100" w:after="120"/>
      </w:pPr>
      <w:r>
        <w:rPr>
          <w:rFonts w:ascii="Arial" w:cs="Arial" w:eastAsia="Arial" w:hAnsi="Arial"/>
          <w:sz w:val="22"/>
          <w:szCs w:val="22"/>
        </w:rPr>
        <w:t xml:space="preserve">AI Agents &amp; Copilots is the market's most important watch category — 48 startups, $13B in funding, and +260% growth. Companies like Sierra, Cursor, and Cognition are building the autonomous layer on top of foundation models. Enterprise AI Software follows closely, with $8B raised and departmental AI spending up 4.1x year-over-year.</w:t>
      </w:r>
    </w:p>
    <w:p>
      <w:pPr>
        <w:spacing w:before="100" w:after="120"/>
      </w:pPr>
      <w:r>
        <w:rPr>
          <w:rFonts w:ascii="Arial" w:cs="Arial" w:eastAsia="Arial" w:hAnsi="Arial"/>
          <w:sz w:val="22"/>
          <w:szCs w:val="22"/>
        </w:rPr>
        <w:t xml:space="preserve">AI Coding &amp; Dev Tools is the fastest-growing category in the entire dataset at +320% YoY. The 'vibe coding' movement, where non-engineers build software through AI interfaces, is fundamentally changing who can be a software developer.</w:t>
      </w:r>
    </w:p>
    <w:p>
      <w:pPr>
        <w:pStyle w:val="Heading2"/>
        <w:spacing w:before="280" w:after="120"/>
      </w:pPr>
      <w:r>
        <w:rPr>
          <w:rFonts w:ascii="Arial" w:cs="Arial" w:eastAsia="Arial" w:hAnsi="Arial"/>
          <w:b/>
          <w:bCs/>
          <w:color w:val="1E3A8A"/>
          <w:sz w:val="26"/>
          <w:szCs w:val="26"/>
        </w:rPr>
        <w:t xml:space="preserve">5.3 Vertical AI</w:t>
      </w:r>
    </w:p>
    <w:p>
      <w:pPr>
        <w:spacing w:before="100" w:after="120"/>
      </w:pPr>
      <w:r>
        <w:rPr>
          <w:rFonts w:ascii="Arial" w:cs="Arial" w:eastAsia="Arial" w:hAnsi="Arial"/>
          <w:sz w:val="22"/>
          <w:szCs w:val="22"/>
        </w:rPr>
        <w:t xml:space="preserve">Healthcare AI ($5B, +180% YoY) is compressing drug discovery timelines from 10+ years to 2–3, representing one of the highest-impact AI applications. Legal AI, though smallest by funding ($1.5B), is growing at +170% — Harvey AI doubled its sales force in just 6 months. Science &amp; Drug Discovery had a landmark fundraise: Periodic Labs raised a $300M seed round for AI scientists.</w:t>
      </w:r>
    </w:p>
    <w:p>
      <w:pPr>
        <w:pStyle w:val="Heading2"/>
        <w:spacing w:before="280" w:after="120"/>
      </w:pPr>
      <w:r>
        <w:rPr>
          <w:rFonts w:ascii="Arial" w:cs="Arial" w:eastAsia="Arial" w:hAnsi="Arial"/>
          <w:b/>
          <w:bCs/>
          <w:color w:val="1E3A8A"/>
          <w:sz w:val="26"/>
          <w:szCs w:val="26"/>
        </w:rPr>
        <w:t xml:space="preserve">5.4 Emerging &amp; Frontier</w:t>
      </w:r>
    </w:p>
    <w:p>
      <w:pPr>
        <w:spacing w:before="100" w:after="120"/>
      </w:pPr>
      <w:r>
        <w:rPr>
          <w:rFonts w:ascii="Arial" w:cs="Arial" w:eastAsia="Arial" w:hAnsi="Arial"/>
          <w:sz w:val="22"/>
          <w:szCs w:val="22"/>
        </w:rPr>
        <w:t xml:space="preserve">Autonomous &amp; Robotics is perhaps the most dramatic emerging category: Project Prometheus launched with $6.2B and Jeff Bezos as co-CEO. AI Security &amp; Compliance raised $3B as security becomes table stakes for all AI deployments. AI Voice &amp; Conversational is the sleeping giant: Wonderful hit a $700M valuation mere months after founding.</w:t>
      </w:r>
    </w:p>
    <w:p>
      <w:pPr>
        <w:spacing w:before="200"/>
      </w:pPr>
    </w:p>
    <w:p>
      <w:pPr>
        <w:pStyle w:val="Heading1"/>
        <w:spacing w:before="360" w:after="180"/>
      </w:pPr>
      <w:r>
        <w:rPr>
          <w:rFonts w:ascii="Arial" w:cs="Arial" w:eastAsia="Arial" w:hAnsi="Arial"/>
          <w:b/>
          <w:bCs/>
          <w:color w:val="1E40AF"/>
          <w:sz w:val="32"/>
          <w:szCs w:val="32"/>
        </w:rPr>
        <w:t xml:space="preserve">6. Key Insights &amp; Takeaways</w:t>
      </w:r>
    </w:p>
    <w:p>
      <w:pPr>
        <w:pBdr>
          <w:bottom w:val="single" w:color="1E40AF" w:sz="6" w:space="1"/>
        </w:pBdr>
        <w:spacing w:before="100" w:after="100"/>
      </w:pPr>
    </w:p>
    <w:p>
      <w:pPr>
        <w:spacing w:before="100" w:after="120"/>
      </w:pPr>
      <w:r>
        <w:rPr>
          <w:rFonts w:ascii="Arial" w:cs="Arial" w:eastAsia="Arial" w:hAnsi="Arial"/>
          <w:sz w:val="22"/>
          <w:szCs w:val="22"/>
        </w:rPr>
        <w:t xml:space="preserve">From the data, six strategic insights emerge:</w:t>
      </w:r>
    </w:p>
    <w:p>
      <w:pPr>
        <w:spacing w:before="80"/>
      </w:pPr>
    </w:p>
    <w:p>
      <w:pPr>
        <w:spacing w:before="100" w:after="120"/>
      </w:pPr>
      <w:r>
        <w:rPr>
          <w:rFonts w:ascii="Arial" w:cs="Arial" w:eastAsia="Arial" w:hAnsi="Arial"/>
          <w:b/>
          <w:bCs/>
          <w:sz w:val="22"/>
          <w:szCs w:val="22"/>
        </w:rPr>
        <w:t xml:space="preserve">Insight 1: Capital is top-heavy but opportunity is distributed</w:t>
      </w:r>
    </w:p>
    <w:p>
      <w:pPr>
        <w:spacing w:before="100" w:after="120"/>
      </w:pPr>
      <w:r>
        <w:rPr>
          <w:rFonts w:ascii="Arial" w:cs="Arial" w:eastAsia="Arial" w:hAnsi="Arial"/>
          <w:sz w:val="22"/>
          <w:szCs w:val="22"/>
        </w:rPr>
        <w:t xml:space="preserve">80% of funding goes to Foundation Models, but 80% of startup activity is in Horizontals, Verticals, and Emerging categories. For investors seeking outsized returns with manageable entry costs, the middle and bottom of the stack offer the most compelling risk-reward profiles.</w:t>
      </w:r>
    </w:p>
    <w:p>
      <w:pPr>
        <w:spacing w:before="100" w:after="120"/>
      </w:pPr>
      <w:r>
        <w:rPr>
          <w:rFonts w:ascii="Arial" w:cs="Arial" w:eastAsia="Arial" w:hAnsi="Arial"/>
          <w:b/>
          <w:bCs/>
          <w:sz w:val="22"/>
          <w:szCs w:val="22"/>
        </w:rPr>
        <w:t xml:space="preserve">Insight 2: The developer tooling revolution is real</w:t>
      </w:r>
    </w:p>
    <w:p>
      <w:pPr>
        <w:spacing w:before="100" w:after="120"/>
      </w:pPr>
      <w:r>
        <w:rPr>
          <w:rFonts w:ascii="Arial" w:cs="Arial" w:eastAsia="Arial" w:hAnsi="Arial"/>
          <w:sz w:val="22"/>
          <w:szCs w:val="22"/>
        </w:rPr>
        <w:t xml:space="preserve">AI Coding tools at +320% YoY is not a blip — it signals a fundamental restructuring of software development. Every business that writes code is a potential customer. This category likely has years of growth runway ahead.</w:t>
      </w:r>
    </w:p>
    <w:p>
      <w:pPr>
        <w:spacing w:before="100" w:after="120"/>
      </w:pPr>
      <w:r>
        <w:rPr>
          <w:rFonts w:ascii="Arial" w:cs="Arial" w:eastAsia="Arial" w:hAnsi="Arial"/>
          <w:b/>
          <w:bCs/>
          <w:sz w:val="22"/>
          <w:szCs w:val="22"/>
        </w:rPr>
        <w:t xml:space="preserve">Insight 3: Agents are the next platform</w:t>
      </w:r>
    </w:p>
    <w:p>
      <w:pPr>
        <w:spacing w:before="100" w:after="120"/>
      </w:pPr>
      <w:r>
        <w:rPr>
          <w:rFonts w:ascii="Arial" w:cs="Arial" w:eastAsia="Arial" w:hAnsi="Arial"/>
          <w:sz w:val="22"/>
          <w:szCs w:val="22"/>
        </w:rPr>
        <w:t xml:space="preserve">AI Agents &amp; Copilots tripling in market size in one year mirrors the early years of the mobile app ecosystem. The companies building agent infrastructure today may become the defining platforms of the next decade.</w:t>
      </w:r>
    </w:p>
    <w:p>
      <w:pPr>
        <w:spacing w:before="100" w:after="120"/>
      </w:pPr>
      <w:r>
        <w:rPr>
          <w:rFonts w:ascii="Arial" w:cs="Arial" w:eastAsia="Arial" w:hAnsi="Arial"/>
          <w:b/>
          <w:bCs/>
          <w:sz w:val="22"/>
          <w:szCs w:val="22"/>
        </w:rPr>
        <w:t xml:space="preserve">Insight 4: Healthcare and Science AI are massively undervalued</w:t>
      </w:r>
    </w:p>
    <w:p>
      <w:pPr>
        <w:spacing w:before="100" w:after="120"/>
      </w:pPr>
      <w:r>
        <w:rPr>
          <w:rFonts w:ascii="Arial" w:cs="Arial" w:eastAsia="Arial" w:hAnsi="Arial"/>
          <w:sz w:val="22"/>
          <w:szCs w:val="22"/>
        </w:rPr>
        <w:t xml:space="preserve">Relative to the size of the healthcare market and the potential impact of AI-accelerated drug discovery, $5B in funding seems low. This category likely sees significant capital inflows over the next 2–3 years.</w:t>
      </w:r>
    </w:p>
    <w:p>
      <w:pPr>
        <w:spacing w:before="100" w:after="120"/>
      </w:pPr>
      <w:r>
        <w:rPr>
          <w:rFonts w:ascii="Arial" w:cs="Arial" w:eastAsia="Arial" w:hAnsi="Arial"/>
          <w:b/>
          <w:bCs/>
          <w:sz w:val="22"/>
          <w:szCs w:val="22"/>
        </w:rPr>
        <w:t xml:space="preserve">Insight 5: Security is not optional</w:t>
      </w:r>
    </w:p>
    <w:p>
      <w:pPr>
        <w:spacing w:before="100" w:after="120"/>
      </w:pPr>
      <w:r>
        <w:rPr>
          <w:rFonts w:ascii="Arial" w:cs="Arial" w:eastAsia="Arial" w:hAnsi="Arial"/>
          <w:sz w:val="22"/>
          <w:szCs w:val="22"/>
        </w:rPr>
        <w:t xml:space="preserve">As AI adoption accelerates, AI Security &amp; Compliance at +200% YoY and $3B raised signals that security is no longer a nice-to-have. Every AI deployment creates a new attack surface. This category will grow proportionally with the entire ecosystem.</w:t>
      </w:r>
    </w:p>
    <w:p>
      <w:pPr>
        <w:spacing w:before="100" w:after="120"/>
      </w:pPr>
      <w:r>
        <w:rPr>
          <w:rFonts w:ascii="Arial" w:cs="Arial" w:eastAsia="Arial" w:hAnsi="Arial"/>
          <w:b/>
          <w:bCs/>
          <w:sz w:val="22"/>
          <w:szCs w:val="22"/>
        </w:rPr>
        <w:t xml:space="preserve">Insight 6: Robotics is back — and different</w:t>
      </w:r>
    </w:p>
    <w:p>
      <w:pPr>
        <w:spacing w:before="100" w:after="120"/>
      </w:pPr>
      <w:r>
        <w:rPr>
          <w:rFonts w:ascii="Arial" w:cs="Arial" w:eastAsia="Arial" w:hAnsi="Arial"/>
          <w:sz w:val="22"/>
          <w:szCs w:val="22"/>
        </w:rPr>
        <w:t xml:space="preserve">Autonomous &amp; Robotics combining physical AI with LLM-level reasoning is a category worth watching closely. The $4B in funding and high-profile bets (Bezos, Anduril) suggest deep conviction from the world's most sophisticated investors.</w:t>
      </w:r>
    </w:p>
    <w:p>
      <w:pPr>
        <w:spacing w:before="200"/>
      </w:pPr>
    </w:p>
    <w:p>
      <w:pPr>
        <w:pStyle w:val="Heading1"/>
        <w:spacing w:before="360" w:after="180"/>
      </w:pPr>
      <w:r>
        <w:rPr>
          <w:rFonts w:ascii="Arial" w:cs="Arial" w:eastAsia="Arial" w:hAnsi="Arial"/>
          <w:b/>
          <w:bCs/>
          <w:color w:val="1E40AF"/>
          <w:sz w:val="32"/>
          <w:szCs w:val="32"/>
        </w:rPr>
        <w:t xml:space="preserve">7. Power BI Dashboard Guide</w:t>
      </w:r>
    </w:p>
    <w:p>
      <w:pPr>
        <w:pBdr>
          <w:bottom w:val="single" w:color="1E40AF" w:sz="6" w:space="1"/>
        </w:pBdr>
        <w:spacing w:before="100" w:after="100"/>
      </w:pPr>
    </w:p>
    <w:p>
      <w:pPr>
        <w:spacing w:before="100" w:after="120"/>
      </w:pPr>
      <w:r>
        <w:rPr>
          <w:rFonts w:ascii="Arial" w:cs="Arial" w:eastAsia="Arial" w:hAnsi="Arial"/>
          <w:sz w:val="22"/>
          <w:szCs w:val="22"/>
        </w:rPr>
        <w:t xml:space="preserve">This report is accompanied by an interactive Power BI Dashboard. The dashboard contains six interconnected visuals:</w:t>
      </w:r>
    </w:p>
    <w:p>
      <w:pPr>
        <w:pStyle w:val="ListParagraph"/>
        <w:numPr>
          <w:ilvl w:val="0"/>
          <w:numId w:val="2"/>
        </w:numPr>
        <w:spacing w:before="60" w:after="60"/>
      </w:pPr>
      <w:r>
        <w:rPr>
          <w:rFonts w:ascii="Arial" w:cs="Arial" w:eastAsia="Arial" w:hAnsi="Arial"/>
          <w:sz w:val="22"/>
          <w:szCs w:val="22"/>
        </w:rPr>
        <w:t xml:space="preserve">Funding by Category (Bar Chart): Ranked view of capital allocation across all 14 categories</w:t>
      </w:r>
    </w:p>
    <w:p>
      <w:pPr>
        <w:pStyle w:val="ListParagraph"/>
        <w:numPr>
          <w:ilvl w:val="0"/>
          <w:numId w:val="2"/>
        </w:numPr>
        <w:spacing w:before="60" w:after="60"/>
      </w:pPr>
      <w:r>
        <w:rPr>
          <w:rFonts w:ascii="Arial" w:cs="Arial" w:eastAsia="Arial" w:hAnsi="Arial"/>
          <w:sz w:val="22"/>
          <w:szCs w:val="22"/>
        </w:rPr>
        <w:t xml:space="preserve">Startup Count by Group (Donut Chart): Distribution of startups across the four strategic layers</w:t>
      </w:r>
    </w:p>
    <w:p>
      <w:pPr>
        <w:pStyle w:val="ListParagraph"/>
        <w:numPr>
          <w:ilvl w:val="0"/>
          <w:numId w:val="2"/>
        </w:numPr>
        <w:spacing w:before="60" w:after="60"/>
      </w:pPr>
      <w:r>
        <w:rPr>
          <w:rFonts w:ascii="Arial" w:cs="Arial" w:eastAsia="Arial" w:hAnsi="Arial"/>
          <w:sz w:val="22"/>
          <w:szCs w:val="22"/>
        </w:rPr>
        <w:t xml:space="preserve">YoY Growth by Category (Column Chart): Side-by-side growth comparison colored by trend label</w:t>
      </w:r>
    </w:p>
    <w:p>
      <w:pPr>
        <w:pStyle w:val="ListParagraph"/>
        <w:numPr>
          <w:ilvl w:val="0"/>
          <w:numId w:val="2"/>
        </w:numPr>
        <w:spacing w:before="60" w:after="60"/>
      </w:pPr>
      <w:r>
        <w:rPr>
          <w:rFonts w:ascii="Arial" w:cs="Arial" w:eastAsia="Arial" w:hAnsi="Arial"/>
          <w:sz w:val="22"/>
          <w:szCs w:val="22"/>
        </w:rPr>
        <w:t xml:space="preserve">Funding vs. Startups vs. Growth (Bubble Chart): A three-dimensional view showing how categories cluster by investment profile</w:t>
      </w:r>
    </w:p>
    <w:p>
      <w:pPr>
        <w:pStyle w:val="ListParagraph"/>
        <w:numPr>
          <w:ilvl w:val="0"/>
          <w:numId w:val="2"/>
        </w:numPr>
        <w:spacing w:before="60" w:after="60"/>
      </w:pPr>
      <w:r>
        <w:rPr>
          <w:rFonts w:ascii="Arial" w:cs="Arial" w:eastAsia="Arial" w:hAnsi="Arial"/>
          <w:sz w:val="22"/>
          <w:szCs w:val="22"/>
        </w:rPr>
        <w:t xml:space="preserve">Key Metric Cards: Total funding, total startups, and average growth rate as headline numbers</w:t>
      </w:r>
    </w:p>
    <w:p>
      <w:pPr>
        <w:pStyle w:val="ListParagraph"/>
        <w:numPr>
          <w:ilvl w:val="0"/>
          <w:numId w:val="2"/>
        </w:numPr>
        <w:spacing w:before="60" w:after="60"/>
      </w:pPr>
      <w:r>
        <w:rPr>
          <w:rFonts w:ascii="Arial" w:cs="Arial" w:eastAsia="Arial" w:hAnsi="Arial"/>
          <w:sz w:val="22"/>
          <w:szCs w:val="22"/>
        </w:rPr>
        <w:t xml:space="preserve">Trend Slicer: Interactive filter allowing users to focus on Explosive, Rising, Steady, or Mature categories</w:t>
      </w:r>
    </w:p>
    <w:p>
      <w:pPr>
        <w:spacing w:before="100" w:after="120"/>
      </w:pPr>
      <w:r>
        <w:rPr>
          <w:rFonts w:ascii="Arial" w:cs="Arial" w:eastAsia="Arial" w:hAnsi="Arial"/>
          <w:sz w:val="22"/>
          <w:szCs w:val="22"/>
        </w:rPr>
        <w:t xml:space="preserve">All visuals are cross-filtered — clicking any element updates the entire dashboard instantly.</w:t>
      </w:r>
    </w:p>
    <w:p>
      <w:pPr>
        <w:spacing w:before="200"/>
      </w:pPr>
    </w:p>
    <w:p>
      <w:pPr>
        <w:pStyle w:val="Heading1"/>
        <w:spacing w:before="360" w:after="180"/>
      </w:pPr>
      <w:r>
        <w:rPr>
          <w:rFonts w:ascii="Arial" w:cs="Arial" w:eastAsia="Arial" w:hAnsi="Arial"/>
          <w:b/>
          <w:bCs/>
          <w:color w:val="1E40AF"/>
          <w:sz w:val="32"/>
          <w:szCs w:val="32"/>
        </w:rPr>
        <w:t xml:space="preserve">8. Conclusion</w:t>
      </w:r>
    </w:p>
    <w:p>
      <w:pPr>
        <w:pBdr>
          <w:bottom w:val="single" w:color="1E40AF" w:sz="6" w:space="1"/>
        </w:pBdr>
        <w:spacing w:before="100" w:after="100"/>
      </w:pPr>
    </w:p>
    <w:p>
      <w:pPr>
        <w:spacing w:before="100" w:after="120"/>
      </w:pPr>
      <w:r>
        <w:rPr>
          <w:rFonts w:ascii="Arial" w:cs="Arial" w:eastAsia="Arial" w:hAnsi="Arial"/>
          <w:sz w:val="22"/>
          <w:szCs w:val="22"/>
        </w:rPr>
        <w:t xml:space="preserve">The Periodic Table of AI Startups paints a clear picture: AI is not one market, but fourteen interconnected markets at different stages of maturity. The total capital deployed ($137.5B) and the breadth of startup activity (309 companies) confirm that we are in the middle of a technological transformation comparable in scale to the internet revolution.</w:t>
      </w:r>
    </w:p>
    <w:p>
      <w:pPr>
        <w:spacing w:before="100" w:after="120"/>
      </w:pPr>
      <w:r>
        <w:rPr>
          <w:rFonts w:ascii="Arial" w:cs="Arial" w:eastAsia="Arial" w:hAnsi="Arial"/>
          <w:sz w:val="22"/>
          <w:szCs w:val="22"/>
        </w:rPr>
        <w:t xml:space="preserve">The strategic question for investors, founders, and strategists is not whether to engage with AI — it is where. The data suggests the highest opportunity density lies in Horizontal AI tools (especially Agents and Coding), Healthcare AI, and Emerging categories like Robotics and Security, where growth is explosive but funding is still accessible.</w:t>
      </w:r>
    </w:p>
    <w:p>
      <w:pPr>
        <w:spacing w:before="100" w:after="120"/>
      </w:pPr>
      <w:r>
        <w:rPr>
          <w:rFonts w:ascii="Arial" w:cs="Arial" w:eastAsia="Arial" w:hAnsi="Arial"/>
          <w:sz w:val="22"/>
          <w:szCs w:val="22"/>
        </w:rPr>
        <w:t xml:space="preserve">The AI ecosystem is structured, stratified, and rapidly maturing. Those who understand its architecture today will be best positioned to navigate — and profit from — its evolution tomorrow.</w:t>
      </w:r>
    </w:p>
    <w:p>
      <w:pPr>
        <w:pBdr>
          <w:bottom w:val="single" w:color="1E40AF" w:sz="6" w:space="1"/>
        </w:pBdr>
        <w:spacing w:before="100" w:after="100"/>
      </w:pPr>
    </w:p>
    <w:p>
      <w:pPr>
        <w:spacing w:before="200"/>
        <w:jc w:val="center"/>
      </w:pPr>
      <w:r>
        <w:rPr>
          <w:rFonts w:ascii="Arial" w:cs="Arial" w:eastAsia="Arial" w:hAnsi="Arial"/>
          <w:i/>
          <w:iCs/>
          <w:color w:val="9CA3AF"/>
          <w:sz w:val="18"/>
          <w:szCs w:val="18"/>
        </w:rPr>
        <w:t xml:space="preserve">Data Source: Voronoi / MakeoverMonday Week 8, 2026 — Periodic Table of AI Startups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1"/>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1"/>
      </w:pBdr>
      <w:spacing w:before="0" w:after="120"/>
    </w:pPr>
    <w:r>
      <w:rPr>
        <w:rFonts w:ascii="Arial" w:cs="Arial" w:eastAsia="Arial" w:hAnsi="Arial"/>
        <w:b/>
        <w:bCs/>
        <w:color w:val="1E40AF"/>
        <w:sz w:val="20"/>
        <w:szCs w:val="20"/>
      </w:rPr>
      <w:t xml:space="preserve">AI Ecosystem Analysis Report</w:t>
    </w:r>
    <w:r>
      <w:rPr>
        <w:rFonts w:ascii="Arial" w:cs="Arial" w:eastAsia="Arial" w:hAnsi="Arial"/>
        <w:color w:val="6B7280"/>
        <w:sz w:val="20"/>
        <w:szCs w:val="20"/>
      </w:rPr>
      <w:t xml:space="preserve">   |   Periodic Table of AI Startups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2026-02-25T08:21:21.592Z</dcterms:created>
  <dcterms:modified xsi:type="dcterms:W3CDTF">2026-02-25T08:21:21.593Z</dcterms:modified>
</cp:coreProperties>
</file>

<file path=docProps/custom.xml><?xml version="1.0" encoding="utf-8"?>
<Properties xmlns="http://schemas.openxmlformats.org/officeDocument/2006/custom-properties" xmlns:vt="http://schemas.openxmlformats.org/officeDocument/2006/docPropsVTypes"/>
</file>