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2C2C2A"/>
          <w:sz w:val="64"/>
          <w:szCs w:val="64"/>
        </w:rPr>
        <w:t xml:space="preserve">TELCO CUSTOMER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CHURN ANALYSIS</w:t>
      </w:r>
    </w:p>
    <w:p>
      <w:pPr>
        <w:spacing w:after="0" w:before="1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F5E5A"/>
          <w:sz w:val="32"/>
          <w:szCs w:val="32"/>
        </w:rPr>
        <w:t xml:space="preserve">End-to-End Case Study</w:t>
      </w:r>
    </w:p>
    <w:p>
      <w:pPr>
        <w:spacing w:after="0" w:before="1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IBM Telco Dataset  ·  7,043 Customers  ·  21 Features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Problem Framing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What is Churn?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Customer churn is the event where a subscriber voluntarily terminates their service contract with a telecommunications provider. In this dataset, churn is a binary outcome recorded at a point in time. This is a supervised binary classification problem: given historical service and billing attributes, predict whether a customer will churn.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Why Does Churn Matter?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26.5%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Overall churn rate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in this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5–7×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Cost multiplier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to acquire vs retain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~$1 in $4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Revenue at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3–10×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Retention ROI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when targeted correctly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Reducing churn by even 5 percentage points can increase profitability by 25–95% (Harvard Business Review). Churn analysis is one of the highest-impact analytics use cases in any subscription business because it sits at the intersection of data science and revenue protection.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Analytical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loading &amp; cleaning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Clean, validated dataset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Visual churn drivers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 derived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Modelling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models benchmarked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ROC-AUC, PR, calibration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Postdictive analysis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Error analysis + SHAP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Prioritised action plan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Data Loading &amp; Cleaning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7,043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21 (20 features + 1 target)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Churn (Yes / 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Numeric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tenure, MonthlyCharges, TotalCharges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Categorical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17 (gender, contract, internet service,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Missing values (raw)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 blank TotalCharges entries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Cleaning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TotalCharges stored as a string object — converted to float64.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11 blank TotalCharges entries correspond to customers with tenure = 0 (brand-new accounts with no billing history). Filled with 0.0 — the correct business interpretation.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duplicate records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Churn re-encoded as Churn_bin (0/1) for modelling.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11 "missing" values resolved; final dataset is 100% complete.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Exploratory Data Analysis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Churn Overview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 — Churn split, tenure distribution by churn status, and monthly charges by churn status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dataset has a 26.5% churn rate — moderately imbalanced but manageable. Churned customers have significantly shorter tenures (peak in first 12 months) and pay more per month ($70–$100), suggesting newer, high-paying customers on potentially overpriced plans are most at risk.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Churn Rate by Categorical Feature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2 — Churn rate by key categorical features. Dashed line = overall 26.5% baseline.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High-risk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42.7%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+16.2 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Fiber optic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41.9%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+15.4 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Electronic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45.3%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+18.8 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Tech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41.6%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+15.1 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Online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41.8%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+15.3 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Paperless 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33.6%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+7.1 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Tenure and Contract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3 — Churn rate by tenure band (left) and contract type (right)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Early-tenure customers churn at 47.7% (0–12 months) — nearly 1 in 2 leaves within the first year. Month-to-month customers churn at 42.7% versus 3.3% for two-year contracts — a 13× difference and the single most discriminating feature in the dataset.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Feature Engineering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Eight derived features were created to capture signals not directly visible in the raw columns: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avg_monthly_spend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TotalCharges / tenure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Spend trajectory vs current bill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charge_delta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MonthlyCharges − avg spend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Rising charges → dissatisfaction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is_new_customer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tenure ≤ 3 months (binary)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First 90 days = highest-risk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num_services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 of active services (0–9)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More services = stickier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is_month_to_month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Contract = month-to-month (binary)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Zero switching cost = easy to leave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has_fiber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InternetService = Fiber optic (binary)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Highest churn segment in EDA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paperless_elec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Paperless billing AND e-check (binary)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Interaction of two risk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has_partner_dep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Partner AND dependents (binary)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Family anchor = lower propensity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label-encoding all categoricals and imputing the negligible residual nulls with column medians, the final feature matrix contains 28 features across 7,043 customers.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Churn Modelling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Model Benchmarks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Three models were trained on an 80/20 stratified split. Logistic Regression and Random Forest used class_weight="balanced" to correct for the 73/27 imbalance. 5-fold stratified cross-validation was used to assess generalisation.</w:t>
      </w:r>
    </w:p>
    <w:p>
      <w:pPr>
        <w:spacing w:after="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400"/>
        <w:gridCol w:w="16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AUC (mean ± std)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Precision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0.847 ± 0.012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0.661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Well-calibrated, interpretable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0.847 ± 0.010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0.662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AP, handles interactions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0.843 ± 0.011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0.649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Used for SHAP interpretation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three models achieve AUC 0.84–0.85 — strong performance for a tabular churn task without hyperparameter optimisation. CV-AUC closely mirrors test AUC, confirming no overfitting. Logistic Regression is selected as the primary model given its highest AUC and excellent calibration.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Model Evaluation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4 — ROC curves (left), Precision-Recall curves (centre), and confusion matrix for the best model (right)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5 — Score distribution by true class (left) and calibration curve (right)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score distribution shows good separation between retained and churned customers. The calibration curve confirms the model's probabilities are well-calibrated — when the model assigns a 60% churn probability, approximately 60% of those customers actually churned. This is essential for translating model scores into retention budget decisions.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Postdictive Analysis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Where Did the Model Succeed and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True Positives (TP)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79.1% recall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Churners correctly identified — action could have been 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True Negatives (TN)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72.7% specificity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Retainers correctly left untouched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 Positives (FP)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27.3% of retainers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Cost of over-targeting — wasted retention spend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 Negatives (FN)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20.9% miss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Churners we failed to flag — revenue at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Feature Importance (SHAP Analysis)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6 — Top 15 feature importances from Gradient Boosting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7 — SHAP summary plot. Each dot = one customer. Horizontal position = impact direction. Colour = feature value.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SHAP values confirm the EDA findings mechanistically: low tenure (new customers), month-to-month contract, high monthly charges, Fiber optic internet, and low service count are the strongest churn drivers.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Risk Segmentation &amp; Lift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8 — Customer risk tier distribution (left) and model lift curve (right)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By targeting the top 20% of customers ranked by churn probability, the model reaches approximately 2.8–3× more actual churners than a random campaign — meaning retention budgets can be concentrated where they are most needed.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Business Recommendations</w:t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Priority Customer Segments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Segment 1 — The At-Risk New Customer (HIGH)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Profile: Month-to-month contract, &lt; 3 months tenure, Fiber optic internet. Churn rate: ~55–60%.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Launch a structured 30/60-day onboarding campaign with proactive check-in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Offer a discounted 1-year contract upgrade at day 45 (before the high-risk churn window closes).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Auto-route to Tech Support if any service incident is logged within first 90 days.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Segment 2 — The Disengaged High-Spender (HIGH)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Profile: Monthly charges &gt; $75, no Tech Support or Online Security, Electronic check payment. Churn rate: ~45–50%.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Dedicated retention team outreach for customers with churn probability &gt; 0.6.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Bundle a free 3-month security/support add-on to increase product stickiness and perceived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Payment incentive: auto-pay (credit card) in exchange for a 5–10% monthly discount.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Segment 3 — The Loyalty Candidate (MEDIUM)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Profile: 12–24 months tenure, Month-to-month, moderate spend. Churn rate: ~30–35%.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Targeted contract upgrade offer: 15% discount for switching from monthly to annual.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cohort has proven retention value — the investment in a conversion incentive pays back quickly.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Recommended Actions by Lever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Contract conversion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Offer M2M → annual upgrade with ≥10% discount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Biggest lever: 13× churn reduction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Onboarding programme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60-day structured touchpoint sequence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 47.7% → &lt;30% in 0–12m cohort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Retention team triage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 High/Very High risk via model scores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3× more efficient than random outreach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Fiber quality investment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Investigate Fiber-specific quality issues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Fiber (42%) vs DSL (19%) — 2×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 friction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E-check → auto-pay incentive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E-check churns at 45.3% vs 15–17%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Security/Support bundle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Bundle for unprotected Fiber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feature independently reduces churn ~15 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KPIs to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Churn rate by segment — compare treated vs control cohorts (A/B test recommended).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Contract conversion rate (M2M → annual).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Model AUC on rolling 3-month retrain — detect data drift 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Retention campaign ROI = Revenue saved from prevented churn / Campaign cost.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dataset is a point-in-time snapshot. A time-series approach (survival analysis, Kaplan-Meier) would better capture when customers are likely to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centre complaints, NPS scores, and service outage history are not in this dataset but would likely be the strongest churn predictors.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real-time scoring pipeline (REST API wrapping the model) would allow the CRM to automatically flag at-risk customers as they cross risk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Consider SMOTE or cost-sensitive learning if recall on churners needs to be pushed higher.</w:t>
      </w:r>
    </w:p>
    <w:p>
      <w:pPr>
        <w:spacing w:after="0" w:before="160"/>
      </w:pPr>
      <w:r>
        <w:t xml:space="preserve"/>
      </w:r>
    </w:p>
    <w:p>
      <w:pPr>
        <w:pBdr>
          <w:bottom w:val="single" w:color="D3D1C7" w:sz="3" w:space="6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Analysis completed · Python 3 · scikit-learn · SHAP · IBM Telco Dataset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3" w:space="4"/>
      </w:pBd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3" w:space="4"/>
      </w:pBdr>
      <w:spacing w:after="80" w:before="0"/>
    </w:pPr>
    <w:r>
      <w:rPr>
        <w:rFonts w:ascii="Arial" w:cs="Arial" w:eastAsia="Arial" w:hAnsi="Arial"/>
        <w:color w:val="5F5E5A"/>
        <w:sz w:val="18"/>
        <w:szCs w:val="18"/>
      </w:rPr>
      <w:t xml:space="preserve">Telco Customer Churn Analysis  |  End-to-End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90ade227ae49e5123e58097808752d62de7e8b.png"/><Relationship Id="rId10" Type="http://schemas.openxmlformats.org/officeDocument/2006/relationships/image" Target="media/a7d7e868cf578d8bbdffd137d0b005b3a9592e12.png"/><Relationship Id="rId11" Type="http://schemas.openxmlformats.org/officeDocument/2006/relationships/image" Target="media/20431bfd2fbdaf4dca60a9bc40f43c43c6995cc6.png"/><Relationship Id="rId12" Type="http://schemas.openxmlformats.org/officeDocument/2006/relationships/image" Target="media/e8cb5025a48bdba0385046027b2bdcbe4263f288.png"/><Relationship Id="rId13" Type="http://schemas.openxmlformats.org/officeDocument/2006/relationships/image" Target="media/9797c9c6898a867ecbb8669c9124f63c1e279629.png"/><Relationship Id="rId14" Type="http://schemas.openxmlformats.org/officeDocument/2006/relationships/image" Target="media/82196727ed86434f67228e026b873399dad95e90.png"/><Relationship Id="rId15" Type="http://schemas.openxmlformats.org/officeDocument/2006/relationships/image" Target="media/0aa8d3a2927fd9aae36af13d3c7a01e78ad0073a.png"/><Relationship Id="rId16" Type="http://schemas.openxmlformats.org/officeDocument/2006/relationships/image" Target="media/06a9ebfa31b4f9ba846437c61002df623a3f907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2026-03-25T19:34:40.206Z</dcterms:created>
  <dcterms:modified xsi:type="dcterms:W3CDTF">2026-03-25T19:34:40.207Z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