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4AE2" w14:textId="77777777" w:rsidR="00FE7C75" w:rsidRPr="003F3753" w:rsidRDefault="00FE7C75" w:rsidP="00FE7C75">
      <w:pPr>
        <w:jc w:val="center"/>
        <w:rPr>
          <w:color w:val="0E2841" w:themeColor="text2"/>
        </w:rPr>
      </w:pPr>
      <w:r w:rsidRPr="003F3753">
        <w:rPr>
          <w:rFonts w:eastAsia="Arial"/>
          <w:b/>
          <w:color w:val="0E2841" w:themeColor="text2"/>
          <w:sz w:val="44"/>
        </w:rPr>
        <w:t>INTERNAL MEMORANDUM</w:t>
      </w:r>
    </w:p>
    <w:p w14:paraId="507F81E5" w14:textId="77777777" w:rsidR="00FE7C75" w:rsidRPr="003F3753" w:rsidRDefault="00FE7C75" w:rsidP="00FE7C75">
      <w:pPr>
        <w:spacing w:after="0"/>
        <w:ind w:left="-5" w:hanging="10"/>
        <w:jc w:val="center"/>
      </w:pPr>
      <w:proofErr w:type="spellStart"/>
      <w:r w:rsidRPr="003F3753">
        <w:t>TradeZone</w:t>
      </w:r>
      <w:proofErr w:type="spellEnd"/>
      <w:r w:rsidRPr="003F3753">
        <w:t xml:space="preserve"> E-Commerce Platform | 2023–2024 Performance Review</w:t>
      </w:r>
    </w:p>
    <w:p w14:paraId="46A716B7" w14:textId="77777777" w:rsidR="00FE7C75" w:rsidRPr="003F3753" w:rsidRDefault="00FE7C75" w:rsidP="00FE7C75">
      <w:pPr>
        <w:spacing w:after="0"/>
        <w:ind w:left="-5" w:hanging="10"/>
        <w:jc w:val="center"/>
      </w:pPr>
      <w:r w:rsidRPr="003F3753">
        <w:t>TO: Head of Growth &amp; Head of Seller Operations</w:t>
      </w:r>
    </w:p>
    <w:p w14:paraId="130F9131" w14:textId="73B8DDAF" w:rsidR="00FE7C75" w:rsidRPr="003F3753" w:rsidRDefault="00FE7C75" w:rsidP="00FE7C75">
      <w:pPr>
        <w:spacing w:after="0"/>
        <w:ind w:left="-5" w:hanging="10"/>
        <w:jc w:val="center"/>
      </w:pPr>
      <w:r w:rsidRPr="003F3753">
        <w:t xml:space="preserve">FROM: Utibe Inyang   |   DATE: </w:t>
      </w:r>
      <w:proofErr w:type="gramStart"/>
      <w:r w:rsidRPr="003F3753">
        <w:t>April,</w:t>
      </w:r>
      <w:proofErr w:type="gramEnd"/>
      <w:r w:rsidRPr="003F3753">
        <w:t xml:space="preserve"> 23</w:t>
      </w:r>
      <w:proofErr w:type="gramStart"/>
      <w:r w:rsidRPr="003F3753">
        <w:rPr>
          <w:vertAlign w:val="superscript"/>
        </w:rPr>
        <w:t>rd</w:t>
      </w:r>
      <w:r w:rsidRPr="003F3753">
        <w:t xml:space="preserve"> ,</w:t>
      </w:r>
      <w:proofErr w:type="gramEnd"/>
      <w:r w:rsidRPr="003F3753">
        <w:t xml:space="preserve"> 2025   |   CLASSIFICATION: Internal</w:t>
      </w:r>
    </w:p>
    <w:p w14:paraId="6B96A0AB" w14:textId="77777777" w:rsidR="00FE7C75" w:rsidRPr="003F3753" w:rsidRDefault="00FE7C75" w:rsidP="00FE7C75">
      <w:pPr>
        <w:spacing w:after="0"/>
        <w:ind w:left="-5" w:hanging="10"/>
        <w:jc w:val="center"/>
      </w:pPr>
    </w:p>
    <w:p w14:paraId="3C291CAB" w14:textId="77777777" w:rsidR="00FE7C75" w:rsidRPr="003F3753" w:rsidRDefault="00FE7C75" w:rsidP="00FE7C75">
      <w:pPr>
        <w:spacing w:after="0"/>
        <w:ind w:left="-5" w:hanging="10"/>
        <w:jc w:val="center"/>
      </w:pPr>
    </w:p>
    <w:p w14:paraId="159B57DC" w14:textId="5433BE36" w:rsidR="00FE7C75" w:rsidRPr="003F3753" w:rsidRDefault="00000000" w:rsidP="00FE7C75">
      <w:pPr>
        <w:pStyle w:val="Heading1"/>
        <w:ind w:left="-5"/>
        <w:rPr>
          <w:rFonts w:ascii="Calibri" w:hAnsi="Calibri" w:cs="Calibri"/>
        </w:rPr>
      </w:pPr>
      <w:r w:rsidRPr="003F3753">
        <w:rPr>
          <w:rFonts w:ascii="Calibri" w:hAnsi="Calibri" w:cs="Calibri"/>
        </w:rPr>
        <w:t>Executive Summary</w:t>
      </w:r>
    </w:p>
    <w:p w14:paraId="10E6CF59" w14:textId="4F4FE2C9" w:rsidR="00E244EB" w:rsidRPr="003F3753" w:rsidRDefault="00E244EB" w:rsidP="00E244EB">
      <w:proofErr w:type="spellStart"/>
      <w:r w:rsidRPr="003F3753">
        <w:t>TradeZone</w:t>
      </w:r>
      <w:proofErr w:type="spellEnd"/>
      <w:r w:rsidRPr="003F3753">
        <w:t xml:space="preserve"> is seeing strong growth in customer acquisition and orders, particularly in Lagos and FCT, but two underlying issues stand out. Less than half of new customers make a purchase within their first 30 days, showing weak activation despite rising acquisition. At the same time, revenue is heavily concentrated among a small group of sellers and products, creating risk. Going into 2025, the focus should be on improving early customer activation and diversifying the seller base to reduce this dependence.</w:t>
      </w:r>
    </w:p>
    <w:p w14:paraId="1E9FBE1A" w14:textId="77777777" w:rsidR="00FE7C75" w:rsidRPr="003F3753" w:rsidRDefault="00FE7C75" w:rsidP="00FE7C75"/>
    <w:p w14:paraId="40B508C6" w14:textId="77777777" w:rsidR="00010DEA" w:rsidRPr="003F3753" w:rsidRDefault="00000000" w:rsidP="00554AD0">
      <w:pPr>
        <w:pStyle w:val="Heading1"/>
        <w:ind w:left="0" w:firstLine="0"/>
        <w:rPr>
          <w:rFonts w:ascii="Calibri" w:hAnsi="Calibri" w:cs="Calibri"/>
        </w:rPr>
      </w:pPr>
      <w:r w:rsidRPr="003F3753">
        <w:rPr>
          <w:rFonts w:ascii="Calibri" w:hAnsi="Calibri" w:cs="Calibri"/>
        </w:rPr>
        <w:t>Key Findings</w:t>
      </w:r>
    </w:p>
    <w:p w14:paraId="3418AAC0" w14:textId="296CB48C" w:rsidR="00010DEA" w:rsidRPr="003F3753" w:rsidRDefault="00000000" w:rsidP="00554AD0">
      <w:pPr>
        <w:spacing w:after="0"/>
        <w:ind w:right="-113"/>
      </w:pPr>
      <w:r w:rsidRPr="003F3753">
        <w:rPr>
          <w:noProof/>
        </w:rPr>
        <mc:AlternateContent>
          <mc:Choice Requires="wpg">
            <w:drawing>
              <wp:inline distT="0" distB="0" distL="0" distR="0" wp14:anchorId="4D8D219E" wp14:editId="3A4F7BFF">
                <wp:extent cx="5791200" cy="19050"/>
                <wp:effectExtent l="0" t="0" r="0" b="0"/>
                <wp:docPr id="4069" name="Group 4069"/>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36" name="Shape 36"/>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69" style="width:456pt;height:1.5pt;mso-position-horizontal-relative:char;mso-position-vertical-relative:line" coordsize="57912,190">
                <v:shape id="Shape 36" style="position:absolute;width:57912;height:0;left:0;top:0;" coordsize="5791200,0" path="m0,0l5791200,0">
                  <v:stroke weight="1.5pt" endcap="round" joinstyle="miter" miterlimit="10" on="true" color="#2e75b6"/>
                  <v:fill on="false" color="#000000" opacity="0"/>
                </v:shape>
              </v:group>
            </w:pict>
          </mc:Fallback>
        </mc:AlternateContent>
      </w:r>
    </w:p>
    <w:p w14:paraId="78B33610" w14:textId="77777777" w:rsidR="00554AD0" w:rsidRPr="003F3753" w:rsidRDefault="00554AD0" w:rsidP="00554AD0">
      <w:pPr>
        <w:spacing w:after="0"/>
        <w:ind w:right="-113"/>
      </w:pPr>
    </w:p>
    <w:tbl>
      <w:tblPr>
        <w:tblStyle w:val="GridTable4-Accent1"/>
        <w:tblW w:w="0" w:type="auto"/>
        <w:tblLook w:val="04A0" w:firstRow="1" w:lastRow="0" w:firstColumn="1" w:lastColumn="0" w:noHBand="0" w:noVBand="1"/>
      </w:tblPr>
      <w:tblGrid>
        <w:gridCol w:w="4498"/>
        <w:gridCol w:w="4499"/>
      </w:tblGrid>
      <w:tr w:rsidR="00554AD0" w:rsidRPr="003F3753" w14:paraId="38871601" w14:textId="77777777" w:rsidTr="00554A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08FC3469" w14:textId="02955162" w:rsidR="00554AD0" w:rsidRPr="003F3753" w:rsidRDefault="00554AD0" w:rsidP="00554AD0">
            <w:pPr>
              <w:ind w:right="-113"/>
              <w:rPr>
                <w:color w:val="E8E8E8" w:themeColor="background2"/>
              </w:rPr>
            </w:pPr>
            <w:r w:rsidRPr="003F3753">
              <w:rPr>
                <w:color w:val="E8E8E8" w:themeColor="background2"/>
              </w:rPr>
              <w:t>FINDING 1</w:t>
            </w:r>
          </w:p>
        </w:tc>
        <w:tc>
          <w:tcPr>
            <w:tcW w:w="4499" w:type="dxa"/>
          </w:tcPr>
          <w:p w14:paraId="4E734E13" w14:textId="4855B53F" w:rsidR="00554AD0" w:rsidRPr="003F3753" w:rsidRDefault="00554AD0" w:rsidP="00554AD0">
            <w:pPr>
              <w:ind w:right="-113"/>
              <w:cnfStyle w:val="100000000000" w:firstRow="1" w:lastRow="0" w:firstColumn="0" w:lastColumn="0" w:oddVBand="0" w:evenVBand="0" w:oddHBand="0" w:evenHBand="0" w:firstRowFirstColumn="0" w:firstRowLastColumn="0" w:lastRowFirstColumn="0" w:lastRowLastColumn="0"/>
              <w:rPr>
                <w:color w:val="E8E8E8" w:themeColor="background2"/>
              </w:rPr>
            </w:pPr>
            <w:r w:rsidRPr="003F3753">
              <w:rPr>
                <w:color w:val="E8E8E8" w:themeColor="background2"/>
              </w:rPr>
              <w:t>Query 1 — Customer Acquisition</w:t>
            </w:r>
          </w:p>
        </w:tc>
      </w:tr>
      <w:tr w:rsidR="00B16A6F" w:rsidRPr="003F3753" w14:paraId="54024B33" w14:textId="77777777" w:rsidTr="00E855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7" w:type="dxa"/>
            <w:gridSpan w:val="2"/>
          </w:tcPr>
          <w:p w14:paraId="1A84672A" w14:textId="77777777" w:rsidR="00B16A6F" w:rsidRPr="003F3753" w:rsidRDefault="00B16A6F" w:rsidP="00B16A6F">
            <w:pPr>
              <w:spacing w:after="280" w:line="313" w:lineRule="auto"/>
              <w:jc w:val="both"/>
            </w:pPr>
            <w:r w:rsidRPr="003F3753">
              <w:rPr>
                <w:rFonts w:eastAsia="Arial"/>
                <w:color w:val="404040"/>
                <w:sz w:val="20"/>
              </w:rPr>
              <w:t>New customer sign-up conversion within 30 days sits below 50% across all top 5 states in 2024, with the lowest-performing state converting fewer than 35% of new sign-ups into a first purchase.</w:t>
            </w:r>
          </w:p>
          <w:p w14:paraId="64767845" w14:textId="77777777" w:rsidR="00B16A6F" w:rsidRPr="003F3753" w:rsidRDefault="00B16A6F" w:rsidP="00B16A6F">
            <w:pPr>
              <w:spacing w:after="240" w:line="313" w:lineRule="auto"/>
              <w:jc w:val="both"/>
              <w:rPr>
                <w:b w:val="0"/>
                <w:bCs w:val="0"/>
              </w:rPr>
            </w:pPr>
            <w:r w:rsidRPr="003F3753">
              <w:rPr>
                <w:rFonts w:eastAsia="Arial"/>
                <w:b w:val="0"/>
                <w:bCs w:val="0"/>
                <w:color w:val="404040"/>
                <w:sz w:val="20"/>
              </w:rPr>
              <w:t xml:space="preserve">The 30-day period after sign-up is when a new customer's intent to buy is highest. Failing to convert during this window significantly reduces the likelihood they ever purchase at all. The cost of acquiring these unconverted customers is a direct loss against the growth budget. This finding suggests </w:t>
            </w:r>
            <w:proofErr w:type="spellStart"/>
            <w:r w:rsidRPr="003F3753">
              <w:rPr>
                <w:rFonts w:eastAsia="Arial"/>
                <w:b w:val="0"/>
                <w:bCs w:val="0"/>
                <w:color w:val="404040"/>
                <w:sz w:val="20"/>
              </w:rPr>
              <w:t>TradeZone</w:t>
            </w:r>
            <w:proofErr w:type="spellEnd"/>
            <w:r w:rsidRPr="003F3753">
              <w:rPr>
                <w:rFonts w:eastAsia="Arial"/>
                <w:b w:val="0"/>
                <w:bCs w:val="0"/>
                <w:color w:val="404040"/>
                <w:sz w:val="20"/>
              </w:rPr>
              <w:t xml:space="preserve"> has an activation problem, not purely an acquisition problem — more marketing spend without fixing activation will simply produce more unconverted sign-ups.</w:t>
            </w:r>
          </w:p>
          <w:p w14:paraId="63BFE6B3" w14:textId="2FF0C9E1" w:rsidR="00B16A6F" w:rsidRPr="003F3753" w:rsidRDefault="00B16A6F" w:rsidP="00B16A6F">
            <w:pPr>
              <w:ind w:right="-113"/>
            </w:pPr>
            <w:r w:rsidRPr="003F3753">
              <w:rPr>
                <w:rFonts w:eastAsia="Arial"/>
                <w:b w:val="0"/>
                <w:bCs w:val="0"/>
                <w:i/>
                <w:color w:val="2E75B6"/>
                <w:sz w:val="16"/>
              </w:rPr>
              <w:t>Source: Q1 — Customer Acquisition &amp; 30-Day Conversion</w:t>
            </w:r>
          </w:p>
        </w:tc>
      </w:tr>
    </w:tbl>
    <w:p w14:paraId="164B9FFB" w14:textId="1059A8E4" w:rsidR="00554AD0" w:rsidRPr="003F3753" w:rsidRDefault="00554AD0" w:rsidP="00554AD0">
      <w:pPr>
        <w:spacing w:after="0"/>
        <w:ind w:right="-113"/>
      </w:pPr>
    </w:p>
    <w:p w14:paraId="1DB2CC5F" w14:textId="77777777" w:rsidR="00B16A6F" w:rsidRPr="003F3753" w:rsidRDefault="00B16A6F" w:rsidP="00554AD0">
      <w:pPr>
        <w:spacing w:after="0"/>
        <w:ind w:right="-113"/>
      </w:pPr>
    </w:p>
    <w:tbl>
      <w:tblPr>
        <w:tblStyle w:val="GridTable4-Accent1"/>
        <w:tblW w:w="0" w:type="auto"/>
        <w:tblLook w:val="04A0" w:firstRow="1" w:lastRow="0" w:firstColumn="1" w:lastColumn="0" w:noHBand="0" w:noVBand="1"/>
      </w:tblPr>
      <w:tblGrid>
        <w:gridCol w:w="4498"/>
        <w:gridCol w:w="4499"/>
      </w:tblGrid>
      <w:tr w:rsidR="00B16A6F" w:rsidRPr="003F3753" w14:paraId="2CBE9AE3" w14:textId="77777777" w:rsidTr="00BB5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0704A25C" w14:textId="4E4773AC" w:rsidR="00B16A6F" w:rsidRPr="003F3753" w:rsidRDefault="00B16A6F" w:rsidP="00BB5733">
            <w:pPr>
              <w:ind w:right="-113"/>
              <w:rPr>
                <w:color w:val="E8E8E8" w:themeColor="background2"/>
              </w:rPr>
            </w:pPr>
            <w:r w:rsidRPr="003F3753">
              <w:rPr>
                <w:rFonts w:eastAsia="Arial"/>
                <w:color w:val="FFFFFF"/>
                <w:sz w:val="18"/>
              </w:rPr>
              <w:t>FINDING 2</w:t>
            </w:r>
          </w:p>
        </w:tc>
        <w:tc>
          <w:tcPr>
            <w:tcW w:w="4499" w:type="dxa"/>
          </w:tcPr>
          <w:p w14:paraId="57D54B82" w14:textId="1DEBB7F6" w:rsidR="00B16A6F" w:rsidRPr="003F3753" w:rsidRDefault="00B16A6F" w:rsidP="00BB5733">
            <w:pPr>
              <w:ind w:right="-113"/>
              <w:cnfStyle w:val="100000000000" w:firstRow="1" w:lastRow="0" w:firstColumn="0" w:lastColumn="0" w:oddVBand="0" w:evenVBand="0" w:oddHBand="0" w:evenHBand="0" w:firstRowFirstColumn="0" w:firstRowLastColumn="0" w:lastRowFirstColumn="0" w:lastRowLastColumn="0"/>
              <w:rPr>
                <w:color w:val="E8E8E8" w:themeColor="background2"/>
              </w:rPr>
            </w:pPr>
            <w:r w:rsidRPr="003F3753">
              <w:rPr>
                <w:rFonts w:eastAsia="Arial"/>
                <w:color w:val="FFFFFF"/>
                <w:sz w:val="18"/>
              </w:rPr>
              <w:t>Query 2 — Product Performance</w:t>
            </w:r>
          </w:p>
        </w:tc>
      </w:tr>
      <w:tr w:rsidR="00B16A6F" w:rsidRPr="003F3753" w14:paraId="534A9628" w14:textId="77777777" w:rsidTr="00BB5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97" w:type="dxa"/>
            <w:gridSpan w:val="2"/>
          </w:tcPr>
          <w:p w14:paraId="2EAED3E7" w14:textId="77777777" w:rsidR="003F3753" w:rsidRPr="003F3753" w:rsidRDefault="003F3753" w:rsidP="003F3753">
            <w:pPr>
              <w:spacing w:after="280" w:line="313" w:lineRule="auto"/>
              <w:jc w:val="both"/>
            </w:pPr>
            <w:r w:rsidRPr="003F3753">
              <w:rPr>
                <w:rFonts w:eastAsia="Arial"/>
                <w:color w:val="404040"/>
                <w:sz w:val="20"/>
              </w:rPr>
              <w:t>The top 10 products by revenue in 2024 account for a disproportionately large share of total platform revenue, with the top 3 products alone generating significantly more revenue than the bottom half of the catalogue combined.</w:t>
            </w:r>
          </w:p>
          <w:p w14:paraId="040404C3" w14:textId="77777777" w:rsidR="003F3753" w:rsidRPr="003F3753" w:rsidRDefault="003F3753" w:rsidP="003F3753">
            <w:pPr>
              <w:spacing w:after="240" w:line="313" w:lineRule="auto"/>
              <w:jc w:val="both"/>
              <w:rPr>
                <w:b w:val="0"/>
                <w:bCs w:val="0"/>
              </w:rPr>
            </w:pPr>
            <w:r w:rsidRPr="003F3753">
              <w:rPr>
                <w:rFonts w:eastAsia="Arial"/>
                <w:b w:val="0"/>
                <w:bCs w:val="0"/>
                <w:color w:val="404040"/>
                <w:sz w:val="20"/>
              </w:rPr>
              <w:t xml:space="preserve">Revenue concentration at the product level creates two risks. First, if any of the top-performing products experiences a supply disruption, a seller exit, or a pricing change, platform revenue will drop sharply with no cushion from the broader catalogue. Second, it suggests that promotional </w:t>
            </w:r>
            <w:proofErr w:type="gramStart"/>
            <w:r w:rsidRPr="003F3753">
              <w:rPr>
                <w:rFonts w:eastAsia="Arial"/>
                <w:b w:val="0"/>
                <w:bCs w:val="0"/>
                <w:color w:val="404040"/>
                <w:sz w:val="20"/>
              </w:rPr>
              <w:t>spend</w:t>
            </w:r>
            <w:proofErr w:type="gramEnd"/>
            <w:r w:rsidRPr="003F3753">
              <w:rPr>
                <w:rFonts w:eastAsia="Arial"/>
                <w:b w:val="0"/>
                <w:bCs w:val="0"/>
                <w:color w:val="404040"/>
                <w:sz w:val="20"/>
              </w:rPr>
              <w:t xml:space="preserve"> and customer discovery are not surfacing mid-tier products effectively — customers are repeatedly buying the same small set of items. </w:t>
            </w:r>
            <w:r w:rsidRPr="003F3753">
              <w:rPr>
                <w:rFonts w:eastAsia="Arial"/>
                <w:b w:val="0"/>
                <w:bCs w:val="0"/>
                <w:color w:val="404040"/>
                <w:sz w:val="20"/>
              </w:rPr>
              <w:lastRenderedPageBreak/>
              <w:t>From a growth perspective, diversifying revenue across more products reduces fragility and opens margin improvement opportunities, since heavily purchased products tend to attract heavier discounting pressure over time.</w:t>
            </w:r>
          </w:p>
          <w:p w14:paraId="1BB6EA63" w14:textId="29375707" w:rsidR="00B16A6F" w:rsidRPr="003F3753" w:rsidRDefault="003F3753" w:rsidP="003F3753">
            <w:pPr>
              <w:ind w:right="-113"/>
            </w:pPr>
            <w:r w:rsidRPr="003F3753">
              <w:rPr>
                <w:rFonts w:eastAsia="Arial"/>
                <w:b w:val="0"/>
                <w:bCs w:val="0"/>
                <w:i/>
                <w:color w:val="2E75B6"/>
                <w:sz w:val="16"/>
              </w:rPr>
              <w:t>Source: Q2 — Product Performance</w:t>
            </w:r>
          </w:p>
        </w:tc>
      </w:tr>
    </w:tbl>
    <w:p w14:paraId="081C79A8" w14:textId="77777777" w:rsidR="00554AD0" w:rsidRPr="003F3753" w:rsidRDefault="00554AD0" w:rsidP="00554AD0">
      <w:pPr>
        <w:spacing w:after="0"/>
        <w:ind w:right="-113"/>
      </w:pPr>
    </w:p>
    <w:p w14:paraId="46B8E72F" w14:textId="77777777" w:rsidR="00554AD0" w:rsidRPr="003F3753" w:rsidRDefault="00554AD0">
      <w:pPr>
        <w:spacing w:after="0"/>
        <w:ind w:left="-1560" w:right="10567"/>
      </w:pPr>
    </w:p>
    <w:p w14:paraId="480B54E7" w14:textId="77777777" w:rsidR="00554AD0" w:rsidRPr="003F3753" w:rsidRDefault="00554AD0">
      <w:pPr>
        <w:spacing w:after="0"/>
        <w:ind w:left="-1560" w:right="10567"/>
      </w:pPr>
    </w:p>
    <w:p w14:paraId="22F4FC64" w14:textId="77777777" w:rsidR="00554AD0" w:rsidRPr="003F3753" w:rsidRDefault="00554AD0">
      <w:pPr>
        <w:spacing w:after="0"/>
        <w:ind w:left="-1560" w:right="10567"/>
      </w:pPr>
    </w:p>
    <w:p w14:paraId="651899D1" w14:textId="77777777" w:rsidR="00554AD0" w:rsidRPr="003F3753" w:rsidRDefault="00554AD0">
      <w:pPr>
        <w:spacing w:after="0"/>
        <w:ind w:left="-1560" w:right="10567"/>
      </w:pPr>
    </w:p>
    <w:tbl>
      <w:tblPr>
        <w:tblStyle w:val="TableGrid"/>
        <w:tblW w:w="9450" w:type="dxa"/>
        <w:tblInd w:w="-180" w:type="dxa"/>
        <w:tblCellMar>
          <w:left w:w="240" w:type="dxa"/>
          <w:right w:w="240" w:type="dxa"/>
        </w:tblCellMar>
        <w:tblLook w:val="04A0" w:firstRow="1" w:lastRow="0" w:firstColumn="1" w:lastColumn="0" w:noHBand="0" w:noVBand="1"/>
      </w:tblPr>
      <w:tblGrid>
        <w:gridCol w:w="9450"/>
      </w:tblGrid>
      <w:tr w:rsidR="00010DEA" w:rsidRPr="003F3753" w14:paraId="19CCEEC1" w14:textId="77777777" w:rsidTr="000A0DE7">
        <w:trPr>
          <w:trHeight w:val="500"/>
        </w:trPr>
        <w:tc>
          <w:tcPr>
            <w:tcW w:w="9450" w:type="dxa"/>
            <w:tcBorders>
              <w:top w:val="nil"/>
              <w:left w:val="nil"/>
              <w:bottom w:val="single" w:sz="4" w:space="0" w:color="BFBFBF"/>
              <w:right w:val="nil"/>
            </w:tcBorders>
            <w:shd w:val="clear" w:color="auto" w:fill="2E75B6"/>
            <w:vAlign w:val="center"/>
          </w:tcPr>
          <w:p w14:paraId="315B620A" w14:textId="77777777" w:rsidR="00010DEA" w:rsidRPr="003F3753" w:rsidRDefault="00000000">
            <w:pPr>
              <w:tabs>
                <w:tab w:val="center" w:pos="1992"/>
                <w:tab w:val="center" w:pos="6456"/>
              </w:tabs>
            </w:pPr>
            <w:r w:rsidRPr="003F3753">
              <w:tab/>
            </w:r>
            <w:r w:rsidRPr="003F3753">
              <w:rPr>
                <w:rFonts w:eastAsia="Arial"/>
                <w:b/>
                <w:color w:val="FFFFFF"/>
                <w:sz w:val="18"/>
              </w:rPr>
              <w:t>FINDING 1</w:t>
            </w:r>
            <w:r w:rsidRPr="003F3753">
              <w:rPr>
                <w:rFonts w:eastAsia="Arial"/>
                <w:b/>
                <w:color w:val="FFFFFF"/>
                <w:sz w:val="18"/>
              </w:rPr>
              <w:tab/>
              <w:t>Query 1 — Customer Acquisition</w:t>
            </w:r>
          </w:p>
        </w:tc>
      </w:tr>
      <w:tr w:rsidR="00010DEA" w:rsidRPr="003F3753" w14:paraId="08A7C33D" w14:textId="77777777" w:rsidTr="000A0DE7">
        <w:trPr>
          <w:trHeight w:val="4360"/>
        </w:trPr>
        <w:tc>
          <w:tcPr>
            <w:tcW w:w="9450" w:type="dxa"/>
            <w:tcBorders>
              <w:top w:val="single" w:sz="4" w:space="0" w:color="BFBFBF"/>
              <w:left w:val="single" w:sz="4" w:space="0" w:color="BFBFBF"/>
              <w:bottom w:val="single" w:sz="4" w:space="0" w:color="BFBFBF"/>
              <w:right w:val="single" w:sz="24" w:space="0" w:color="2E75B6"/>
            </w:tcBorders>
            <w:shd w:val="clear" w:color="auto" w:fill="F2F2F2"/>
            <w:vAlign w:val="center"/>
          </w:tcPr>
          <w:p w14:paraId="7E57C830" w14:textId="5EABC6B6" w:rsidR="00010DEA" w:rsidRPr="003F3753" w:rsidRDefault="00010DEA"/>
        </w:tc>
      </w:tr>
      <w:tr w:rsidR="00010DEA" w:rsidRPr="003F3753" w14:paraId="566AD555" w14:textId="77777777" w:rsidTr="000A0DE7">
        <w:trPr>
          <w:trHeight w:val="500"/>
        </w:trPr>
        <w:tc>
          <w:tcPr>
            <w:tcW w:w="9450" w:type="dxa"/>
            <w:tcBorders>
              <w:top w:val="nil"/>
              <w:left w:val="nil"/>
              <w:bottom w:val="single" w:sz="4" w:space="0" w:color="BFBFBF"/>
              <w:right w:val="nil"/>
            </w:tcBorders>
            <w:shd w:val="clear" w:color="auto" w:fill="1D6A39"/>
            <w:vAlign w:val="center"/>
          </w:tcPr>
          <w:p w14:paraId="26F9C0EC" w14:textId="5489B63A" w:rsidR="00010DEA" w:rsidRPr="003F3753" w:rsidRDefault="00000000">
            <w:pPr>
              <w:tabs>
                <w:tab w:val="center" w:pos="1992"/>
                <w:tab w:val="center" w:pos="6456"/>
              </w:tabs>
            </w:pPr>
            <w:r w:rsidRPr="003F3753">
              <w:tab/>
            </w:r>
            <w:r w:rsidRPr="003F3753">
              <w:rPr>
                <w:rFonts w:eastAsia="Arial"/>
                <w:b/>
                <w:color w:val="FFFFFF"/>
                <w:sz w:val="18"/>
              </w:rPr>
              <w:t>FINDING 2</w:t>
            </w:r>
            <w:r w:rsidRPr="003F3753">
              <w:rPr>
                <w:rFonts w:eastAsia="Arial"/>
                <w:b/>
                <w:color w:val="FFFFFF"/>
                <w:sz w:val="18"/>
              </w:rPr>
              <w:tab/>
              <w:t>Query 2 — Product Performance</w:t>
            </w:r>
          </w:p>
        </w:tc>
      </w:tr>
      <w:tr w:rsidR="00010DEA" w:rsidRPr="003F3753" w14:paraId="66041B14" w14:textId="77777777" w:rsidTr="000A0DE7">
        <w:trPr>
          <w:trHeight w:val="4360"/>
        </w:trPr>
        <w:tc>
          <w:tcPr>
            <w:tcW w:w="9450" w:type="dxa"/>
            <w:tcBorders>
              <w:top w:val="single" w:sz="4" w:space="0" w:color="BFBFBF"/>
              <w:left w:val="single" w:sz="4" w:space="0" w:color="BFBFBF"/>
              <w:bottom w:val="single" w:sz="4" w:space="0" w:color="BFBFBF"/>
              <w:right w:val="single" w:sz="24" w:space="0" w:color="1D6A39"/>
            </w:tcBorders>
            <w:shd w:val="clear" w:color="auto" w:fill="F2F2F2"/>
            <w:vAlign w:val="center"/>
          </w:tcPr>
          <w:p w14:paraId="5B86EF2D" w14:textId="77777777" w:rsidR="00010DEA" w:rsidRPr="003F3753" w:rsidRDefault="00000000">
            <w:pPr>
              <w:spacing w:after="280" w:line="313" w:lineRule="auto"/>
              <w:jc w:val="both"/>
            </w:pPr>
            <w:r w:rsidRPr="003F3753">
              <w:rPr>
                <w:rFonts w:eastAsia="Arial"/>
                <w:b/>
                <w:color w:val="404040"/>
                <w:sz w:val="20"/>
              </w:rPr>
              <w:lastRenderedPageBreak/>
              <w:t>The top 10 products by revenue in 2024 account for a disproportionately large share of total platform revenue, with the top 3 products alone generating significantly more revenue than the bottom half of the catalogue combined.</w:t>
            </w:r>
          </w:p>
          <w:p w14:paraId="62926E42" w14:textId="77777777" w:rsidR="00010DEA" w:rsidRPr="003F3753" w:rsidRDefault="00000000">
            <w:pPr>
              <w:spacing w:after="240" w:line="313" w:lineRule="auto"/>
              <w:jc w:val="both"/>
            </w:pPr>
            <w:r w:rsidRPr="003F3753">
              <w:rPr>
                <w:rFonts w:eastAsia="Arial"/>
                <w:color w:val="404040"/>
                <w:sz w:val="20"/>
              </w:rPr>
              <w:t xml:space="preserve">Revenue concentration at the product level creates two risks. First, if any of the top-performing products experiences a supply disruption, a seller exit, or a pricing change, platform revenue will drop sharply with no cushion from the broader catalogue. Second, it suggests that promotional </w:t>
            </w:r>
            <w:proofErr w:type="gramStart"/>
            <w:r w:rsidRPr="003F3753">
              <w:rPr>
                <w:rFonts w:eastAsia="Arial"/>
                <w:color w:val="404040"/>
                <w:sz w:val="20"/>
              </w:rPr>
              <w:t>spend</w:t>
            </w:r>
            <w:proofErr w:type="gramEnd"/>
            <w:r w:rsidRPr="003F3753">
              <w:rPr>
                <w:rFonts w:eastAsia="Arial"/>
                <w:color w:val="404040"/>
                <w:sz w:val="20"/>
              </w:rPr>
              <w:t xml:space="preserve"> and customer discovery are not surfacing mid-tier products effectively — customers are repeatedly buying the same small set of items. From a growth perspective, diversifying revenue across more products reduces fragility and opens margin improvement opportunities, since heavily purchased products tend to attract heavier discounting pressure over time.</w:t>
            </w:r>
          </w:p>
          <w:p w14:paraId="269CBCCF" w14:textId="77777777" w:rsidR="00010DEA" w:rsidRPr="003F3753" w:rsidRDefault="00000000">
            <w:r w:rsidRPr="003F3753">
              <w:rPr>
                <w:rFonts w:eastAsia="Arial"/>
                <w:i/>
                <w:color w:val="2E75B6"/>
                <w:sz w:val="16"/>
              </w:rPr>
              <w:t>Source: Q2 — Product Performance</w:t>
            </w:r>
          </w:p>
        </w:tc>
      </w:tr>
      <w:tr w:rsidR="00010DEA" w:rsidRPr="003F3753" w14:paraId="10C09F04" w14:textId="77777777" w:rsidTr="000A0DE7">
        <w:trPr>
          <w:trHeight w:val="500"/>
        </w:trPr>
        <w:tc>
          <w:tcPr>
            <w:tcW w:w="9450" w:type="dxa"/>
            <w:tcBorders>
              <w:top w:val="nil"/>
              <w:left w:val="nil"/>
              <w:bottom w:val="single" w:sz="4" w:space="0" w:color="BFBFBF"/>
              <w:right w:val="nil"/>
            </w:tcBorders>
            <w:shd w:val="clear" w:color="auto" w:fill="C55A11"/>
            <w:vAlign w:val="center"/>
          </w:tcPr>
          <w:p w14:paraId="468FABDA" w14:textId="77777777" w:rsidR="00010DEA" w:rsidRPr="003F3753" w:rsidRDefault="00000000">
            <w:pPr>
              <w:tabs>
                <w:tab w:val="center" w:pos="1992"/>
                <w:tab w:val="center" w:pos="6456"/>
              </w:tabs>
            </w:pPr>
            <w:r w:rsidRPr="003F3753">
              <w:tab/>
            </w:r>
            <w:r w:rsidRPr="003F3753">
              <w:rPr>
                <w:rFonts w:eastAsia="Arial"/>
                <w:b/>
                <w:color w:val="FFFFFF"/>
                <w:sz w:val="18"/>
              </w:rPr>
              <w:t>FINDING 3</w:t>
            </w:r>
            <w:r w:rsidRPr="003F3753">
              <w:rPr>
                <w:rFonts w:eastAsia="Arial"/>
                <w:b/>
                <w:color w:val="FFFFFF"/>
                <w:sz w:val="18"/>
              </w:rPr>
              <w:tab/>
              <w:t>Query 4 — Quarterly Revenue Trends</w:t>
            </w:r>
          </w:p>
        </w:tc>
      </w:tr>
      <w:tr w:rsidR="00010DEA" w:rsidRPr="003F3753" w14:paraId="71217B52" w14:textId="77777777" w:rsidTr="000A0DE7">
        <w:trPr>
          <w:trHeight w:val="4660"/>
        </w:trPr>
        <w:tc>
          <w:tcPr>
            <w:tcW w:w="9450" w:type="dxa"/>
            <w:tcBorders>
              <w:top w:val="single" w:sz="4" w:space="0" w:color="BFBFBF"/>
              <w:left w:val="single" w:sz="4" w:space="0" w:color="BFBFBF"/>
              <w:bottom w:val="single" w:sz="4" w:space="0" w:color="BFBFBF"/>
              <w:right w:val="single" w:sz="24" w:space="0" w:color="C55A11"/>
            </w:tcBorders>
            <w:shd w:val="clear" w:color="auto" w:fill="F2F2F2"/>
            <w:vAlign w:val="center"/>
          </w:tcPr>
          <w:p w14:paraId="48A1279B" w14:textId="77777777" w:rsidR="00010DEA" w:rsidRPr="003F3753" w:rsidRDefault="00000000">
            <w:pPr>
              <w:spacing w:after="280" w:line="313" w:lineRule="auto"/>
              <w:jc w:val="both"/>
            </w:pPr>
            <w:r w:rsidRPr="003F3753">
              <w:rPr>
                <w:rFonts w:eastAsia="Arial"/>
                <w:b/>
                <w:color w:val="404040"/>
                <w:sz w:val="20"/>
              </w:rPr>
              <w:t xml:space="preserve">Quarter-on-quarter revenue growth was positive across both 2023 and 2024, with the strongest </w:t>
            </w:r>
            <w:proofErr w:type="gramStart"/>
            <w:r w:rsidRPr="003F3753">
              <w:rPr>
                <w:rFonts w:eastAsia="Arial"/>
                <w:b/>
                <w:color w:val="404040"/>
                <w:sz w:val="20"/>
              </w:rPr>
              <w:t>single year</w:t>
            </w:r>
            <w:proofErr w:type="gramEnd"/>
            <w:r w:rsidRPr="003F3753">
              <w:rPr>
                <w:rFonts w:eastAsia="Arial"/>
                <w:b/>
                <w:color w:val="404040"/>
                <w:sz w:val="20"/>
              </w:rPr>
              <w:t>-over-year quarterly growth occurring in Q3, where revenue increased by approximately 46% compared to Q3 2023. However, average order value remained relatively flat across all quarters, meaning growth was driven almost entirely by order volume rather than by customers spending more per order.</w:t>
            </w:r>
          </w:p>
          <w:p w14:paraId="69794643" w14:textId="77777777" w:rsidR="00010DEA" w:rsidRPr="003F3753" w:rsidRDefault="00000000">
            <w:pPr>
              <w:spacing w:after="240" w:line="313" w:lineRule="auto"/>
              <w:jc w:val="both"/>
            </w:pPr>
            <w:r w:rsidRPr="003F3753">
              <w:rPr>
                <w:rFonts w:eastAsia="Arial"/>
                <w:color w:val="404040"/>
                <w:sz w:val="20"/>
              </w:rPr>
              <w:t xml:space="preserve">Volume-driven growth is encouraging but carries a ceiling. It means </w:t>
            </w:r>
            <w:proofErr w:type="spellStart"/>
            <w:r w:rsidRPr="003F3753">
              <w:rPr>
                <w:rFonts w:eastAsia="Arial"/>
                <w:color w:val="404040"/>
                <w:sz w:val="20"/>
              </w:rPr>
              <w:t>TradeZone</w:t>
            </w:r>
            <w:proofErr w:type="spellEnd"/>
            <w:r w:rsidRPr="003F3753">
              <w:rPr>
                <w:rFonts w:eastAsia="Arial"/>
                <w:color w:val="404040"/>
                <w:sz w:val="20"/>
              </w:rPr>
              <w:t xml:space="preserve"> is successfully bringing more customers into the funnel each </w:t>
            </w:r>
            <w:proofErr w:type="gramStart"/>
            <w:r w:rsidRPr="003F3753">
              <w:rPr>
                <w:rFonts w:eastAsia="Arial"/>
                <w:color w:val="404040"/>
                <w:sz w:val="20"/>
              </w:rPr>
              <w:t>quarter, but</w:t>
            </w:r>
            <w:proofErr w:type="gramEnd"/>
            <w:r w:rsidRPr="003F3753">
              <w:rPr>
                <w:rFonts w:eastAsia="Arial"/>
                <w:color w:val="404040"/>
                <w:sz w:val="20"/>
              </w:rPr>
              <w:t xml:space="preserve"> is </w:t>
            </w:r>
            <w:proofErr w:type="gramStart"/>
            <w:r w:rsidRPr="003F3753">
              <w:rPr>
                <w:rFonts w:eastAsia="Arial"/>
                <w:color w:val="404040"/>
                <w:sz w:val="20"/>
              </w:rPr>
              <w:t>not succeeding</w:t>
            </w:r>
            <w:proofErr w:type="gramEnd"/>
            <w:r w:rsidRPr="003F3753">
              <w:rPr>
                <w:rFonts w:eastAsia="Arial"/>
                <w:color w:val="404040"/>
                <w:sz w:val="20"/>
              </w:rPr>
              <w:t xml:space="preserve"> in increasing the value of each transaction. Flat average order value over two years suggests that upselling, bundling, and cross-sell mechanisms are either absent or ineffective. For the 2025 planning cycle, the growth team should set targets not only for order count but for average order value, which represents a largely untapped revenue lever that does not require additional customer acquisition spend.</w:t>
            </w:r>
          </w:p>
          <w:p w14:paraId="6C897A30" w14:textId="77777777" w:rsidR="00010DEA" w:rsidRPr="003F3753" w:rsidRDefault="00000000">
            <w:r w:rsidRPr="003F3753">
              <w:rPr>
                <w:rFonts w:eastAsia="Arial"/>
                <w:i/>
                <w:color w:val="2E75B6"/>
                <w:sz w:val="16"/>
              </w:rPr>
              <w:t>Source: Q4 — Quarterly Revenue Trends</w:t>
            </w:r>
          </w:p>
        </w:tc>
      </w:tr>
    </w:tbl>
    <w:p w14:paraId="2C84EA9B" w14:textId="77777777" w:rsidR="00010DEA" w:rsidRPr="003F3753" w:rsidRDefault="00000000">
      <w:pPr>
        <w:spacing w:after="226"/>
        <w:ind w:left="-5" w:hanging="10"/>
        <w:rPr>
          <w:rFonts w:eastAsia="Arial"/>
          <w:b/>
          <w:color w:val="2E75B6"/>
          <w:sz w:val="14"/>
        </w:rPr>
      </w:pPr>
      <w:r w:rsidRPr="003F3753">
        <w:rPr>
          <w:rFonts w:eastAsia="Arial"/>
          <w:b/>
          <w:color w:val="2E75B6"/>
          <w:sz w:val="14"/>
        </w:rPr>
        <w:t>SECTION 3</w:t>
      </w:r>
    </w:p>
    <w:p w14:paraId="37D8235E" w14:textId="77777777" w:rsidR="006E5E0E" w:rsidRPr="003F3753" w:rsidRDefault="006E5E0E">
      <w:pPr>
        <w:spacing w:after="226"/>
        <w:ind w:left="-5" w:hanging="10"/>
        <w:rPr>
          <w:rFonts w:eastAsia="Arial"/>
          <w:b/>
          <w:color w:val="2E75B6"/>
          <w:sz w:val="14"/>
        </w:rPr>
      </w:pPr>
    </w:p>
    <w:p w14:paraId="7A70500C" w14:textId="77777777" w:rsidR="006E5E0E" w:rsidRPr="003F3753" w:rsidRDefault="006E5E0E">
      <w:pPr>
        <w:spacing w:after="226"/>
        <w:ind w:left="-5" w:hanging="10"/>
        <w:rPr>
          <w:rFonts w:eastAsia="Arial"/>
          <w:b/>
          <w:color w:val="2E75B6"/>
          <w:sz w:val="14"/>
        </w:rPr>
      </w:pPr>
    </w:p>
    <w:p w14:paraId="5B5A7C7A" w14:textId="77777777" w:rsidR="006E5E0E" w:rsidRPr="003F3753" w:rsidRDefault="006E5E0E">
      <w:pPr>
        <w:spacing w:after="226"/>
        <w:ind w:left="-5" w:hanging="10"/>
        <w:rPr>
          <w:rFonts w:eastAsia="Arial"/>
          <w:b/>
          <w:color w:val="2E75B6"/>
          <w:sz w:val="14"/>
        </w:rPr>
      </w:pPr>
    </w:p>
    <w:p w14:paraId="2258B1CC" w14:textId="77777777" w:rsidR="006E5E0E" w:rsidRPr="003F3753" w:rsidRDefault="006E5E0E">
      <w:pPr>
        <w:spacing w:after="226"/>
        <w:ind w:left="-5" w:hanging="10"/>
      </w:pPr>
    </w:p>
    <w:p w14:paraId="022912DB" w14:textId="77777777" w:rsidR="00010DEA" w:rsidRPr="003F3753" w:rsidRDefault="00000000">
      <w:pPr>
        <w:pStyle w:val="Heading1"/>
        <w:ind w:left="-5"/>
        <w:rPr>
          <w:rFonts w:ascii="Calibri" w:hAnsi="Calibri" w:cs="Calibri"/>
        </w:rPr>
      </w:pPr>
      <w:r w:rsidRPr="003F3753">
        <w:rPr>
          <w:rFonts w:ascii="Calibri" w:hAnsi="Calibri" w:cs="Calibri"/>
        </w:rPr>
        <w:t>Recommendations</w:t>
      </w:r>
    </w:p>
    <w:p w14:paraId="7CC5072A" w14:textId="77777777" w:rsidR="00010DEA" w:rsidRPr="003F3753" w:rsidRDefault="00000000">
      <w:pPr>
        <w:spacing w:after="200"/>
        <w:ind w:right="-113"/>
      </w:pPr>
      <w:r w:rsidRPr="003F3753">
        <w:rPr>
          <w:noProof/>
        </w:rPr>
        <mc:AlternateContent>
          <mc:Choice Requires="wpg">
            <w:drawing>
              <wp:inline distT="0" distB="0" distL="0" distR="0" wp14:anchorId="1654B810" wp14:editId="4B25E9CC">
                <wp:extent cx="5791200" cy="19050"/>
                <wp:effectExtent l="0" t="0" r="0" b="0"/>
                <wp:docPr id="4692" name="Group 4692"/>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13" name="Shape 113"/>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92" style="width:456pt;height:1.5pt;mso-position-horizontal-relative:char;mso-position-vertical-relative:line" coordsize="57912,190">
                <v:shape id="Shape 113" style="position:absolute;width:57912;height:0;left:0;top:0;" coordsize="5791200,0" path="m0,0l5791200,0">
                  <v:stroke weight="1.5pt" endcap="round" joinstyle="miter" miterlimit="10" on="true" color="#2e75b6"/>
                  <v:fill on="false" color="#000000" opacity="0"/>
                </v:shape>
              </v:group>
            </w:pict>
          </mc:Fallback>
        </mc:AlternateContent>
      </w:r>
    </w:p>
    <w:tbl>
      <w:tblPr>
        <w:tblStyle w:val="TableGrid"/>
        <w:tblW w:w="8928" w:type="dxa"/>
        <w:tblInd w:w="96" w:type="dxa"/>
        <w:tblCellMar>
          <w:left w:w="200" w:type="dxa"/>
          <w:bottom w:w="143" w:type="dxa"/>
          <w:right w:w="200" w:type="dxa"/>
        </w:tblCellMar>
        <w:tblLook w:val="04A0" w:firstRow="1" w:lastRow="0" w:firstColumn="1" w:lastColumn="0" w:noHBand="0" w:noVBand="1"/>
      </w:tblPr>
      <w:tblGrid>
        <w:gridCol w:w="1440"/>
        <w:gridCol w:w="7488"/>
      </w:tblGrid>
      <w:tr w:rsidR="00010DEA" w:rsidRPr="003F3753" w14:paraId="727CA86C" w14:textId="77777777">
        <w:trPr>
          <w:trHeight w:val="480"/>
        </w:trPr>
        <w:tc>
          <w:tcPr>
            <w:tcW w:w="8928" w:type="dxa"/>
            <w:gridSpan w:val="2"/>
            <w:tcBorders>
              <w:top w:val="nil"/>
              <w:left w:val="nil"/>
              <w:bottom w:val="single" w:sz="4" w:space="0" w:color="1D6A39"/>
              <w:right w:val="nil"/>
            </w:tcBorders>
            <w:shd w:val="clear" w:color="auto" w:fill="1D6A39"/>
            <w:vAlign w:val="center"/>
          </w:tcPr>
          <w:p w14:paraId="2DB0CB86" w14:textId="77777777" w:rsidR="00010DEA" w:rsidRPr="003F3753" w:rsidRDefault="00000000">
            <w:pPr>
              <w:ind w:left="40"/>
            </w:pPr>
            <w:r w:rsidRPr="003F3753">
              <w:rPr>
                <w:rFonts w:eastAsia="Arial"/>
                <w:b/>
                <w:color w:val="FFFFFF"/>
                <w:sz w:val="18"/>
              </w:rPr>
              <w:lastRenderedPageBreak/>
              <w:t>RECOMMENDATION 1</w:t>
            </w:r>
          </w:p>
        </w:tc>
      </w:tr>
      <w:tr w:rsidR="00010DEA" w:rsidRPr="003F3753" w14:paraId="5A8BF926" w14:textId="77777777">
        <w:trPr>
          <w:trHeight w:val="2240"/>
        </w:trPr>
        <w:tc>
          <w:tcPr>
            <w:tcW w:w="1440" w:type="dxa"/>
            <w:tcBorders>
              <w:top w:val="single" w:sz="4" w:space="0" w:color="1D6A39"/>
              <w:left w:val="single" w:sz="4" w:space="0" w:color="1D6A39"/>
              <w:bottom w:val="single" w:sz="2" w:space="0" w:color="BFBFBF"/>
              <w:right w:val="single" w:sz="4" w:space="0" w:color="BFBFBF"/>
            </w:tcBorders>
            <w:shd w:val="clear" w:color="auto" w:fill="E2EFDA"/>
            <w:vAlign w:val="bottom"/>
          </w:tcPr>
          <w:p w14:paraId="335621C9" w14:textId="77777777" w:rsidR="00010DEA" w:rsidRPr="003F3753" w:rsidRDefault="00000000">
            <w:r w:rsidRPr="003F3753">
              <w:rPr>
                <w:rFonts w:eastAsia="Arial"/>
                <w:b/>
                <w:color w:val="404040"/>
                <w:sz w:val="19"/>
              </w:rPr>
              <w:t>ACTION</w:t>
            </w:r>
          </w:p>
        </w:tc>
        <w:tc>
          <w:tcPr>
            <w:tcW w:w="7488" w:type="dxa"/>
            <w:tcBorders>
              <w:top w:val="single" w:sz="4" w:space="0" w:color="1D6A39"/>
              <w:left w:val="single" w:sz="4" w:space="0" w:color="BFBFBF"/>
              <w:bottom w:val="single" w:sz="2" w:space="0" w:color="BFBFBF"/>
              <w:right w:val="single" w:sz="4" w:space="0" w:color="1D6A39"/>
            </w:tcBorders>
            <w:shd w:val="clear" w:color="auto" w:fill="E2EFDA"/>
            <w:vAlign w:val="center"/>
          </w:tcPr>
          <w:p w14:paraId="0A5ADAE3" w14:textId="77777777" w:rsidR="00010DEA" w:rsidRPr="003F3753" w:rsidRDefault="00000000">
            <w:pPr>
              <w:jc w:val="both"/>
            </w:pPr>
            <w:r w:rsidRPr="003F3753">
              <w:rPr>
                <w:rFonts w:eastAsia="Arial"/>
                <w:color w:val="404040"/>
                <w:sz w:val="19"/>
              </w:rPr>
              <w:t xml:space="preserve">Design and launch a structured 30-day new customer activation </w:t>
            </w:r>
            <w:proofErr w:type="spellStart"/>
            <w:r w:rsidRPr="003F3753">
              <w:rPr>
                <w:rFonts w:eastAsia="Arial"/>
                <w:color w:val="404040"/>
                <w:sz w:val="19"/>
              </w:rPr>
              <w:t>programme</w:t>
            </w:r>
            <w:proofErr w:type="spellEnd"/>
            <w:r w:rsidRPr="003F3753">
              <w:rPr>
                <w:rFonts w:eastAsia="Arial"/>
                <w:color w:val="404040"/>
                <w:sz w:val="19"/>
              </w:rPr>
              <w:t xml:space="preserve">. This should include: an automated welcome sequence (SMS or email) sent within 24 hours of sign-up with a time-limited first-purchase incentive (suggested: a 10% discount voucher or free delivery on the first order); a follow-up message at Day 7 for customers who have not yet purchased; and a final reminder at Day 25 before the window closes. The incentive should be structured so it expires </w:t>
            </w:r>
            <w:proofErr w:type="gramStart"/>
            <w:r w:rsidRPr="003F3753">
              <w:rPr>
                <w:rFonts w:eastAsia="Arial"/>
                <w:color w:val="404040"/>
                <w:sz w:val="19"/>
              </w:rPr>
              <w:t>at</w:t>
            </w:r>
            <w:proofErr w:type="gramEnd"/>
            <w:r w:rsidRPr="003F3753">
              <w:rPr>
                <w:rFonts w:eastAsia="Arial"/>
                <w:color w:val="404040"/>
                <w:sz w:val="19"/>
              </w:rPr>
              <w:t xml:space="preserve"> Day 30 to create urgency.</w:t>
            </w:r>
          </w:p>
        </w:tc>
      </w:tr>
      <w:tr w:rsidR="00010DEA" w:rsidRPr="003F3753" w14:paraId="24D3AE79" w14:textId="77777777">
        <w:trPr>
          <w:trHeight w:val="560"/>
        </w:trPr>
        <w:tc>
          <w:tcPr>
            <w:tcW w:w="1440" w:type="dxa"/>
            <w:tcBorders>
              <w:top w:val="single" w:sz="2" w:space="0" w:color="BFBFBF"/>
              <w:left w:val="single" w:sz="4" w:space="0" w:color="1D6A39"/>
              <w:bottom w:val="single" w:sz="2" w:space="0" w:color="BFBFBF"/>
              <w:right w:val="single" w:sz="4" w:space="0" w:color="BFBFBF"/>
            </w:tcBorders>
            <w:shd w:val="clear" w:color="auto" w:fill="E2EFDA"/>
            <w:vAlign w:val="center"/>
          </w:tcPr>
          <w:p w14:paraId="46E219F8" w14:textId="77777777" w:rsidR="00010DEA" w:rsidRPr="003F3753" w:rsidRDefault="00000000">
            <w:r w:rsidRPr="003F3753">
              <w:rPr>
                <w:rFonts w:eastAsia="Arial"/>
                <w:b/>
                <w:color w:val="404040"/>
                <w:sz w:val="19"/>
              </w:rPr>
              <w:t>OWNER</w:t>
            </w:r>
          </w:p>
        </w:tc>
        <w:tc>
          <w:tcPr>
            <w:tcW w:w="7488" w:type="dxa"/>
            <w:tcBorders>
              <w:top w:val="single" w:sz="2" w:space="0" w:color="BFBFBF"/>
              <w:left w:val="single" w:sz="4" w:space="0" w:color="BFBFBF"/>
              <w:bottom w:val="single" w:sz="2" w:space="0" w:color="BFBFBF"/>
              <w:right w:val="single" w:sz="4" w:space="0" w:color="1D6A39"/>
            </w:tcBorders>
            <w:shd w:val="clear" w:color="auto" w:fill="E2EFDA"/>
            <w:vAlign w:val="center"/>
          </w:tcPr>
          <w:p w14:paraId="6B0B1FE6" w14:textId="77777777" w:rsidR="00010DEA" w:rsidRPr="003F3753" w:rsidRDefault="00000000">
            <w:r w:rsidRPr="003F3753">
              <w:rPr>
                <w:rFonts w:eastAsia="Arial"/>
                <w:color w:val="404040"/>
                <w:sz w:val="19"/>
              </w:rPr>
              <w:t>Growth Marketing Team, supported by the CRM/Notifications engineering squad.</w:t>
            </w:r>
          </w:p>
        </w:tc>
      </w:tr>
      <w:tr w:rsidR="00010DEA" w:rsidRPr="003F3753" w14:paraId="4F807A07" w14:textId="77777777">
        <w:trPr>
          <w:trHeight w:val="1680"/>
        </w:trPr>
        <w:tc>
          <w:tcPr>
            <w:tcW w:w="1440" w:type="dxa"/>
            <w:tcBorders>
              <w:top w:val="single" w:sz="2" w:space="0" w:color="BFBFBF"/>
              <w:left w:val="single" w:sz="4" w:space="0" w:color="1D6A39"/>
              <w:bottom w:val="single" w:sz="2" w:space="0" w:color="BFBFBF"/>
              <w:right w:val="single" w:sz="4" w:space="0" w:color="BFBFBF"/>
            </w:tcBorders>
            <w:shd w:val="clear" w:color="auto" w:fill="E2EFDA"/>
            <w:vAlign w:val="bottom"/>
          </w:tcPr>
          <w:p w14:paraId="67D90B6E" w14:textId="77777777" w:rsidR="00010DEA" w:rsidRPr="003F3753" w:rsidRDefault="00000000">
            <w:r w:rsidRPr="003F3753">
              <w:rPr>
                <w:rFonts w:eastAsia="Arial"/>
                <w:b/>
                <w:color w:val="404040"/>
                <w:sz w:val="19"/>
              </w:rPr>
              <w:t>OUTCOME</w:t>
            </w:r>
          </w:p>
        </w:tc>
        <w:tc>
          <w:tcPr>
            <w:tcW w:w="7488" w:type="dxa"/>
            <w:tcBorders>
              <w:top w:val="single" w:sz="2" w:space="0" w:color="BFBFBF"/>
              <w:left w:val="single" w:sz="4" w:space="0" w:color="BFBFBF"/>
              <w:bottom w:val="single" w:sz="2" w:space="0" w:color="BFBFBF"/>
              <w:right w:val="single" w:sz="4" w:space="0" w:color="1D6A39"/>
            </w:tcBorders>
            <w:shd w:val="clear" w:color="auto" w:fill="E2EFDA"/>
            <w:vAlign w:val="center"/>
          </w:tcPr>
          <w:p w14:paraId="0C987300" w14:textId="77777777" w:rsidR="00010DEA" w:rsidRPr="003F3753" w:rsidRDefault="00000000">
            <w:pPr>
              <w:jc w:val="both"/>
            </w:pPr>
            <w:r w:rsidRPr="003F3753">
              <w:rPr>
                <w:rFonts w:eastAsia="Arial"/>
                <w:color w:val="404040"/>
                <w:sz w:val="19"/>
              </w:rPr>
              <w:t xml:space="preserve">A minimum 15 percentage point increase in 30-day conversion rate across the top 5 states within 60 to 90 days of launch. This is a conservative target based on standard activation </w:t>
            </w:r>
            <w:proofErr w:type="spellStart"/>
            <w:r w:rsidRPr="003F3753">
              <w:rPr>
                <w:rFonts w:eastAsia="Arial"/>
                <w:color w:val="404040"/>
                <w:sz w:val="19"/>
              </w:rPr>
              <w:t>programme</w:t>
            </w:r>
            <w:proofErr w:type="spellEnd"/>
            <w:r w:rsidRPr="003F3753">
              <w:rPr>
                <w:rFonts w:eastAsia="Arial"/>
                <w:color w:val="404040"/>
                <w:sz w:val="19"/>
              </w:rPr>
              <w:t xml:space="preserve"> benchmarks. At current sign-up volumes in Lagos alone, a 15-point improvement would generate hundreds of additional first-time buyers per month who would otherwise never have transacted.</w:t>
            </w:r>
          </w:p>
        </w:tc>
      </w:tr>
      <w:tr w:rsidR="00010DEA" w:rsidRPr="003F3753" w14:paraId="5A230EC4" w14:textId="77777777">
        <w:trPr>
          <w:trHeight w:val="560"/>
        </w:trPr>
        <w:tc>
          <w:tcPr>
            <w:tcW w:w="1440" w:type="dxa"/>
            <w:tcBorders>
              <w:top w:val="single" w:sz="2" w:space="0" w:color="BFBFBF"/>
              <w:left w:val="single" w:sz="4" w:space="0" w:color="1D6A39"/>
              <w:bottom w:val="single" w:sz="4" w:space="0" w:color="1D6A39"/>
              <w:right w:val="single" w:sz="4" w:space="0" w:color="BFBFBF"/>
            </w:tcBorders>
            <w:shd w:val="clear" w:color="auto" w:fill="E2EFDA"/>
            <w:vAlign w:val="center"/>
          </w:tcPr>
          <w:p w14:paraId="0ED62CC5" w14:textId="77777777" w:rsidR="00010DEA" w:rsidRPr="003F3753" w:rsidRDefault="00000000">
            <w:r w:rsidRPr="003F3753">
              <w:rPr>
                <w:rFonts w:eastAsia="Arial"/>
                <w:b/>
                <w:color w:val="404040"/>
                <w:sz w:val="19"/>
              </w:rPr>
              <w:t>BASIS</w:t>
            </w:r>
          </w:p>
        </w:tc>
        <w:tc>
          <w:tcPr>
            <w:tcW w:w="7488" w:type="dxa"/>
            <w:tcBorders>
              <w:top w:val="single" w:sz="2" w:space="0" w:color="BFBFBF"/>
              <w:left w:val="single" w:sz="4" w:space="0" w:color="BFBFBF"/>
              <w:bottom w:val="single" w:sz="4" w:space="0" w:color="1D6A39"/>
              <w:right w:val="single" w:sz="4" w:space="0" w:color="1D6A39"/>
            </w:tcBorders>
            <w:shd w:val="clear" w:color="auto" w:fill="E2EFDA"/>
            <w:vAlign w:val="center"/>
          </w:tcPr>
          <w:p w14:paraId="49804D52" w14:textId="77777777" w:rsidR="00010DEA" w:rsidRPr="003F3753" w:rsidRDefault="00000000">
            <w:r w:rsidRPr="003F3753">
              <w:rPr>
                <w:rFonts w:eastAsia="Arial"/>
                <w:color w:val="404040"/>
                <w:sz w:val="19"/>
              </w:rPr>
              <w:t>Directly traceable to Q1 — sub-50% conversion rates across all top 5 states.</w:t>
            </w:r>
          </w:p>
        </w:tc>
      </w:tr>
      <w:tr w:rsidR="00010DEA" w:rsidRPr="003F3753" w14:paraId="57C55E83" w14:textId="77777777">
        <w:trPr>
          <w:trHeight w:val="480"/>
        </w:trPr>
        <w:tc>
          <w:tcPr>
            <w:tcW w:w="8928" w:type="dxa"/>
            <w:gridSpan w:val="2"/>
            <w:tcBorders>
              <w:top w:val="nil"/>
              <w:left w:val="nil"/>
              <w:bottom w:val="single" w:sz="4" w:space="0" w:color="1D6A39"/>
              <w:right w:val="nil"/>
            </w:tcBorders>
            <w:shd w:val="clear" w:color="auto" w:fill="1D6A39"/>
            <w:vAlign w:val="center"/>
          </w:tcPr>
          <w:p w14:paraId="0DFA5617" w14:textId="77777777" w:rsidR="00010DEA" w:rsidRPr="003F3753" w:rsidRDefault="00000000">
            <w:pPr>
              <w:ind w:left="40"/>
            </w:pPr>
            <w:r w:rsidRPr="003F3753">
              <w:rPr>
                <w:rFonts w:eastAsia="Arial"/>
                <w:b/>
                <w:color w:val="FFFFFF"/>
                <w:sz w:val="18"/>
              </w:rPr>
              <w:t>RECOMMENDATION 2</w:t>
            </w:r>
          </w:p>
        </w:tc>
      </w:tr>
      <w:tr w:rsidR="00010DEA" w:rsidRPr="003F3753" w14:paraId="1D6B585E" w14:textId="77777777">
        <w:trPr>
          <w:trHeight w:val="2520"/>
        </w:trPr>
        <w:tc>
          <w:tcPr>
            <w:tcW w:w="1440" w:type="dxa"/>
            <w:tcBorders>
              <w:top w:val="single" w:sz="4" w:space="0" w:color="1D6A39"/>
              <w:left w:val="single" w:sz="4" w:space="0" w:color="1D6A39"/>
              <w:bottom w:val="single" w:sz="2" w:space="0" w:color="BFBFBF"/>
              <w:right w:val="single" w:sz="4" w:space="0" w:color="BFBFBF"/>
            </w:tcBorders>
            <w:shd w:val="clear" w:color="auto" w:fill="E2EFDA"/>
            <w:vAlign w:val="bottom"/>
          </w:tcPr>
          <w:p w14:paraId="49C79D3C" w14:textId="77777777" w:rsidR="00010DEA" w:rsidRPr="003F3753" w:rsidRDefault="00000000">
            <w:r w:rsidRPr="003F3753">
              <w:rPr>
                <w:rFonts w:eastAsia="Arial"/>
                <w:b/>
                <w:color w:val="404040"/>
                <w:sz w:val="19"/>
              </w:rPr>
              <w:t>ACTION</w:t>
            </w:r>
          </w:p>
        </w:tc>
        <w:tc>
          <w:tcPr>
            <w:tcW w:w="7488" w:type="dxa"/>
            <w:tcBorders>
              <w:top w:val="single" w:sz="4" w:space="0" w:color="1D6A39"/>
              <w:left w:val="single" w:sz="4" w:space="0" w:color="BFBFBF"/>
              <w:bottom w:val="single" w:sz="2" w:space="0" w:color="BFBFBF"/>
              <w:right w:val="single" w:sz="4" w:space="0" w:color="1D6A39"/>
            </w:tcBorders>
            <w:shd w:val="clear" w:color="auto" w:fill="E2EFDA"/>
            <w:vAlign w:val="center"/>
          </w:tcPr>
          <w:p w14:paraId="09E7D1E1" w14:textId="77777777" w:rsidR="00010DEA" w:rsidRPr="003F3753" w:rsidRDefault="00000000">
            <w:pPr>
              <w:jc w:val="both"/>
            </w:pPr>
            <w:r w:rsidRPr="003F3753">
              <w:rPr>
                <w:rFonts w:eastAsia="Arial"/>
                <w:color w:val="404040"/>
                <w:sz w:val="19"/>
              </w:rPr>
              <w:t xml:space="preserve">Implement a formal Top Seller Development </w:t>
            </w:r>
            <w:proofErr w:type="spellStart"/>
            <w:r w:rsidRPr="003F3753">
              <w:rPr>
                <w:rFonts w:eastAsia="Arial"/>
                <w:color w:val="404040"/>
                <w:sz w:val="19"/>
              </w:rPr>
              <w:t>Programme</w:t>
            </w:r>
            <w:proofErr w:type="spellEnd"/>
            <w:r w:rsidRPr="003F3753">
              <w:rPr>
                <w:rFonts w:eastAsia="Arial"/>
                <w:color w:val="404040"/>
                <w:sz w:val="19"/>
              </w:rPr>
              <w:t xml:space="preserve"> for the bonus-qualifying sellers identified in Q8. This </w:t>
            </w:r>
            <w:proofErr w:type="spellStart"/>
            <w:r w:rsidRPr="003F3753">
              <w:rPr>
                <w:rFonts w:eastAsia="Arial"/>
                <w:color w:val="404040"/>
                <w:sz w:val="19"/>
              </w:rPr>
              <w:t>programme</w:t>
            </w:r>
            <w:proofErr w:type="spellEnd"/>
            <w:r w:rsidRPr="003F3753">
              <w:rPr>
                <w:rFonts w:eastAsia="Arial"/>
                <w:color w:val="404040"/>
                <w:sz w:val="19"/>
              </w:rPr>
              <w:t xml:space="preserve"> should include: a dedicated seller success manager assigned to each </w:t>
            </w:r>
            <w:proofErr w:type="gramStart"/>
            <w:r w:rsidRPr="003F3753">
              <w:rPr>
                <w:rFonts w:eastAsia="Arial"/>
                <w:color w:val="404040"/>
                <w:sz w:val="19"/>
              </w:rPr>
              <w:t>top-10</w:t>
            </w:r>
            <w:proofErr w:type="gramEnd"/>
            <w:r w:rsidRPr="003F3753">
              <w:rPr>
                <w:rFonts w:eastAsia="Arial"/>
                <w:color w:val="404040"/>
                <w:sz w:val="19"/>
              </w:rPr>
              <w:t xml:space="preserve"> seller; quarterly business reviews to identify catalogue gaps and help top sellers expand into adjacent product lines; and an early-access promotion slot for top sellers to list new products, reducing platform dependence on a small set of existing high-revenue SKUs. Simultaneously, Seller Operations should begin a structured onboarding improvement for mid-tier sellers to increase the number of sellers capable of reaching bonus qualification thresholds.</w:t>
            </w:r>
          </w:p>
        </w:tc>
      </w:tr>
      <w:tr w:rsidR="00010DEA" w:rsidRPr="003F3753" w14:paraId="161E8D15" w14:textId="77777777">
        <w:trPr>
          <w:trHeight w:val="840"/>
        </w:trPr>
        <w:tc>
          <w:tcPr>
            <w:tcW w:w="1440" w:type="dxa"/>
            <w:tcBorders>
              <w:top w:val="single" w:sz="2" w:space="0" w:color="BFBFBF"/>
              <w:left w:val="single" w:sz="4" w:space="0" w:color="1D6A39"/>
              <w:bottom w:val="single" w:sz="2" w:space="0" w:color="BFBFBF"/>
              <w:right w:val="single" w:sz="4" w:space="0" w:color="BFBFBF"/>
            </w:tcBorders>
            <w:shd w:val="clear" w:color="auto" w:fill="E2EFDA"/>
            <w:vAlign w:val="bottom"/>
          </w:tcPr>
          <w:p w14:paraId="3A29C765" w14:textId="77777777" w:rsidR="00010DEA" w:rsidRPr="003F3753" w:rsidRDefault="00000000">
            <w:r w:rsidRPr="003F3753">
              <w:rPr>
                <w:rFonts w:eastAsia="Arial"/>
                <w:b/>
                <w:color w:val="404040"/>
                <w:sz w:val="19"/>
              </w:rPr>
              <w:t>OWNER</w:t>
            </w:r>
          </w:p>
        </w:tc>
        <w:tc>
          <w:tcPr>
            <w:tcW w:w="7488" w:type="dxa"/>
            <w:tcBorders>
              <w:top w:val="single" w:sz="2" w:space="0" w:color="BFBFBF"/>
              <w:left w:val="single" w:sz="4" w:space="0" w:color="BFBFBF"/>
              <w:bottom w:val="single" w:sz="2" w:space="0" w:color="BFBFBF"/>
              <w:right w:val="single" w:sz="4" w:space="0" w:color="1D6A39"/>
            </w:tcBorders>
            <w:shd w:val="clear" w:color="auto" w:fill="E2EFDA"/>
            <w:vAlign w:val="center"/>
          </w:tcPr>
          <w:p w14:paraId="6FD33ED6" w14:textId="77777777" w:rsidR="00010DEA" w:rsidRPr="003F3753" w:rsidRDefault="00000000">
            <w:r w:rsidRPr="003F3753">
              <w:rPr>
                <w:rFonts w:eastAsia="Arial"/>
                <w:color w:val="404040"/>
                <w:sz w:val="19"/>
              </w:rPr>
              <w:t xml:space="preserve">Seller Operations Team — top seller </w:t>
            </w:r>
            <w:proofErr w:type="spellStart"/>
            <w:r w:rsidRPr="003F3753">
              <w:rPr>
                <w:rFonts w:eastAsia="Arial"/>
                <w:color w:val="404040"/>
                <w:sz w:val="19"/>
              </w:rPr>
              <w:t>programme</w:t>
            </w:r>
            <w:proofErr w:type="spellEnd"/>
            <w:r w:rsidRPr="003F3753">
              <w:rPr>
                <w:rFonts w:eastAsia="Arial"/>
                <w:color w:val="404040"/>
                <w:sz w:val="19"/>
              </w:rPr>
              <w:t>. Growth Team — mid-tier onboarding.</w:t>
            </w:r>
          </w:p>
        </w:tc>
      </w:tr>
      <w:tr w:rsidR="00010DEA" w:rsidRPr="003F3753" w14:paraId="3E44A9B5" w14:textId="77777777">
        <w:trPr>
          <w:trHeight w:val="1680"/>
        </w:trPr>
        <w:tc>
          <w:tcPr>
            <w:tcW w:w="1440" w:type="dxa"/>
            <w:tcBorders>
              <w:top w:val="single" w:sz="2" w:space="0" w:color="BFBFBF"/>
              <w:left w:val="single" w:sz="4" w:space="0" w:color="1D6A39"/>
              <w:bottom w:val="single" w:sz="2" w:space="0" w:color="BFBFBF"/>
              <w:right w:val="single" w:sz="4" w:space="0" w:color="BFBFBF"/>
            </w:tcBorders>
            <w:shd w:val="clear" w:color="auto" w:fill="E2EFDA"/>
            <w:vAlign w:val="bottom"/>
          </w:tcPr>
          <w:p w14:paraId="2D17237D" w14:textId="77777777" w:rsidR="00010DEA" w:rsidRPr="003F3753" w:rsidRDefault="00000000">
            <w:r w:rsidRPr="003F3753">
              <w:rPr>
                <w:rFonts w:eastAsia="Arial"/>
                <w:b/>
                <w:color w:val="404040"/>
                <w:sz w:val="19"/>
              </w:rPr>
              <w:t>OUTCOME</w:t>
            </w:r>
          </w:p>
        </w:tc>
        <w:tc>
          <w:tcPr>
            <w:tcW w:w="7488" w:type="dxa"/>
            <w:tcBorders>
              <w:top w:val="single" w:sz="2" w:space="0" w:color="BFBFBF"/>
              <w:left w:val="single" w:sz="4" w:space="0" w:color="BFBFBF"/>
              <w:bottom w:val="single" w:sz="2" w:space="0" w:color="BFBFBF"/>
              <w:right w:val="single" w:sz="4" w:space="0" w:color="1D6A39"/>
            </w:tcBorders>
            <w:shd w:val="clear" w:color="auto" w:fill="E2EFDA"/>
            <w:vAlign w:val="center"/>
          </w:tcPr>
          <w:p w14:paraId="6BB94979" w14:textId="77777777" w:rsidR="00010DEA" w:rsidRPr="003F3753" w:rsidRDefault="00000000">
            <w:pPr>
              <w:jc w:val="both"/>
            </w:pPr>
            <w:r w:rsidRPr="003F3753">
              <w:rPr>
                <w:rFonts w:eastAsia="Arial"/>
                <w:color w:val="404040"/>
                <w:sz w:val="19"/>
              </w:rPr>
              <w:t>Within 60 to 90 days: at least 3 top sellers should have expanded their active catalogue by a minimum of 10 new SKUs, reducing revenue concentration in the top 10 products. Within 90 days, the number of sellers meeting the Q8 bonus criteria (10+ orders, 4.0+ rating) should increase by at least 20%, providing a broader seller base to absorb demand and reduce platform fragility.</w:t>
            </w:r>
          </w:p>
        </w:tc>
      </w:tr>
      <w:tr w:rsidR="00010DEA" w:rsidRPr="003F3753" w14:paraId="41509830" w14:textId="77777777">
        <w:trPr>
          <w:trHeight w:val="840"/>
        </w:trPr>
        <w:tc>
          <w:tcPr>
            <w:tcW w:w="1440" w:type="dxa"/>
            <w:tcBorders>
              <w:top w:val="single" w:sz="2" w:space="0" w:color="BFBFBF"/>
              <w:left w:val="single" w:sz="4" w:space="0" w:color="1D6A39"/>
              <w:bottom w:val="single" w:sz="4" w:space="0" w:color="1D6A39"/>
              <w:right w:val="single" w:sz="4" w:space="0" w:color="BFBFBF"/>
            </w:tcBorders>
            <w:shd w:val="clear" w:color="auto" w:fill="E2EFDA"/>
            <w:vAlign w:val="bottom"/>
          </w:tcPr>
          <w:p w14:paraId="6B2F5D3E" w14:textId="77777777" w:rsidR="00010DEA" w:rsidRPr="003F3753" w:rsidRDefault="00000000">
            <w:r w:rsidRPr="003F3753">
              <w:rPr>
                <w:rFonts w:eastAsia="Arial"/>
                <w:b/>
                <w:color w:val="404040"/>
                <w:sz w:val="19"/>
              </w:rPr>
              <w:lastRenderedPageBreak/>
              <w:t>BASIS</w:t>
            </w:r>
          </w:p>
        </w:tc>
        <w:tc>
          <w:tcPr>
            <w:tcW w:w="7488" w:type="dxa"/>
            <w:tcBorders>
              <w:top w:val="single" w:sz="2" w:space="0" w:color="BFBFBF"/>
              <w:left w:val="single" w:sz="4" w:space="0" w:color="BFBFBF"/>
              <w:bottom w:val="single" w:sz="4" w:space="0" w:color="1D6A39"/>
              <w:right w:val="single" w:sz="4" w:space="0" w:color="1D6A39"/>
            </w:tcBorders>
            <w:shd w:val="clear" w:color="auto" w:fill="E2EFDA"/>
            <w:vAlign w:val="center"/>
          </w:tcPr>
          <w:p w14:paraId="13190139" w14:textId="77777777" w:rsidR="00010DEA" w:rsidRPr="003F3753" w:rsidRDefault="00000000">
            <w:pPr>
              <w:jc w:val="both"/>
            </w:pPr>
            <w:r w:rsidRPr="003F3753">
              <w:rPr>
                <w:rFonts w:eastAsia="Arial"/>
                <w:color w:val="404040"/>
                <w:sz w:val="19"/>
              </w:rPr>
              <w:t>Traceable to Q2 (product revenue concentration) and Q8 (small number of sellers currently meeting the bonus qualification bar).</w:t>
            </w:r>
          </w:p>
        </w:tc>
      </w:tr>
    </w:tbl>
    <w:p w14:paraId="4BEB30EB" w14:textId="77777777" w:rsidR="00010DEA" w:rsidRPr="003F3753" w:rsidRDefault="00000000">
      <w:pPr>
        <w:spacing w:after="226"/>
        <w:ind w:left="-5" w:hanging="10"/>
      </w:pPr>
      <w:r w:rsidRPr="003F3753">
        <w:rPr>
          <w:rFonts w:eastAsia="Arial"/>
          <w:b/>
          <w:color w:val="2E75B6"/>
          <w:sz w:val="14"/>
        </w:rPr>
        <w:t>SECTION 4</w:t>
      </w:r>
    </w:p>
    <w:p w14:paraId="18C08C27" w14:textId="77777777" w:rsidR="00010DEA" w:rsidRPr="003F3753" w:rsidRDefault="00000000">
      <w:pPr>
        <w:pStyle w:val="Heading1"/>
        <w:ind w:left="-5"/>
        <w:rPr>
          <w:rFonts w:ascii="Calibri" w:hAnsi="Calibri" w:cs="Calibri"/>
        </w:rPr>
      </w:pPr>
      <w:r w:rsidRPr="003F3753">
        <w:rPr>
          <w:rFonts w:ascii="Calibri" w:hAnsi="Calibri" w:cs="Calibri"/>
        </w:rPr>
        <w:t>Data Quality Notes</w:t>
      </w:r>
    </w:p>
    <w:p w14:paraId="2DCD7369" w14:textId="77777777" w:rsidR="00010DEA" w:rsidRPr="003F3753" w:rsidRDefault="00000000">
      <w:pPr>
        <w:spacing w:after="0"/>
        <w:ind w:right="-113"/>
      </w:pPr>
      <w:r w:rsidRPr="003F3753">
        <w:rPr>
          <w:noProof/>
        </w:rPr>
        <mc:AlternateContent>
          <mc:Choice Requires="wpg">
            <w:drawing>
              <wp:inline distT="0" distB="0" distL="0" distR="0" wp14:anchorId="0887027E" wp14:editId="3E7744E9">
                <wp:extent cx="5791200" cy="19050"/>
                <wp:effectExtent l="0" t="0" r="0" b="0"/>
                <wp:docPr id="4544" name="Group 4544"/>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182" name="Shape 182"/>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4" style="width:456pt;height:1.5pt;mso-position-horizontal-relative:char;mso-position-vertical-relative:line" coordsize="57912,190">
                <v:shape id="Shape 182" style="position:absolute;width:57912;height:0;left:0;top:0;" coordsize="5791200,0" path="m0,0l5791200,0">
                  <v:stroke weight="1.5pt" endcap="round" joinstyle="miter" miterlimit="10" on="true" color="#2e75b6"/>
                  <v:fill on="false" color="#000000" opacity="0"/>
                </v:shape>
              </v:group>
            </w:pict>
          </mc:Fallback>
        </mc:AlternateContent>
      </w:r>
    </w:p>
    <w:tbl>
      <w:tblPr>
        <w:tblStyle w:val="TableGrid"/>
        <w:tblW w:w="8928" w:type="dxa"/>
        <w:tblInd w:w="96" w:type="dxa"/>
        <w:tblCellMar>
          <w:left w:w="200" w:type="dxa"/>
          <w:bottom w:w="143" w:type="dxa"/>
          <w:right w:w="200" w:type="dxa"/>
        </w:tblCellMar>
        <w:tblLook w:val="04A0" w:firstRow="1" w:lastRow="0" w:firstColumn="1" w:lastColumn="0" w:noHBand="0" w:noVBand="1"/>
      </w:tblPr>
      <w:tblGrid>
        <w:gridCol w:w="1440"/>
        <w:gridCol w:w="7488"/>
      </w:tblGrid>
      <w:tr w:rsidR="00010DEA" w:rsidRPr="003F3753" w14:paraId="1FE9AF43" w14:textId="77777777">
        <w:trPr>
          <w:trHeight w:val="480"/>
        </w:trPr>
        <w:tc>
          <w:tcPr>
            <w:tcW w:w="8928" w:type="dxa"/>
            <w:gridSpan w:val="2"/>
            <w:tcBorders>
              <w:top w:val="nil"/>
              <w:left w:val="nil"/>
              <w:bottom w:val="single" w:sz="4" w:space="0" w:color="C55A11"/>
              <w:right w:val="nil"/>
            </w:tcBorders>
            <w:shd w:val="clear" w:color="auto" w:fill="C55A11"/>
            <w:vAlign w:val="center"/>
          </w:tcPr>
          <w:p w14:paraId="3DD1424F" w14:textId="77777777" w:rsidR="00010DEA" w:rsidRPr="003F3753" w:rsidRDefault="00000000">
            <w:pPr>
              <w:ind w:left="40"/>
            </w:pPr>
            <w:r w:rsidRPr="003F3753">
              <w:rPr>
                <w:rFonts w:eastAsia="Arial"/>
                <w:b/>
                <w:color w:val="FFFFFF"/>
                <w:sz w:val="18"/>
              </w:rPr>
              <w:t>DATA QUALITY ISSUE 1</w:t>
            </w:r>
          </w:p>
        </w:tc>
      </w:tr>
      <w:tr w:rsidR="00010DEA" w:rsidRPr="003F3753" w14:paraId="5A7F1D12" w14:textId="77777777">
        <w:trPr>
          <w:trHeight w:val="1680"/>
        </w:trPr>
        <w:tc>
          <w:tcPr>
            <w:tcW w:w="1440" w:type="dxa"/>
            <w:tcBorders>
              <w:top w:val="single" w:sz="4" w:space="0" w:color="C55A11"/>
              <w:left w:val="single" w:sz="4" w:space="0" w:color="C55A11"/>
              <w:bottom w:val="single" w:sz="2" w:space="0" w:color="BFBFBF"/>
              <w:right w:val="single" w:sz="4" w:space="0" w:color="BFBFBF"/>
            </w:tcBorders>
            <w:shd w:val="clear" w:color="auto" w:fill="FCE4D6"/>
            <w:vAlign w:val="bottom"/>
          </w:tcPr>
          <w:p w14:paraId="62F559A8" w14:textId="77777777" w:rsidR="00010DEA" w:rsidRPr="003F3753" w:rsidRDefault="00000000">
            <w:r w:rsidRPr="003F3753">
              <w:rPr>
                <w:rFonts w:eastAsia="Arial"/>
                <w:b/>
                <w:color w:val="404040"/>
                <w:sz w:val="19"/>
              </w:rPr>
              <w:t>ISSUE</w:t>
            </w:r>
          </w:p>
        </w:tc>
        <w:tc>
          <w:tcPr>
            <w:tcW w:w="7488" w:type="dxa"/>
            <w:tcBorders>
              <w:top w:val="single" w:sz="4" w:space="0" w:color="C55A11"/>
              <w:left w:val="single" w:sz="4" w:space="0" w:color="BFBFBF"/>
              <w:bottom w:val="single" w:sz="2" w:space="0" w:color="BFBFBF"/>
              <w:right w:val="single" w:sz="4" w:space="0" w:color="C55A11"/>
            </w:tcBorders>
            <w:shd w:val="clear" w:color="auto" w:fill="FCE4D6"/>
            <w:vAlign w:val="center"/>
          </w:tcPr>
          <w:p w14:paraId="797D6456" w14:textId="77777777" w:rsidR="00010DEA" w:rsidRPr="003F3753" w:rsidRDefault="00000000">
            <w:pPr>
              <w:jc w:val="both"/>
            </w:pPr>
            <w:r w:rsidRPr="003F3753">
              <w:rPr>
                <w:rFonts w:eastAsia="Arial"/>
                <w:color w:val="404040"/>
                <w:sz w:val="19"/>
              </w:rPr>
              <w:t xml:space="preserve">Inconsistent city name formatting across the customers and </w:t>
            </w:r>
            <w:proofErr w:type="gramStart"/>
            <w:r w:rsidRPr="003F3753">
              <w:rPr>
                <w:rFonts w:eastAsia="Arial"/>
                <w:color w:val="404040"/>
                <w:sz w:val="19"/>
              </w:rPr>
              <w:t>sellers</w:t>
            </w:r>
            <w:proofErr w:type="gramEnd"/>
            <w:r w:rsidRPr="003F3753">
              <w:rPr>
                <w:rFonts w:eastAsia="Arial"/>
                <w:color w:val="404040"/>
                <w:sz w:val="19"/>
              </w:rPr>
              <w:t xml:space="preserve"> tables. The same city appeared in multiple formats — for example: 'LAGOS', '</w:t>
            </w:r>
            <w:proofErr w:type="spellStart"/>
            <w:r w:rsidRPr="003F3753">
              <w:rPr>
                <w:rFonts w:eastAsia="Arial"/>
                <w:color w:val="404040"/>
                <w:sz w:val="19"/>
              </w:rPr>
              <w:t>lagos</w:t>
            </w:r>
            <w:proofErr w:type="spellEnd"/>
            <w:r w:rsidRPr="003F3753">
              <w:rPr>
                <w:rFonts w:eastAsia="Arial"/>
                <w:color w:val="404040"/>
                <w:sz w:val="19"/>
              </w:rPr>
              <w:t>', 'Lagos ', 'Port-Harcourt', '</w:t>
            </w:r>
            <w:proofErr w:type="spellStart"/>
            <w:r w:rsidRPr="003F3753">
              <w:rPr>
                <w:rFonts w:eastAsia="Arial"/>
                <w:color w:val="404040"/>
                <w:sz w:val="19"/>
              </w:rPr>
              <w:t>PortHarcourt</w:t>
            </w:r>
            <w:proofErr w:type="spellEnd"/>
            <w:r w:rsidRPr="003F3753">
              <w:rPr>
                <w:rFonts w:eastAsia="Arial"/>
                <w:color w:val="404040"/>
                <w:sz w:val="19"/>
              </w:rPr>
              <w:t>', and 'Port Harcourt' all referred to the same location. Left uncleaned, these variations would cause GROUP BY queries to treat each spelling as a separate city, splitting counts and revenue across phantom duplicates.</w:t>
            </w:r>
          </w:p>
        </w:tc>
      </w:tr>
      <w:tr w:rsidR="00010DEA" w:rsidRPr="003F3753" w14:paraId="6E488357" w14:textId="77777777">
        <w:trPr>
          <w:trHeight w:val="1120"/>
        </w:trPr>
        <w:tc>
          <w:tcPr>
            <w:tcW w:w="1440" w:type="dxa"/>
            <w:tcBorders>
              <w:top w:val="single" w:sz="2" w:space="0" w:color="BFBFBF"/>
              <w:left w:val="single" w:sz="4" w:space="0" w:color="C55A11"/>
              <w:bottom w:val="single" w:sz="2" w:space="0" w:color="BFBFBF"/>
              <w:right w:val="single" w:sz="4" w:space="0" w:color="BFBFBF"/>
            </w:tcBorders>
            <w:shd w:val="clear" w:color="auto" w:fill="FCE4D6"/>
            <w:vAlign w:val="bottom"/>
          </w:tcPr>
          <w:p w14:paraId="598B0FAF" w14:textId="77777777" w:rsidR="00010DEA" w:rsidRPr="003F3753" w:rsidRDefault="00000000">
            <w:r w:rsidRPr="003F3753">
              <w:rPr>
                <w:rFonts w:eastAsia="Arial"/>
                <w:b/>
                <w:color w:val="404040"/>
                <w:sz w:val="19"/>
              </w:rPr>
              <w:t>DECISION</w:t>
            </w:r>
          </w:p>
        </w:tc>
        <w:tc>
          <w:tcPr>
            <w:tcW w:w="7488" w:type="dxa"/>
            <w:tcBorders>
              <w:top w:val="single" w:sz="2" w:space="0" w:color="BFBFBF"/>
              <w:left w:val="single" w:sz="4" w:space="0" w:color="BFBFBF"/>
              <w:bottom w:val="single" w:sz="2" w:space="0" w:color="BFBFBF"/>
              <w:right w:val="single" w:sz="4" w:space="0" w:color="C55A11"/>
            </w:tcBorders>
            <w:shd w:val="clear" w:color="auto" w:fill="FCE4D6"/>
            <w:vAlign w:val="center"/>
          </w:tcPr>
          <w:p w14:paraId="46E585BD" w14:textId="77777777" w:rsidR="00010DEA" w:rsidRPr="003F3753" w:rsidRDefault="00000000">
            <w:pPr>
              <w:jc w:val="both"/>
            </w:pPr>
            <w:r w:rsidRPr="003F3753">
              <w:rPr>
                <w:rFonts w:eastAsia="Arial"/>
                <w:color w:val="404040"/>
                <w:sz w:val="19"/>
              </w:rPr>
              <w:t xml:space="preserve">Applied </w:t>
            </w:r>
            <w:proofErr w:type="gramStart"/>
            <w:r w:rsidRPr="003F3753">
              <w:rPr>
                <w:rFonts w:eastAsia="Arial"/>
                <w:color w:val="404040"/>
                <w:sz w:val="19"/>
              </w:rPr>
              <w:t>TRIM(</w:t>
            </w:r>
            <w:proofErr w:type="gramEnd"/>
            <w:r w:rsidRPr="003F3753">
              <w:rPr>
                <w:rFonts w:eastAsia="Arial"/>
                <w:color w:val="404040"/>
                <w:sz w:val="19"/>
              </w:rPr>
              <w:t>) to remove leading and trailing whitespace, INITCAP(</w:t>
            </w:r>
            <w:proofErr w:type="gramStart"/>
            <w:r w:rsidRPr="003F3753">
              <w:rPr>
                <w:rFonts w:eastAsia="Arial"/>
                <w:color w:val="404040"/>
                <w:sz w:val="19"/>
              </w:rPr>
              <w:t>LOWER(</w:t>
            </w:r>
            <w:proofErr w:type="gramEnd"/>
            <w:r w:rsidRPr="003F3753">
              <w:rPr>
                <w:rFonts w:eastAsia="Arial"/>
                <w:color w:val="404040"/>
                <w:sz w:val="19"/>
              </w:rPr>
              <w:t xml:space="preserve">)) to </w:t>
            </w:r>
            <w:proofErr w:type="spellStart"/>
            <w:r w:rsidRPr="003F3753">
              <w:rPr>
                <w:rFonts w:eastAsia="Arial"/>
                <w:color w:val="404040"/>
                <w:sz w:val="19"/>
              </w:rPr>
              <w:t>normalise</w:t>
            </w:r>
            <w:proofErr w:type="spellEnd"/>
            <w:r w:rsidRPr="003F3753">
              <w:rPr>
                <w:rFonts w:eastAsia="Arial"/>
                <w:color w:val="404040"/>
                <w:sz w:val="19"/>
              </w:rPr>
              <w:t xml:space="preserve"> casing, and manual UPDATE statements to consolidate Port Harcourt variants. All cities now appear in consistent Title Case.</w:t>
            </w:r>
          </w:p>
        </w:tc>
      </w:tr>
      <w:tr w:rsidR="00010DEA" w:rsidRPr="003F3753" w14:paraId="4905C2DA" w14:textId="77777777">
        <w:trPr>
          <w:trHeight w:val="1960"/>
        </w:trPr>
        <w:tc>
          <w:tcPr>
            <w:tcW w:w="1440" w:type="dxa"/>
            <w:tcBorders>
              <w:top w:val="single" w:sz="2" w:space="0" w:color="BFBFBF"/>
              <w:left w:val="single" w:sz="4" w:space="0" w:color="C55A11"/>
              <w:bottom w:val="single" w:sz="2" w:space="0" w:color="BFBFBF"/>
              <w:right w:val="single" w:sz="4" w:space="0" w:color="BFBFBF"/>
            </w:tcBorders>
            <w:shd w:val="clear" w:color="auto" w:fill="FCE4D6"/>
            <w:vAlign w:val="bottom"/>
          </w:tcPr>
          <w:p w14:paraId="6EE39F15" w14:textId="77777777" w:rsidR="00010DEA" w:rsidRPr="003F3753" w:rsidRDefault="00000000">
            <w:r w:rsidRPr="003F3753">
              <w:rPr>
                <w:rFonts w:eastAsia="Arial"/>
                <w:b/>
                <w:color w:val="404040"/>
                <w:sz w:val="19"/>
              </w:rPr>
              <w:t>RISK</w:t>
            </w:r>
          </w:p>
        </w:tc>
        <w:tc>
          <w:tcPr>
            <w:tcW w:w="7488" w:type="dxa"/>
            <w:tcBorders>
              <w:top w:val="single" w:sz="2" w:space="0" w:color="BFBFBF"/>
              <w:left w:val="single" w:sz="4" w:space="0" w:color="BFBFBF"/>
              <w:bottom w:val="single" w:sz="2" w:space="0" w:color="BFBFBF"/>
              <w:right w:val="single" w:sz="4" w:space="0" w:color="C55A11"/>
            </w:tcBorders>
            <w:shd w:val="clear" w:color="auto" w:fill="FCE4D6"/>
            <w:vAlign w:val="center"/>
          </w:tcPr>
          <w:p w14:paraId="2D5AD9D9" w14:textId="77777777" w:rsidR="00010DEA" w:rsidRPr="003F3753" w:rsidRDefault="00000000">
            <w:pPr>
              <w:spacing w:line="308" w:lineRule="auto"/>
              <w:jc w:val="both"/>
            </w:pPr>
            <w:r w:rsidRPr="003F3753">
              <w:rPr>
                <w:rFonts w:eastAsia="Arial"/>
                <w:color w:val="404040"/>
                <w:sz w:val="19"/>
              </w:rPr>
              <w:t>If any city name correction was wrong — for example, if '</w:t>
            </w:r>
            <w:proofErr w:type="spellStart"/>
            <w:r w:rsidRPr="003F3753">
              <w:rPr>
                <w:rFonts w:eastAsia="Arial"/>
                <w:color w:val="404040"/>
                <w:sz w:val="19"/>
              </w:rPr>
              <w:t>PortHarcourt</w:t>
            </w:r>
            <w:proofErr w:type="spellEnd"/>
            <w:r w:rsidRPr="003F3753">
              <w:rPr>
                <w:rFonts w:eastAsia="Arial"/>
                <w:color w:val="404040"/>
                <w:sz w:val="19"/>
              </w:rPr>
              <w:t>' was genuinely a different city rather than a typo — then customers in that location would have been silently merged into Port Harcourt's numbers. This would overstate Port Harcourt's sign-up and revenue figures and understate any distinct market.</w:t>
            </w:r>
          </w:p>
          <w:p w14:paraId="11641EFE" w14:textId="77777777" w:rsidR="00010DEA" w:rsidRPr="003F3753" w:rsidRDefault="00000000">
            <w:pPr>
              <w:jc w:val="both"/>
            </w:pPr>
            <w:r w:rsidRPr="003F3753">
              <w:rPr>
                <w:rFonts w:eastAsia="Arial"/>
                <w:color w:val="404040"/>
                <w:sz w:val="19"/>
              </w:rPr>
              <w:t>However, given that the dataset is described as covering Lagos, Abuja, Kano, Port Harcourt, and Ibadan only, this risk is considered low.</w:t>
            </w:r>
          </w:p>
        </w:tc>
      </w:tr>
      <w:tr w:rsidR="00010DEA" w:rsidRPr="003F3753" w14:paraId="0DFE2600" w14:textId="77777777">
        <w:trPr>
          <w:trHeight w:val="480"/>
        </w:trPr>
        <w:tc>
          <w:tcPr>
            <w:tcW w:w="8928" w:type="dxa"/>
            <w:gridSpan w:val="2"/>
            <w:tcBorders>
              <w:top w:val="nil"/>
              <w:left w:val="nil"/>
              <w:bottom w:val="single" w:sz="4" w:space="0" w:color="C55A11"/>
              <w:right w:val="nil"/>
            </w:tcBorders>
            <w:shd w:val="clear" w:color="auto" w:fill="C55A11"/>
            <w:vAlign w:val="center"/>
          </w:tcPr>
          <w:p w14:paraId="7D10F118" w14:textId="77777777" w:rsidR="00010DEA" w:rsidRPr="003F3753" w:rsidRDefault="00000000">
            <w:pPr>
              <w:ind w:left="40"/>
            </w:pPr>
            <w:r w:rsidRPr="003F3753">
              <w:rPr>
                <w:rFonts w:eastAsia="Arial"/>
                <w:b/>
                <w:color w:val="FFFFFF"/>
                <w:sz w:val="18"/>
              </w:rPr>
              <w:t>DATA QUALITY ISSUE 2</w:t>
            </w:r>
          </w:p>
        </w:tc>
      </w:tr>
      <w:tr w:rsidR="00010DEA" w:rsidRPr="003F3753" w14:paraId="7E94A969" w14:textId="77777777">
        <w:trPr>
          <w:trHeight w:val="1400"/>
        </w:trPr>
        <w:tc>
          <w:tcPr>
            <w:tcW w:w="1440" w:type="dxa"/>
            <w:tcBorders>
              <w:top w:val="single" w:sz="4" w:space="0" w:color="C55A11"/>
              <w:left w:val="single" w:sz="4" w:space="0" w:color="C55A11"/>
              <w:bottom w:val="single" w:sz="2" w:space="0" w:color="BFBFBF"/>
              <w:right w:val="single" w:sz="4" w:space="0" w:color="BFBFBF"/>
            </w:tcBorders>
            <w:shd w:val="clear" w:color="auto" w:fill="FCE4D6"/>
            <w:vAlign w:val="bottom"/>
          </w:tcPr>
          <w:p w14:paraId="6A048046" w14:textId="77777777" w:rsidR="00010DEA" w:rsidRPr="003F3753" w:rsidRDefault="00000000">
            <w:r w:rsidRPr="003F3753">
              <w:rPr>
                <w:rFonts w:eastAsia="Arial"/>
                <w:b/>
                <w:color w:val="404040"/>
                <w:sz w:val="19"/>
              </w:rPr>
              <w:t>ISSUE</w:t>
            </w:r>
          </w:p>
        </w:tc>
        <w:tc>
          <w:tcPr>
            <w:tcW w:w="7488" w:type="dxa"/>
            <w:tcBorders>
              <w:top w:val="single" w:sz="4" w:space="0" w:color="C55A11"/>
              <w:left w:val="single" w:sz="4" w:space="0" w:color="BFBFBF"/>
              <w:bottom w:val="single" w:sz="2" w:space="0" w:color="BFBFBF"/>
              <w:right w:val="single" w:sz="4" w:space="0" w:color="C55A11"/>
            </w:tcBorders>
            <w:shd w:val="clear" w:color="auto" w:fill="FCE4D6"/>
            <w:vAlign w:val="center"/>
          </w:tcPr>
          <w:p w14:paraId="49B9F910" w14:textId="77777777" w:rsidR="00010DEA" w:rsidRPr="003F3753" w:rsidRDefault="00000000">
            <w:pPr>
              <w:jc w:val="both"/>
            </w:pPr>
            <w:r w:rsidRPr="003F3753">
              <w:rPr>
                <w:rFonts w:eastAsia="Arial"/>
                <w:color w:val="404040"/>
                <w:sz w:val="19"/>
              </w:rPr>
              <w:t>Invalid review ratings found in the reviews table. One or more reviews contained a rating value of 0, which falls outside the valid 1-to-5 scale defined for the platform. A rating of 0 is not a valid expression of customer sentiment — it most likely represents a system default, a failed submission, or a data entry error.</w:t>
            </w:r>
          </w:p>
        </w:tc>
      </w:tr>
      <w:tr w:rsidR="00010DEA" w:rsidRPr="003F3753" w14:paraId="47253C72" w14:textId="77777777">
        <w:trPr>
          <w:trHeight w:val="1680"/>
        </w:trPr>
        <w:tc>
          <w:tcPr>
            <w:tcW w:w="1440" w:type="dxa"/>
            <w:tcBorders>
              <w:top w:val="single" w:sz="2" w:space="0" w:color="BFBFBF"/>
              <w:left w:val="single" w:sz="4" w:space="0" w:color="C55A11"/>
              <w:bottom w:val="single" w:sz="2" w:space="0" w:color="BFBFBF"/>
              <w:right w:val="single" w:sz="4" w:space="0" w:color="BFBFBF"/>
            </w:tcBorders>
            <w:shd w:val="clear" w:color="auto" w:fill="FCE4D6"/>
            <w:vAlign w:val="bottom"/>
          </w:tcPr>
          <w:p w14:paraId="28340FBE" w14:textId="77777777" w:rsidR="00010DEA" w:rsidRPr="003F3753" w:rsidRDefault="00000000">
            <w:r w:rsidRPr="003F3753">
              <w:rPr>
                <w:rFonts w:eastAsia="Arial"/>
                <w:b/>
                <w:color w:val="404040"/>
                <w:sz w:val="19"/>
              </w:rPr>
              <w:t>DECISION</w:t>
            </w:r>
          </w:p>
        </w:tc>
        <w:tc>
          <w:tcPr>
            <w:tcW w:w="7488" w:type="dxa"/>
            <w:tcBorders>
              <w:top w:val="single" w:sz="2" w:space="0" w:color="BFBFBF"/>
              <w:left w:val="single" w:sz="4" w:space="0" w:color="BFBFBF"/>
              <w:bottom w:val="single" w:sz="2" w:space="0" w:color="BFBFBF"/>
              <w:right w:val="single" w:sz="4" w:space="0" w:color="C55A11"/>
            </w:tcBorders>
            <w:shd w:val="clear" w:color="auto" w:fill="FCE4D6"/>
            <w:vAlign w:val="center"/>
          </w:tcPr>
          <w:p w14:paraId="704CA365" w14:textId="77777777" w:rsidR="00010DEA" w:rsidRPr="003F3753" w:rsidRDefault="00000000">
            <w:pPr>
              <w:jc w:val="both"/>
            </w:pPr>
            <w:r w:rsidRPr="003F3753">
              <w:rPr>
                <w:rFonts w:eastAsia="Arial"/>
                <w:color w:val="404040"/>
                <w:sz w:val="19"/>
              </w:rPr>
              <w:t xml:space="preserve">Ratings of 0 were set to NULL rather than deleted. Deletion would have removed the review row entirely, losing the order linkage that connects a review to a seller and product — data needed for Q3 and Q7. Setting to NULL preserves the row while excluding the invalid value from </w:t>
            </w:r>
            <w:proofErr w:type="gramStart"/>
            <w:r w:rsidRPr="003F3753">
              <w:rPr>
                <w:rFonts w:eastAsia="Arial"/>
                <w:color w:val="404040"/>
                <w:sz w:val="19"/>
              </w:rPr>
              <w:t>AVG(</w:t>
            </w:r>
            <w:proofErr w:type="gramEnd"/>
            <w:r w:rsidRPr="003F3753">
              <w:rPr>
                <w:rFonts w:eastAsia="Arial"/>
                <w:color w:val="404040"/>
                <w:sz w:val="19"/>
              </w:rPr>
              <w:t xml:space="preserve">) calculations, since PostgreSQL's </w:t>
            </w:r>
            <w:proofErr w:type="gramStart"/>
            <w:r w:rsidRPr="003F3753">
              <w:rPr>
                <w:rFonts w:eastAsia="Arial"/>
                <w:color w:val="404040"/>
                <w:sz w:val="19"/>
              </w:rPr>
              <w:t>AVG(</w:t>
            </w:r>
            <w:proofErr w:type="gramEnd"/>
            <w:r w:rsidRPr="003F3753">
              <w:rPr>
                <w:rFonts w:eastAsia="Arial"/>
                <w:color w:val="404040"/>
                <w:sz w:val="19"/>
              </w:rPr>
              <w:t>) function automatically ignores NULL values.</w:t>
            </w:r>
          </w:p>
        </w:tc>
      </w:tr>
      <w:tr w:rsidR="00010DEA" w:rsidRPr="003F3753" w14:paraId="08479952" w14:textId="77777777">
        <w:trPr>
          <w:trHeight w:val="2240"/>
        </w:trPr>
        <w:tc>
          <w:tcPr>
            <w:tcW w:w="1440" w:type="dxa"/>
            <w:tcBorders>
              <w:top w:val="single" w:sz="2" w:space="0" w:color="BFBFBF"/>
              <w:left w:val="single" w:sz="4" w:space="0" w:color="C55A11"/>
              <w:bottom w:val="single" w:sz="2" w:space="0" w:color="BFBFBF"/>
              <w:right w:val="single" w:sz="4" w:space="0" w:color="BFBFBF"/>
            </w:tcBorders>
            <w:shd w:val="clear" w:color="auto" w:fill="FCE4D6"/>
            <w:vAlign w:val="bottom"/>
          </w:tcPr>
          <w:p w14:paraId="7A8CCAD6" w14:textId="77777777" w:rsidR="00010DEA" w:rsidRPr="003F3753" w:rsidRDefault="00000000">
            <w:r w:rsidRPr="003F3753">
              <w:rPr>
                <w:rFonts w:eastAsia="Arial"/>
                <w:b/>
                <w:color w:val="404040"/>
                <w:sz w:val="19"/>
              </w:rPr>
              <w:lastRenderedPageBreak/>
              <w:t>RISK</w:t>
            </w:r>
          </w:p>
        </w:tc>
        <w:tc>
          <w:tcPr>
            <w:tcW w:w="7488" w:type="dxa"/>
            <w:tcBorders>
              <w:top w:val="single" w:sz="2" w:space="0" w:color="BFBFBF"/>
              <w:left w:val="single" w:sz="4" w:space="0" w:color="BFBFBF"/>
              <w:bottom w:val="single" w:sz="2" w:space="0" w:color="BFBFBF"/>
              <w:right w:val="single" w:sz="4" w:space="0" w:color="C55A11"/>
            </w:tcBorders>
            <w:shd w:val="clear" w:color="auto" w:fill="FCE4D6"/>
            <w:vAlign w:val="center"/>
          </w:tcPr>
          <w:p w14:paraId="064E6364" w14:textId="77777777" w:rsidR="00010DEA" w:rsidRPr="003F3753" w:rsidRDefault="00000000">
            <w:pPr>
              <w:jc w:val="both"/>
            </w:pPr>
            <w:r w:rsidRPr="003F3753">
              <w:rPr>
                <w:rFonts w:eastAsia="Arial"/>
                <w:color w:val="404040"/>
                <w:sz w:val="19"/>
              </w:rPr>
              <w:t xml:space="preserve">If a rating of 0 was a genuine expression of extreme dissatisfaction — equivalent to a 1-star review — then nulling it out slightly inflates average ratings for affected products and sellers. This would make some seller and product ratings appear marginally better than they </w:t>
            </w:r>
            <w:proofErr w:type="gramStart"/>
            <w:r w:rsidRPr="003F3753">
              <w:rPr>
                <w:rFonts w:eastAsia="Arial"/>
                <w:color w:val="404040"/>
                <w:sz w:val="19"/>
              </w:rPr>
              <w:t>actually are</w:t>
            </w:r>
            <w:proofErr w:type="gramEnd"/>
            <w:r w:rsidRPr="003F3753">
              <w:rPr>
                <w:rFonts w:eastAsia="Arial"/>
                <w:color w:val="404040"/>
                <w:sz w:val="19"/>
              </w:rPr>
              <w:t xml:space="preserve">, potentially affecting which sellers qualify for the Q8 bonus threshold. The magnitude of this effect depends on how many 0-rated reviews </w:t>
            </w:r>
            <w:proofErr w:type="gramStart"/>
            <w:r w:rsidRPr="003F3753">
              <w:rPr>
                <w:rFonts w:eastAsia="Arial"/>
                <w:color w:val="404040"/>
                <w:sz w:val="19"/>
              </w:rPr>
              <w:t>existed</w:t>
            </w:r>
            <w:proofErr w:type="gramEnd"/>
            <w:r w:rsidRPr="003F3753">
              <w:rPr>
                <w:rFonts w:eastAsia="Arial"/>
                <w:color w:val="404040"/>
                <w:sz w:val="19"/>
              </w:rPr>
              <w:t>; if the count is small relative to total reviews, the distortion is negligible.</w:t>
            </w:r>
          </w:p>
        </w:tc>
      </w:tr>
    </w:tbl>
    <w:p w14:paraId="3DD195C9" w14:textId="77777777" w:rsidR="00010DEA" w:rsidRPr="003F3753" w:rsidRDefault="00000000">
      <w:pPr>
        <w:spacing w:after="226"/>
        <w:ind w:left="-5" w:hanging="10"/>
      </w:pPr>
      <w:r w:rsidRPr="003F3753">
        <w:rPr>
          <w:noProof/>
        </w:rPr>
        <mc:AlternateContent>
          <mc:Choice Requires="wpg">
            <w:drawing>
              <wp:anchor distT="0" distB="0" distL="114300" distR="114300" simplePos="0" relativeHeight="251658240" behindDoc="0" locked="0" layoutInCell="1" allowOverlap="1" wp14:anchorId="009B6DC6" wp14:editId="65CEF136">
                <wp:simplePos x="0" y="0"/>
                <wp:positionH relativeFrom="page">
                  <wp:posOffset>990600</wp:posOffset>
                </wp:positionH>
                <wp:positionV relativeFrom="page">
                  <wp:posOffset>8870950</wp:posOffset>
                </wp:positionV>
                <wp:extent cx="5791200" cy="19050"/>
                <wp:effectExtent l="0" t="0" r="0" b="0"/>
                <wp:wrapTopAndBottom/>
                <wp:docPr id="4791" name="Group 4791"/>
                <wp:cNvGraphicFramePr/>
                <a:graphic xmlns:a="http://schemas.openxmlformats.org/drawingml/2006/main">
                  <a:graphicData uri="http://schemas.microsoft.com/office/word/2010/wordprocessingGroup">
                    <wpg:wgp>
                      <wpg:cNvGrpSpPr/>
                      <wpg:grpSpPr>
                        <a:xfrm>
                          <a:off x="0" y="0"/>
                          <a:ext cx="5791200" cy="19050"/>
                          <a:chOff x="0" y="0"/>
                          <a:chExt cx="5791200" cy="19050"/>
                        </a:xfrm>
                      </wpg:grpSpPr>
                      <wps:wsp>
                        <wps:cNvPr id="252" name="Shape 252"/>
                        <wps:cNvSpPr/>
                        <wps:spPr>
                          <a:xfrm>
                            <a:off x="0" y="0"/>
                            <a:ext cx="5791200" cy="0"/>
                          </a:xfrm>
                          <a:custGeom>
                            <a:avLst/>
                            <a:gdLst/>
                            <a:ahLst/>
                            <a:cxnLst/>
                            <a:rect l="0" t="0" r="0" b="0"/>
                            <a:pathLst>
                              <a:path w="5791200">
                                <a:moveTo>
                                  <a:pt x="0" y="0"/>
                                </a:moveTo>
                                <a:lnTo>
                                  <a:pt x="5791200" y="0"/>
                                </a:lnTo>
                              </a:path>
                            </a:pathLst>
                          </a:custGeom>
                          <a:ln w="19050" cap="rnd">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91" style="width:456pt;height:1.5pt;position:absolute;mso-position-horizontal-relative:page;mso-position-horizontal:absolute;margin-left:78pt;mso-position-vertical-relative:page;margin-top:698.5pt;" coordsize="57912,190">
                <v:shape id="Shape 252" style="position:absolute;width:57912;height:0;left:0;top:0;" coordsize="5791200,0" path="m0,0l5791200,0">
                  <v:stroke weight="1.5pt" endcap="round" joinstyle="miter" miterlimit="10" on="true" color="#2e75b6"/>
                  <v:fill on="false" color="#000000" opacity="0"/>
                </v:shape>
                <w10:wrap type="topAndBottom"/>
              </v:group>
            </w:pict>
          </mc:Fallback>
        </mc:AlternateContent>
      </w:r>
      <w:r w:rsidRPr="003F3753">
        <w:rPr>
          <w:rFonts w:eastAsia="Arial"/>
          <w:b/>
          <w:color w:val="2E75B6"/>
          <w:sz w:val="14"/>
        </w:rPr>
        <w:t>SECTION 5</w:t>
      </w:r>
    </w:p>
    <w:p w14:paraId="2C6C264C" w14:textId="77777777" w:rsidR="00010DEA" w:rsidRPr="003F3753" w:rsidRDefault="00000000">
      <w:pPr>
        <w:pStyle w:val="Heading1"/>
        <w:ind w:left="-5"/>
        <w:rPr>
          <w:rFonts w:ascii="Calibri" w:hAnsi="Calibri" w:cs="Calibri"/>
        </w:rPr>
      </w:pPr>
      <w:r w:rsidRPr="003F3753">
        <w:rPr>
          <w:rFonts w:ascii="Calibri" w:hAnsi="Calibri" w:cs="Calibri"/>
        </w:rPr>
        <w:t>What the Data Cannot Tell Us</w:t>
      </w:r>
    </w:p>
    <w:p w14:paraId="4C060920" w14:textId="77777777" w:rsidR="00010DEA" w:rsidRPr="003F3753" w:rsidRDefault="00000000">
      <w:pPr>
        <w:pBdr>
          <w:top w:val="single" w:sz="4" w:space="0" w:color="2E75B6"/>
          <w:left w:val="single" w:sz="4" w:space="0" w:color="2E75B6"/>
          <w:bottom w:val="single" w:sz="4" w:space="0" w:color="2E75B6"/>
          <w:right w:val="single" w:sz="24" w:space="0" w:color="2E75B6"/>
        </w:pBdr>
        <w:shd w:val="clear" w:color="auto" w:fill="D6E4F0"/>
        <w:spacing w:after="366" w:line="358" w:lineRule="auto"/>
        <w:ind w:left="371" w:right="124" w:hanging="10"/>
      </w:pPr>
      <w:r w:rsidRPr="003F3753">
        <w:rPr>
          <w:rFonts w:eastAsia="Arial"/>
          <w:b/>
          <w:color w:val="404040"/>
          <w:sz w:val="19"/>
        </w:rPr>
        <w:t>Question leadership will ask:</w:t>
      </w:r>
    </w:p>
    <w:p w14:paraId="1E98F076" w14:textId="77777777" w:rsidR="00010DEA" w:rsidRPr="003F3753" w:rsidRDefault="00000000">
      <w:pPr>
        <w:pBdr>
          <w:top w:val="single" w:sz="4" w:space="0" w:color="2E75B6"/>
          <w:left w:val="single" w:sz="4" w:space="0" w:color="2E75B6"/>
          <w:bottom w:val="single" w:sz="4" w:space="0" w:color="2E75B6"/>
          <w:right w:val="single" w:sz="24" w:space="0" w:color="2E75B6"/>
        </w:pBdr>
        <w:shd w:val="clear" w:color="auto" w:fill="D6E4F0"/>
        <w:spacing w:after="920" w:line="308" w:lineRule="auto"/>
        <w:ind w:left="371" w:right="124" w:hanging="10"/>
        <w:jc w:val="both"/>
      </w:pPr>
      <w:r w:rsidRPr="003F3753">
        <w:rPr>
          <w:rFonts w:eastAsia="Arial"/>
          <w:color w:val="404040"/>
          <w:sz w:val="19"/>
        </w:rPr>
        <w:t>Why are new customers not purchasing within their first 30 days? Is it a pricing problem, a product discovery problem, a trust problem, or a user experience problem?</w:t>
      </w:r>
    </w:p>
    <w:p w14:paraId="6C4D9E8E" w14:textId="77777777" w:rsidR="00010DEA" w:rsidRPr="003F3753" w:rsidRDefault="00000000">
      <w:pPr>
        <w:pBdr>
          <w:top w:val="single" w:sz="4" w:space="0" w:color="2E75B6"/>
          <w:left w:val="single" w:sz="4" w:space="0" w:color="2E75B6"/>
          <w:bottom w:val="single" w:sz="4" w:space="0" w:color="2E75B6"/>
          <w:right w:val="single" w:sz="24" w:space="0" w:color="2E75B6"/>
        </w:pBdr>
        <w:shd w:val="clear" w:color="auto" w:fill="D6E4F0"/>
        <w:spacing w:after="366" w:line="358" w:lineRule="auto"/>
        <w:ind w:left="371" w:right="124" w:hanging="10"/>
      </w:pPr>
      <w:r w:rsidRPr="003F3753">
        <w:rPr>
          <w:rFonts w:eastAsia="Arial"/>
          <w:b/>
          <w:color w:val="404040"/>
          <w:sz w:val="19"/>
        </w:rPr>
        <w:t>Why the current dataset cannot answer it:</w:t>
      </w:r>
    </w:p>
    <w:p w14:paraId="78C8968F" w14:textId="77777777" w:rsidR="00010DEA" w:rsidRPr="003F3753" w:rsidRDefault="00000000">
      <w:pPr>
        <w:pBdr>
          <w:top w:val="single" w:sz="4" w:space="0" w:color="2E75B6"/>
          <w:left w:val="single" w:sz="4" w:space="0" w:color="2E75B6"/>
          <w:bottom w:val="single" w:sz="4" w:space="0" w:color="2E75B6"/>
          <w:right w:val="single" w:sz="24" w:space="0" w:color="2E75B6"/>
        </w:pBdr>
        <w:shd w:val="clear" w:color="auto" w:fill="D6E4F0"/>
        <w:spacing w:after="920" w:line="308" w:lineRule="auto"/>
        <w:ind w:left="371" w:right="124" w:hanging="10"/>
        <w:jc w:val="both"/>
      </w:pPr>
      <w:r w:rsidRPr="003F3753">
        <w:rPr>
          <w:rFonts w:eastAsia="Arial"/>
          <w:color w:val="404040"/>
          <w:sz w:val="19"/>
        </w:rPr>
        <w:t xml:space="preserve">The </w:t>
      </w:r>
      <w:proofErr w:type="spellStart"/>
      <w:r w:rsidRPr="003F3753">
        <w:rPr>
          <w:rFonts w:eastAsia="Arial"/>
          <w:color w:val="404040"/>
          <w:sz w:val="19"/>
        </w:rPr>
        <w:t>TradeZone</w:t>
      </w:r>
      <w:proofErr w:type="spellEnd"/>
      <w:r w:rsidRPr="003F3753">
        <w:rPr>
          <w:rFonts w:eastAsia="Arial"/>
          <w:color w:val="404040"/>
          <w:sz w:val="19"/>
        </w:rPr>
        <w:t xml:space="preserve"> dataset contains transactional records — sign-ups, orders, payments, and reviews. It contains no </w:t>
      </w:r>
      <w:proofErr w:type="spellStart"/>
      <w:r w:rsidRPr="003F3753">
        <w:rPr>
          <w:rFonts w:eastAsia="Arial"/>
          <w:color w:val="404040"/>
          <w:sz w:val="19"/>
        </w:rPr>
        <w:t>behavioural</w:t>
      </w:r>
      <w:proofErr w:type="spellEnd"/>
      <w:r w:rsidRPr="003F3753">
        <w:rPr>
          <w:rFonts w:eastAsia="Arial"/>
          <w:color w:val="404040"/>
          <w:sz w:val="19"/>
        </w:rPr>
        <w:t xml:space="preserve"> data. There is no record of what pages a new customer visited, what products they browsed without buying, whether they added items to a cart and abandoned it, how long they spent on the platform, or what search terms they used. Without this </w:t>
      </w:r>
      <w:proofErr w:type="spellStart"/>
      <w:r w:rsidRPr="003F3753">
        <w:rPr>
          <w:rFonts w:eastAsia="Arial"/>
          <w:color w:val="404040"/>
          <w:sz w:val="19"/>
        </w:rPr>
        <w:t>behavioural</w:t>
      </w:r>
      <w:proofErr w:type="spellEnd"/>
      <w:r w:rsidRPr="003F3753">
        <w:rPr>
          <w:rFonts w:eastAsia="Arial"/>
          <w:color w:val="404040"/>
          <w:sz w:val="19"/>
        </w:rPr>
        <w:t xml:space="preserve"> layer, we can measure that conversion is failing but we cannot diagnose why.</w:t>
      </w:r>
    </w:p>
    <w:p w14:paraId="4244D839" w14:textId="77777777" w:rsidR="00010DEA" w:rsidRPr="003F3753" w:rsidRDefault="00000000">
      <w:pPr>
        <w:pBdr>
          <w:top w:val="single" w:sz="4" w:space="0" w:color="2E75B6"/>
          <w:left w:val="single" w:sz="4" w:space="0" w:color="2E75B6"/>
          <w:bottom w:val="single" w:sz="4" w:space="0" w:color="2E75B6"/>
          <w:right w:val="single" w:sz="24" w:space="0" w:color="2E75B6"/>
        </w:pBdr>
        <w:shd w:val="clear" w:color="auto" w:fill="D6E4F0"/>
        <w:spacing w:after="366" w:line="358" w:lineRule="auto"/>
        <w:ind w:left="371" w:right="124" w:hanging="10"/>
      </w:pPr>
      <w:r w:rsidRPr="003F3753">
        <w:rPr>
          <w:rFonts w:eastAsia="Arial"/>
          <w:b/>
          <w:color w:val="404040"/>
          <w:sz w:val="19"/>
        </w:rPr>
        <w:t>Additional data required:</w:t>
      </w:r>
    </w:p>
    <w:p w14:paraId="6627C850" w14:textId="77777777" w:rsidR="00010DEA" w:rsidRPr="003F3753" w:rsidRDefault="00000000">
      <w:pPr>
        <w:pBdr>
          <w:top w:val="single" w:sz="4" w:space="0" w:color="2E75B6"/>
          <w:left w:val="single" w:sz="4" w:space="0" w:color="2E75B6"/>
          <w:bottom w:val="single" w:sz="4" w:space="0" w:color="2E75B6"/>
          <w:right w:val="single" w:sz="24" w:space="0" w:color="2E75B6"/>
        </w:pBdr>
        <w:shd w:val="clear" w:color="auto" w:fill="D6E4F0"/>
        <w:spacing w:after="461" w:line="308" w:lineRule="auto"/>
        <w:ind w:left="371" w:right="124" w:hanging="10"/>
        <w:jc w:val="both"/>
      </w:pPr>
      <w:r w:rsidRPr="003F3753">
        <w:rPr>
          <w:rFonts w:eastAsia="Arial"/>
          <w:color w:val="404040"/>
          <w:sz w:val="19"/>
        </w:rPr>
        <w:t xml:space="preserve">Website and app clickstream data (page views, session duration, click paths) from the engineering team; cart abandonment event logs showing which products were added but not purchased; and customer exit survey data if available. With clickstream data joined to the existing customer table via </w:t>
      </w:r>
      <w:proofErr w:type="spellStart"/>
      <w:r w:rsidRPr="003F3753">
        <w:rPr>
          <w:rFonts w:eastAsia="Arial"/>
          <w:color w:val="404040"/>
          <w:sz w:val="19"/>
        </w:rPr>
        <w:t>customer_id</w:t>
      </w:r>
      <w:proofErr w:type="spellEnd"/>
      <w:r w:rsidRPr="003F3753">
        <w:rPr>
          <w:rFonts w:eastAsia="Arial"/>
          <w:color w:val="404040"/>
          <w:sz w:val="19"/>
        </w:rPr>
        <w:t xml:space="preserve">, it would be possible to segment non-converting customers by their browsing </w:t>
      </w:r>
      <w:proofErr w:type="spellStart"/>
      <w:r w:rsidRPr="003F3753">
        <w:rPr>
          <w:rFonts w:eastAsia="Arial"/>
          <w:color w:val="404040"/>
          <w:sz w:val="19"/>
        </w:rPr>
        <w:t>behaviour</w:t>
      </w:r>
      <w:proofErr w:type="spellEnd"/>
      <w:r w:rsidRPr="003F3753">
        <w:rPr>
          <w:rFonts w:eastAsia="Arial"/>
          <w:color w:val="404040"/>
          <w:sz w:val="19"/>
        </w:rPr>
        <w:t xml:space="preserve"> and identify whether the dropout point is on the product page, the cart, or the payment screen — each of which points to a different fix.</w:t>
      </w:r>
    </w:p>
    <w:p w14:paraId="1F3C9B74" w14:textId="77777777" w:rsidR="00010DEA" w:rsidRPr="003F3753" w:rsidRDefault="00000000">
      <w:pPr>
        <w:spacing w:after="245"/>
        <w:ind w:right="-113"/>
      </w:pPr>
      <w:r w:rsidRPr="003F3753">
        <w:rPr>
          <w:noProof/>
        </w:rPr>
        <mc:AlternateContent>
          <mc:Choice Requires="wpg">
            <w:drawing>
              <wp:inline distT="0" distB="0" distL="0" distR="0" wp14:anchorId="4F088BDE" wp14:editId="15EAB47E">
                <wp:extent cx="5791200" cy="6350"/>
                <wp:effectExtent l="0" t="0" r="0" b="0"/>
                <wp:docPr id="3923" name="Group 3923"/>
                <wp:cNvGraphicFramePr/>
                <a:graphic xmlns:a="http://schemas.openxmlformats.org/drawingml/2006/main">
                  <a:graphicData uri="http://schemas.microsoft.com/office/word/2010/wordprocessingGroup">
                    <wpg:wgp>
                      <wpg:cNvGrpSpPr/>
                      <wpg:grpSpPr>
                        <a:xfrm>
                          <a:off x="0" y="0"/>
                          <a:ext cx="5791200" cy="6350"/>
                          <a:chOff x="0" y="0"/>
                          <a:chExt cx="5791200" cy="6350"/>
                        </a:xfrm>
                      </wpg:grpSpPr>
                      <wps:wsp>
                        <wps:cNvPr id="280" name="Shape 280"/>
                        <wps:cNvSpPr/>
                        <wps:spPr>
                          <a:xfrm>
                            <a:off x="0" y="0"/>
                            <a:ext cx="5791200" cy="0"/>
                          </a:xfrm>
                          <a:custGeom>
                            <a:avLst/>
                            <a:gdLst/>
                            <a:ahLst/>
                            <a:cxnLst/>
                            <a:rect l="0" t="0" r="0" b="0"/>
                            <a:pathLst>
                              <a:path w="5791200">
                                <a:moveTo>
                                  <a:pt x="0" y="0"/>
                                </a:moveTo>
                                <a:lnTo>
                                  <a:pt x="5791200" y="0"/>
                                </a:lnTo>
                              </a:path>
                            </a:pathLst>
                          </a:custGeom>
                          <a:ln w="6350" cap="rnd">
                            <a:miter lim="127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23" style="width:456pt;height:0.5pt;mso-position-horizontal-relative:char;mso-position-vertical-relative:line" coordsize="57912,63">
                <v:shape id="Shape 280" style="position:absolute;width:57912;height:0;left:0;top:0;" coordsize="5791200,0" path="m0,0l5791200,0">
                  <v:stroke weight="0.5pt" endcap="round" joinstyle="miter" miterlimit="10" on="true" color="#bfbfbf"/>
                  <v:fill on="false" color="#000000" opacity="0"/>
                </v:shape>
              </v:group>
            </w:pict>
          </mc:Fallback>
        </mc:AlternateContent>
      </w:r>
    </w:p>
    <w:p w14:paraId="73246450" w14:textId="77777777" w:rsidR="00010DEA" w:rsidRPr="003F3753" w:rsidRDefault="00000000">
      <w:pPr>
        <w:spacing w:after="0" w:line="287" w:lineRule="auto"/>
        <w:jc w:val="center"/>
      </w:pPr>
      <w:r w:rsidRPr="003F3753">
        <w:rPr>
          <w:rFonts w:eastAsia="Arial"/>
          <w:color w:val="666666"/>
          <w:sz w:val="16"/>
        </w:rPr>
        <w:t xml:space="preserve">This memo was prepared by the </w:t>
      </w:r>
      <w:proofErr w:type="spellStart"/>
      <w:r w:rsidRPr="003F3753">
        <w:rPr>
          <w:rFonts w:eastAsia="Arial"/>
          <w:color w:val="666666"/>
          <w:sz w:val="16"/>
        </w:rPr>
        <w:t>TradeZone</w:t>
      </w:r>
      <w:proofErr w:type="spellEnd"/>
      <w:r w:rsidRPr="003F3753">
        <w:rPr>
          <w:rFonts w:eastAsia="Arial"/>
          <w:color w:val="666666"/>
          <w:sz w:val="16"/>
        </w:rPr>
        <w:t xml:space="preserve"> Data Analytics Team based on the 2023–2024 transactional database. All figures are derived from cleaned data. Flagged data quality issues have been documented and are available for review. Queries Q1 through Q8 are available in the project Google Drive folder.</w:t>
      </w:r>
    </w:p>
    <w:sectPr w:rsidR="00010DEA" w:rsidRPr="003F3753">
      <w:footerReference w:type="even" r:id="rId7"/>
      <w:footerReference w:type="default" r:id="rId8"/>
      <w:footerReference w:type="first" r:id="rId9"/>
      <w:pgSz w:w="12240" w:h="15840"/>
      <w:pgMar w:top="1200" w:right="1673" w:bottom="2086" w:left="1560" w:header="720" w:footer="7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F186D" w14:textId="77777777" w:rsidR="00C9639D" w:rsidRDefault="00C9639D">
      <w:pPr>
        <w:spacing w:after="0" w:line="240" w:lineRule="auto"/>
      </w:pPr>
      <w:r>
        <w:separator/>
      </w:r>
    </w:p>
  </w:endnote>
  <w:endnote w:type="continuationSeparator" w:id="0">
    <w:p w14:paraId="213E0C16" w14:textId="77777777" w:rsidR="00C9639D" w:rsidRDefault="00C96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3565" w14:textId="77777777" w:rsidR="00010DEA" w:rsidRDefault="00000000">
    <w:pPr>
      <w:tabs>
        <w:tab w:val="right" w:pos="9240"/>
      </w:tabs>
      <w:spacing w:after="0"/>
      <w:ind w:left="-120" w:right="-233"/>
    </w:pPr>
    <w:r>
      <w:rPr>
        <w:noProof/>
      </w:rPr>
      <mc:AlternateContent>
        <mc:Choice Requires="wpg">
          <w:drawing>
            <wp:anchor distT="0" distB="0" distL="114300" distR="114300" simplePos="0" relativeHeight="251658240" behindDoc="0" locked="0" layoutInCell="1" allowOverlap="1" wp14:anchorId="219F99FA" wp14:editId="02E2BDE0">
              <wp:simplePos x="0" y="0"/>
              <wp:positionH relativeFrom="page">
                <wp:posOffset>914400</wp:posOffset>
              </wp:positionH>
              <wp:positionV relativeFrom="page">
                <wp:posOffset>9436608</wp:posOffset>
              </wp:positionV>
              <wp:extent cx="5943600" cy="6350"/>
              <wp:effectExtent l="0" t="0" r="0" b="0"/>
              <wp:wrapSquare wrapText="bothSides"/>
              <wp:docPr id="4843" name="Group 4843"/>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4844" name="Shape 4844"/>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43" style="width:468pt;height:0.5pt;position:absolute;mso-position-horizontal-relative:page;mso-position-horizontal:absolute;margin-left:72pt;mso-position-vertical-relative:page;margin-top:743.04pt;" coordsize="59436,63">
              <v:shape id="Shape 4844" style="position:absolute;width:59436;height:0;left:0;top:0;" coordsize="5943600,0" path="m0,0l5943600,0">
                <v:stroke weight="0.5pt" endcap="flat" joinstyle="miter" miterlimit="10" on="true" color="#bfbfbf"/>
                <v:fill on="false" color="#000000" opacity="0"/>
              </v:shape>
              <w10:wrap type="square"/>
            </v:group>
          </w:pict>
        </mc:Fallback>
      </mc:AlternateContent>
    </w:r>
    <w:r>
      <w:rPr>
        <w:rFonts w:ascii="Arial" w:eastAsia="Arial" w:hAnsi="Arial" w:cs="Arial"/>
        <w:color w:val="666666"/>
        <w:sz w:val="16"/>
      </w:rPr>
      <w:t xml:space="preserve">CONFIDENTIAL — </w:t>
    </w:r>
    <w:proofErr w:type="spellStart"/>
    <w:r>
      <w:rPr>
        <w:rFonts w:ascii="Arial" w:eastAsia="Arial" w:hAnsi="Arial" w:cs="Arial"/>
        <w:color w:val="666666"/>
        <w:sz w:val="16"/>
      </w:rPr>
      <w:t>TradeZone</w:t>
    </w:r>
    <w:proofErr w:type="spellEnd"/>
    <w:r>
      <w:rPr>
        <w:rFonts w:ascii="Arial" w:eastAsia="Arial" w:hAnsi="Arial" w:cs="Arial"/>
        <w:color w:val="666666"/>
        <w:sz w:val="16"/>
      </w:rPr>
      <w:t xml:space="preserve"> Internal Memorandum — For Leadership Use Only</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DCF25" w14:textId="77777777" w:rsidR="00010DEA" w:rsidRDefault="00000000">
    <w:pPr>
      <w:tabs>
        <w:tab w:val="right" w:pos="9240"/>
      </w:tabs>
      <w:spacing w:after="0"/>
      <w:ind w:left="-120" w:right="-233"/>
    </w:pPr>
    <w:r>
      <w:rPr>
        <w:noProof/>
      </w:rPr>
      <mc:AlternateContent>
        <mc:Choice Requires="wpg">
          <w:drawing>
            <wp:anchor distT="0" distB="0" distL="114300" distR="114300" simplePos="0" relativeHeight="251659264" behindDoc="0" locked="0" layoutInCell="1" allowOverlap="1" wp14:anchorId="4F9AFABD" wp14:editId="0791FFA1">
              <wp:simplePos x="0" y="0"/>
              <wp:positionH relativeFrom="page">
                <wp:posOffset>914400</wp:posOffset>
              </wp:positionH>
              <wp:positionV relativeFrom="page">
                <wp:posOffset>9436608</wp:posOffset>
              </wp:positionV>
              <wp:extent cx="5943600" cy="6350"/>
              <wp:effectExtent l="0" t="0" r="0" b="0"/>
              <wp:wrapSquare wrapText="bothSides"/>
              <wp:docPr id="4832" name="Group 4832"/>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4833" name="Shape 4833"/>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32" style="width:468pt;height:0.5pt;position:absolute;mso-position-horizontal-relative:page;mso-position-horizontal:absolute;margin-left:72pt;mso-position-vertical-relative:page;margin-top:743.04pt;" coordsize="59436,63">
              <v:shape id="Shape 4833" style="position:absolute;width:59436;height:0;left:0;top:0;" coordsize="5943600,0" path="m0,0l5943600,0">
                <v:stroke weight="0.5pt" endcap="flat" joinstyle="miter" miterlimit="10" on="true" color="#bfbfbf"/>
                <v:fill on="false" color="#000000" opacity="0"/>
              </v:shape>
              <w10:wrap type="square"/>
            </v:group>
          </w:pict>
        </mc:Fallback>
      </mc:AlternateContent>
    </w:r>
    <w:r>
      <w:rPr>
        <w:rFonts w:ascii="Arial" w:eastAsia="Arial" w:hAnsi="Arial" w:cs="Arial"/>
        <w:color w:val="666666"/>
        <w:sz w:val="16"/>
      </w:rPr>
      <w:t xml:space="preserve">CONFIDENTIAL — </w:t>
    </w:r>
    <w:proofErr w:type="spellStart"/>
    <w:r>
      <w:rPr>
        <w:rFonts w:ascii="Arial" w:eastAsia="Arial" w:hAnsi="Arial" w:cs="Arial"/>
        <w:color w:val="666666"/>
        <w:sz w:val="16"/>
      </w:rPr>
      <w:t>TradeZone</w:t>
    </w:r>
    <w:proofErr w:type="spellEnd"/>
    <w:r>
      <w:rPr>
        <w:rFonts w:ascii="Arial" w:eastAsia="Arial" w:hAnsi="Arial" w:cs="Arial"/>
        <w:color w:val="666666"/>
        <w:sz w:val="16"/>
      </w:rPr>
      <w:t xml:space="preserve"> Internal Memorandum — For Leadership Use Only</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0389" w14:textId="77777777" w:rsidR="00010DEA" w:rsidRDefault="00000000">
    <w:pPr>
      <w:tabs>
        <w:tab w:val="right" w:pos="9240"/>
      </w:tabs>
      <w:spacing w:after="0"/>
      <w:ind w:left="-120" w:right="-233"/>
    </w:pPr>
    <w:r>
      <w:rPr>
        <w:noProof/>
      </w:rPr>
      <mc:AlternateContent>
        <mc:Choice Requires="wpg">
          <w:drawing>
            <wp:anchor distT="0" distB="0" distL="114300" distR="114300" simplePos="0" relativeHeight="251660288" behindDoc="0" locked="0" layoutInCell="1" allowOverlap="1" wp14:anchorId="07087B3D" wp14:editId="6B6C8C07">
              <wp:simplePos x="0" y="0"/>
              <wp:positionH relativeFrom="page">
                <wp:posOffset>914400</wp:posOffset>
              </wp:positionH>
              <wp:positionV relativeFrom="page">
                <wp:posOffset>9436608</wp:posOffset>
              </wp:positionV>
              <wp:extent cx="5943600" cy="6350"/>
              <wp:effectExtent l="0" t="0" r="0" b="0"/>
              <wp:wrapSquare wrapText="bothSides"/>
              <wp:docPr id="4821" name="Group 4821"/>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4822" name="Shape 4822"/>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BFBFB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21" style="width:468pt;height:0.5pt;position:absolute;mso-position-horizontal-relative:page;mso-position-horizontal:absolute;margin-left:72pt;mso-position-vertical-relative:page;margin-top:743.04pt;" coordsize="59436,63">
              <v:shape id="Shape 4822" style="position:absolute;width:59436;height:0;left:0;top:0;" coordsize="5943600,0" path="m0,0l5943600,0">
                <v:stroke weight="0.5pt" endcap="flat" joinstyle="miter" miterlimit="10" on="true" color="#bfbfbf"/>
                <v:fill on="false" color="#000000" opacity="0"/>
              </v:shape>
              <w10:wrap type="square"/>
            </v:group>
          </w:pict>
        </mc:Fallback>
      </mc:AlternateContent>
    </w:r>
    <w:r>
      <w:rPr>
        <w:rFonts w:ascii="Arial" w:eastAsia="Arial" w:hAnsi="Arial" w:cs="Arial"/>
        <w:color w:val="666666"/>
        <w:sz w:val="16"/>
      </w:rPr>
      <w:t xml:space="preserve">CONFIDENTIAL — </w:t>
    </w:r>
    <w:proofErr w:type="spellStart"/>
    <w:r>
      <w:rPr>
        <w:rFonts w:ascii="Arial" w:eastAsia="Arial" w:hAnsi="Arial" w:cs="Arial"/>
        <w:color w:val="666666"/>
        <w:sz w:val="16"/>
      </w:rPr>
      <w:t>TradeZone</w:t>
    </w:r>
    <w:proofErr w:type="spellEnd"/>
    <w:r>
      <w:rPr>
        <w:rFonts w:ascii="Arial" w:eastAsia="Arial" w:hAnsi="Arial" w:cs="Arial"/>
        <w:color w:val="666666"/>
        <w:sz w:val="16"/>
      </w:rPr>
      <w:t xml:space="preserve"> Internal Memorandum — For Leadership Use Only</w:t>
    </w:r>
    <w:r>
      <w:rPr>
        <w:rFonts w:ascii="Arial" w:eastAsia="Arial" w:hAnsi="Arial" w:cs="Arial"/>
        <w:color w:val="666666"/>
        <w:sz w:val="16"/>
      </w:rPr>
      <w:tab/>
      <w:t xml:space="preserve">Page </w:t>
    </w:r>
    <w:r>
      <w:fldChar w:fldCharType="begin"/>
    </w:r>
    <w:r>
      <w:instrText xml:space="preserve"> PAGE   \* MERGEFORMAT </w:instrText>
    </w:r>
    <w:r>
      <w:fldChar w:fldCharType="separate"/>
    </w:r>
    <w:r>
      <w:rPr>
        <w:rFonts w:ascii="Arial" w:eastAsia="Arial" w:hAnsi="Arial" w:cs="Arial"/>
        <w:color w:val="666666"/>
        <w:sz w:val="16"/>
      </w:rPr>
      <w:t>1</w:t>
    </w:r>
    <w:r>
      <w:rPr>
        <w:rFonts w:ascii="Arial" w:eastAsia="Arial" w:hAnsi="Arial" w:cs="Arial"/>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5D331" w14:textId="77777777" w:rsidR="00C9639D" w:rsidRDefault="00C9639D">
      <w:pPr>
        <w:spacing w:after="0" w:line="240" w:lineRule="auto"/>
      </w:pPr>
      <w:r>
        <w:separator/>
      </w:r>
    </w:p>
  </w:footnote>
  <w:footnote w:type="continuationSeparator" w:id="0">
    <w:p w14:paraId="4041DC37" w14:textId="77777777" w:rsidR="00C9639D" w:rsidRDefault="00C9639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DEA"/>
    <w:rsid w:val="00010DEA"/>
    <w:rsid w:val="000A0DE7"/>
    <w:rsid w:val="003F3753"/>
    <w:rsid w:val="00554AD0"/>
    <w:rsid w:val="00582BAD"/>
    <w:rsid w:val="006E5E0E"/>
    <w:rsid w:val="00B16A6F"/>
    <w:rsid w:val="00C72B19"/>
    <w:rsid w:val="00C9639D"/>
    <w:rsid w:val="00D8111F"/>
    <w:rsid w:val="00E244EB"/>
    <w:rsid w:val="00E4168D"/>
    <w:rsid w:val="00FE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B6221"/>
  <w15:docId w15:val="{1011A944-A8CA-408C-A9CE-511E947E4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753"/>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54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54AD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43F68-8D44-48A4-8816-3CC6E219E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6</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utibe bassey</cp:lastModifiedBy>
  <cp:revision>4</cp:revision>
  <dcterms:created xsi:type="dcterms:W3CDTF">2026-04-23T07:07:00Z</dcterms:created>
  <dcterms:modified xsi:type="dcterms:W3CDTF">2026-04-23T13:29:00Z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f2028a59-6935-410f-9b83-2c053a81b9a7</vt:lpwstr>
  </property>
</Properties>
</file>