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B3A5C"/>
          <w:sz w:val="36"/>
          <w:szCs w:val="36"/>
        </w:rPr>
        <w:t xml:space="preserve">FLOORING &amp; INTERIOR PROTECTION</w:t>
      </w:r>
    </w:p>
    <w:p>
      <w:pPr>
        <w:spacing w:after="60" w:before="0"/>
      </w:pPr>
      <w:r>
        <w:rPr>
          <w:rFonts w:ascii="Arial" w:cs="Arial" w:eastAsia="Arial" w:hAnsi="Arial"/>
          <w:color w:val="2E75B6"/>
          <w:sz w:val="28"/>
          <w:szCs w:val="28"/>
        </w:rPr>
        <w:t xml:space="preserve">Capabilities Statement</w:t>
      </w:r>
    </w:p>
    <w:p>
      <w:pPr>
        <w:spacing w:after="60" w:before="0"/>
      </w:pPr>
      <w:r>
        <w:rPr>
          <w:rFonts w:ascii="Arial" w:cs="Arial" w:eastAsia="Arial" w:hAnsi="Arial"/>
          <w:b/>
          <w:bCs/>
          <w:color w:val="3D3D3D"/>
          <w:sz w:val="22"/>
          <w:szCs w:val="22"/>
        </w:rPr>
        <w:t xml:space="preserve">SPM — Commercial Flooring &amp; Interior Protection</w:t>
      </w:r>
    </w:p>
    <w:p>
      <w:pPr>
        <w:spacing w:after="200" w:before="0"/>
      </w:pPr>
      <w:r>
        <w:rPr>
          <w:rFonts w:ascii="Arial" w:cs="Arial" w:eastAsia="Arial" w:hAnsi="Arial"/>
          <w:i/>
          <w:iCs/>
          <w:color w:val="666666"/>
          <w:sz w:val="22"/>
          <w:szCs w:val="22"/>
        </w:rPr>
        <w:t xml:space="preserve">Prepared for Corrective Services NSW</w:t>
      </w:r>
    </w:p>
    <w:p>
      <w:pPr>
        <w:pBdr>
          <w:bottom w:val="single" w:color="1B3A5C" w:sz="8" w:space="1"/>
        </w:pBdr>
        <w:spacing w:after="120" w:before="0"/>
      </w:pPr>
    </w:p>
    <w:p>
      <w:pPr>
        <w:spacing w:after="320" w:before="0"/>
      </w:pPr>
    </w:p>
    <w:p>
      <w:pPr>
        <w:pStyle w:val="Heading1"/>
        <w:spacing w:after="80" w:before="320"/>
      </w:pPr>
      <w:r>
        <w:rPr>
          <w:rFonts w:ascii="Arial" w:cs="Arial" w:eastAsia="Arial" w:hAnsi="Arial"/>
          <w:b/>
          <w:bCs/>
          <w:color w:val="1B3A5C"/>
          <w:sz w:val="28"/>
          <w:szCs w:val="28"/>
        </w:rPr>
        <w:t xml:space="preserve">1.  About SPM</w:t>
      </w:r>
    </w:p>
    <w:p>
      <w:pPr>
        <w:pBdr>
          <w:bottom w:val="single" w:color="2E75B6" w:sz="8" w:space="1"/>
        </w:pBdr>
        <w:spacing w:after="120" w:before="0"/>
      </w:pPr>
    </w:p>
    <w:p>
      <w:pPr>
        <w:spacing w:after="80" w:before="0"/>
      </w:pPr>
    </w:p>
    <w:p>
      <w:pPr>
        <w:spacing w:after="120" w:before="0"/>
      </w:pPr>
      <w:r>
        <w:rPr>
          <w:rFonts w:ascii="Arial" w:cs="Arial" w:eastAsia="Arial" w:hAnsi="Arial"/>
          <w:color w:val="3D3D3D"/>
          <w:sz w:val="22"/>
          <w:szCs w:val="22"/>
        </w:rPr>
        <w:t xml:space="preserve">SPM is an Australian commercial flooring and interior protection specialist with extensive experience delivering projects across correctional facilities, justice precincts, health, education, and government infrastructure. We work directly with managing contractors and facilities management organisations to provide a comprehensive, coordinated trade scope — from initial strip-out through to fully installed and certified finishes.</w:t>
      </w:r>
    </w:p>
    <w:p>
      <w:pPr>
        <w:spacing w:after="80" w:before="0"/>
      </w:pPr>
    </w:p>
    <w:p>
      <w:pPr>
        <w:spacing w:after="120" w:before="0"/>
      </w:pPr>
      <w:r>
        <w:rPr>
          <w:rFonts w:ascii="Arial" w:cs="Arial" w:eastAsia="Arial" w:hAnsi="Arial"/>
          <w:color w:val="3D3D3D"/>
          <w:sz w:val="22"/>
          <w:szCs w:val="22"/>
        </w:rPr>
        <w:t xml:space="preserve">Our distinguishing capability is breadth of self-delivery. Where most flooring contractors handle only one or two trade elements, SPM manages the entire interior protection and floor finish scope under a single subcontract, single programme, and single point of accountability. This reduces interface risk for the principal contractor and delivers a tighter, more predictable programme for the facility.</w:t>
      </w:r>
    </w:p>
    <w:p>
      <w:pPr>
        <w:spacing w:after="80" w:before="0"/>
      </w:pPr>
    </w:p>
    <w:p>
      <w:pPr>
        <w:spacing w:after="80" w:before="0"/>
      </w:pPr>
      <w:r>
        <w:rPr>
          <w:rFonts w:ascii="Arial" w:cs="Arial" w:eastAsia="Arial" w:hAnsi="Arial"/>
          <w:b/>
          <w:bCs/>
          <w:color w:val="1B3A5C"/>
          <w:sz w:val="22"/>
          <w:szCs w:val="22"/>
        </w:rPr>
        <w:t xml:space="preserve">Registered Business:</w:t>
      </w:r>
      <w:r>
        <w:rPr>
          <w:rFonts w:ascii="Arial" w:cs="Arial" w:eastAsia="Arial" w:hAnsi="Arial"/>
          <w:color w:val="3D3D3D"/>
          <w:sz w:val="22"/>
          <w:szCs w:val="22"/>
        </w:rPr>
        <w:t xml:space="preserve">  SPM Commercial Flooring</w:t>
      </w:r>
    </w:p>
    <w:p>
      <w:pPr>
        <w:spacing w:after="80" w:before="0"/>
      </w:pPr>
      <w:r>
        <w:rPr>
          <w:rFonts w:ascii="Arial" w:cs="Arial" w:eastAsia="Arial" w:hAnsi="Arial"/>
          <w:b/>
          <w:bCs/>
          <w:color w:val="1B3A5C"/>
          <w:sz w:val="22"/>
          <w:szCs w:val="22"/>
        </w:rPr>
        <w:t xml:space="preserve">ABN:</w:t>
      </w:r>
      <w:r>
        <w:rPr>
          <w:rFonts w:ascii="Arial" w:cs="Arial" w:eastAsia="Arial" w:hAnsi="Arial"/>
          <w:color w:val="3D3D3D"/>
          <w:sz w:val="22"/>
          <w:szCs w:val="22"/>
        </w:rPr>
        <w:t xml:space="preserve">  [ABN XX XXX XXX XXX]</w:t>
      </w:r>
    </w:p>
    <w:p>
      <w:pPr>
        <w:spacing w:after="80" w:before="0"/>
      </w:pPr>
      <w:r>
        <w:rPr>
          <w:rFonts w:ascii="Arial" w:cs="Arial" w:eastAsia="Arial" w:hAnsi="Arial"/>
          <w:b/>
          <w:bCs/>
          <w:color w:val="1B3A5C"/>
          <w:sz w:val="22"/>
          <w:szCs w:val="22"/>
        </w:rPr>
        <w:t xml:space="preserve">Licence:</w:t>
      </w:r>
      <w:r>
        <w:rPr>
          <w:rFonts w:ascii="Arial" w:cs="Arial" w:eastAsia="Arial" w:hAnsi="Arial"/>
          <w:color w:val="3D3D3D"/>
          <w:sz w:val="22"/>
          <w:szCs w:val="22"/>
        </w:rPr>
        <w:t xml:space="preserve">  [Contractor Licence No. XXXXXXX — Class: XX]</w:t>
      </w:r>
    </w:p>
    <w:p>
      <w:pPr>
        <w:spacing w:after="80" w:before="0"/>
      </w:pPr>
      <w:r>
        <w:rPr>
          <w:rFonts w:ascii="Arial" w:cs="Arial" w:eastAsia="Arial" w:hAnsi="Arial"/>
          <w:b/>
          <w:bCs/>
          <w:color w:val="1B3A5C"/>
          <w:sz w:val="22"/>
          <w:szCs w:val="22"/>
        </w:rPr>
        <w:t xml:space="preserve">Insurance:</w:t>
      </w:r>
      <w:r>
        <w:rPr>
          <w:rFonts w:ascii="Arial" w:cs="Arial" w:eastAsia="Arial" w:hAnsi="Arial"/>
          <w:color w:val="3D3D3D"/>
          <w:sz w:val="22"/>
          <w:szCs w:val="22"/>
        </w:rPr>
        <w:t xml:space="preserve">  [Public Liability $20M | Workers Compensation — current certificates available on request]</w:t>
      </w:r>
    </w:p>
    <w:p>
      <w:pPr>
        <w:spacing w:after="80" w:before="0"/>
      </w:pPr>
      <w:r>
        <w:rPr>
          <w:rFonts w:ascii="Arial" w:cs="Arial" w:eastAsia="Arial" w:hAnsi="Arial"/>
          <w:b/>
          <w:bCs/>
          <w:color w:val="1B3A5C"/>
          <w:sz w:val="22"/>
          <w:szCs w:val="22"/>
        </w:rPr>
        <w:t xml:space="preserve">Base:</w:t>
      </w:r>
      <w:r>
        <w:rPr>
          <w:rFonts w:ascii="Arial" w:cs="Arial" w:eastAsia="Arial" w:hAnsi="Arial"/>
          <w:color w:val="3D3D3D"/>
          <w:sz w:val="22"/>
          <w:szCs w:val="22"/>
        </w:rPr>
        <w:t xml:space="preserve">  Sydney, NSW — servicing greater NSW and ACT</w:t>
      </w:r>
    </w:p>
    <w:p>
      <w:pPr>
        <w:spacing w:after="240" w:before="0"/>
      </w:pPr>
    </w:p>
    <w:p>
      <w:pPr>
        <w:pStyle w:val="Heading1"/>
        <w:spacing w:after="80" w:before="320"/>
      </w:pPr>
      <w:r>
        <w:rPr>
          <w:rFonts w:ascii="Arial" w:cs="Arial" w:eastAsia="Arial" w:hAnsi="Arial"/>
          <w:b/>
          <w:bCs/>
          <w:color w:val="1B3A5C"/>
          <w:sz w:val="28"/>
          <w:szCs w:val="28"/>
        </w:rPr>
        <w:t xml:space="preserve">2.  Corrective Services Experience</w:t>
      </w:r>
    </w:p>
    <w:p>
      <w:pPr>
        <w:pBdr>
          <w:bottom w:val="single" w:color="2E75B6" w:sz="8" w:space="1"/>
        </w:pBdr>
        <w:spacing w:after="120" w:before="0"/>
      </w:pPr>
    </w:p>
    <w:p>
      <w:pPr>
        <w:spacing w:after="80" w:before="0"/>
      </w:pPr>
    </w:p>
    <w:p>
      <w:pPr>
        <w:spacing w:after="120" w:before="0"/>
      </w:pPr>
      <w:r>
        <w:rPr>
          <w:rFonts w:ascii="Arial" w:cs="Arial" w:eastAsia="Arial" w:hAnsi="Arial"/>
          <w:color w:val="3D3D3D"/>
          <w:sz w:val="22"/>
          <w:szCs w:val="22"/>
        </w:rPr>
        <w:t xml:space="preserve">SPM has a strong track record working within operational and non-operational correctional and justice facilities. We understand the unique access, security, and programme requirements of these environments, including:</w:t>
      </w:r>
    </w:p>
    <w:p>
      <w:pPr>
        <w:spacing w:after="80" w:before="0"/>
      </w:pPr>
    </w:p>
    <w:p>
      <w:pPr>
        <w:pStyle w:val="ListParagraph"/>
        <w:numPr>
          <w:ilvl w:val="0"/>
          <w:numId w:val="2"/>
        </w:numPr>
        <w:spacing w:after="80" w:before="0"/>
      </w:pPr>
      <w:r>
        <w:rPr>
          <w:rFonts w:ascii="Arial" w:cs="Arial" w:eastAsia="Arial" w:hAnsi="Arial"/>
          <w:color w:val="3D3D3D"/>
          <w:sz w:val="22"/>
          <w:szCs w:val="22"/>
        </w:rPr>
        <w:t xml:space="preserve">Compliance with facility security protocols, including tool register, escort procedures, and induction requirements</w:t>
      </w:r>
    </w:p>
    <w:p>
      <w:pPr>
        <w:pStyle w:val="ListParagraph"/>
        <w:numPr>
          <w:ilvl w:val="0"/>
          <w:numId w:val="2"/>
        </w:numPr>
        <w:spacing w:after="80" w:before="0"/>
      </w:pPr>
      <w:r>
        <w:rPr>
          <w:rFonts w:ascii="Arial" w:cs="Arial" w:eastAsia="Arial" w:hAnsi="Arial"/>
          <w:color w:val="3D3D3D"/>
          <w:sz w:val="22"/>
          <w:szCs w:val="22"/>
        </w:rPr>
        <w:t xml:space="preserve">Sequenced staging to maintain facility operations with minimal disruption to staff and inmates</w:t>
      </w:r>
    </w:p>
    <w:p>
      <w:pPr>
        <w:pStyle w:val="ListParagraph"/>
        <w:numPr>
          <w:ilvl w:val="0"/>
          <w:numId w:val="2"/>
        </w:numPr>
        <w:spacing w:after="80" w:before="0"/>
      </w:pPr>
      <w:r>
        <w:rPr>
          <w:rFonts w:ascii="Arial" w:cs="Arial" w:eastAsia="Arial" w:hAnsi="Arial"/>
          <w:color w:val="3D3D3D"/>
          <w:sz w:val="22"/>
          <w:szCs w:val="22"/>
        </w:rPr>
        <w:t xml:space="preserve">Selection and specification of anti-ligature, anti-climb, and tamper-resistant finishes and fixings</w:t>
      </w:r>
    </w:p>
    <w:p>
      <w:pPr>
        <w:pStyle w:val="ListParagraph"/>
        <w:numPr>
          <w:ilvl w:val="0"/>
          <w:numId w:val="2"/>
        </w:numPr>
        <w:spacing w:after="80" w:before="0"/>
      </w:pPr>
      <w:r>
        <w:rPr>
          <w:rFonts w:ascii="Arial" w:cs="Arial" w:eastAsia="Arial" w:hAnsi="Arial"/>
          <w:color w:val="3D3D3D"/>
          <w:sz w:val="22"/>
          <w:szCs w:val="22"/>
        </w:rPr>
        <w:t xml:space="preserve">Experience working within occupied and partially occupied facilities under live-environment conditions</w:t>
      </w:r>
    </w:p>
    <w:p>
      <w:pPr>
        <w:pStyle w:val="ListParagraph"/>
        <w:numPr>
          <w:ilvl w:val="0"/>
          <w:numId w:val="2"/>
        </w:numPr>
        <w:spacing w:after="80" w:before="0"/>
      </w:pPr>
      <w:r>
        <w:rPr>
          <w:rFonts w:ascii="Arial" w:cs="Arial" w:eastAsia="Arial" w:hAnsi="Arial"/>
          <w:color w:val="3D3D3D"/>
          <w:sz w:val="22"/>
          <w:szCs w:val="22"/>
        </w:rPr>
        <w:t xml:space="preserve">Coordination with correctional facility officers, DCJNSW project managers, and head contractors</w:t>
      </w:r>
    </w:p>
    <w:p>
      <w:pPr>
        <w:spacing w:after="80" w:before="0"/>
      </w:pPr>
    </w:p>
    <w:p>
      <w:pPr>
        <w:spacing w:after="120" w:before="0"/>
      </w:pPr>
      <w:r>
        <w:rPr>
          <w:rFonts w:ascii="Arial" w:cs="Arial" w:eastAsia="Arial" w:hAnsi="Arial"/>
          <w:color w:val="3D3D3D"/>
          <w:sz w:val="22"/>
          <w:szCs w:val="22"/>
        </w:rPr>
        <w:t xml:space="preserve">Our team is experienced in clearing, stripping, and fully reinstating correctional cells, common areas, corridors, amenities, gymnasiums, medical facilities, and administration wings. We bring our own equipment — including industrial-grade grinding machinery — and do not rely on facility plant.</w:t>
      </w:r>
    </w:p>
    <w:p>
      <w:pPr>
        <w:spacing w:after="240" w:before="0"/>
      </w:pPr>
    </w:p>
    <w:p>
      <w:pPr>
        <w:pStyle w:val="Heading1"/>
        <w:spacing w:after="80" w:before="320"/>
      </w:pPr>
      <w:r>
        <w:rPr>
          <w:rFonts w:ascii="Arial" w:cs="Arial" w:eastAsia="Arial" w:hAnsi="Arial"/>
          <w:b/>
          <w:bCs/>
          <w:color w:val="1B3A5C"/>
          <w:sz w:val="28"/>
          <w:szCs w:val="28"/>
        </w:rPr>
        <w:t xml:space="preserve">3.  Scope of Services</w:t>
      </w:r>
    </w:p>
    <w:p>
      <w:pPr>
        <w:pBdr>
          <w:bottom w:val="single" w:color="2E75B6" w:sz="8" w:space="1"/>
        </w:pBdr>
        <w:spacing w:after="120" w:before="0"/>
      </w:pPr>
    </w:p>
    <w:p>
      <w:pPr>
        <w:spacing w:after="80" w:before="0"/>
      </w:pPr>
    </w:p>
    <w:p>
      <w:pPr>
        <w:spacing w:after="120" w:before="0"/>
      </w:pPr>
      <w:r>
        <w:rPr>
          <w:rFonts w:ascii="Arial" w:cs="Arial" w:eastAsia="Arial" w:hAnsi="Arial"/>
          <w:color w:val="3D3D3D"/>
          <w:sz w:val="22"/>
          <w:szCs w:val="22"/>
        </w:rPr>
        <w:t xml:space="preserve">The following table summarises the full range of services SPM self-delivers. This scope can be engaged in full or in part depending on the project requirements. All work is performed by SPM's own employed workforce — we do not subcontract our core trades.</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0D0D0" w:sz="1"/>
              <w:left w:val="single" w:color="D0D0D0" w:sz="1"/>
              <w:bottom w:val="single" w:color="D0D0D0" w:sz="1"/>
              <w:right w:val="single" w:color="D0D0D0" w:sz="1"/>
            </w:tcBorders>
            <w:shd w:fill="1B3A5C" w:val="clear"/>
            <w:tcMar>
              <w:top w:type="dxa" w:w="100"/>
              <w:left w:type="dxa" w:w="160"/>
              <w:bottom w:type="dxa" w:w="100"/>
              <w:right w:type="dxa" w:w="80"/>
            </w:tcMar>
          </w:tcPr>
          <w:p>
            <w:r>
              <w:rPr>
                <w:rFonts w:ascii="Arial" w:cs="Arial" w:eastAsia="Arial" w:hAnsi="Arial"/>
                <w:b/>
                <w:bCs/>
                <w:color w:val="FFFFFF"/>
                <w:sz w:val="20"/>
                <w:szCs w:val="20"/>
              </w:rPr>
              <w:t xml:space="preserve">Service / Trade</w:t>
            </w:r>
          </w:p>
        </w:tc>
        <w:tc>
          <w:tcPr>
            <w:tcW w:type="dxa" w:w="6638"/>
            <w:tcBorders>
              <w:top w:val="single" w:color="D0D0D0" w:sz="1"/>
              <w:left w:val="single" w:color="D0D0D0" w:sz="1"/>
              <w:bottom w:val="single" w:color="D0D0D0" w:sz="1"/>
              <w:right w:val="single" w:color="D0D0D0" w:sz="1"/>
            </w:tcBorders>
            <w:shd w:fill="1B3A5C" w:val="clear"/>
            <w:tcMar>
              <w:top w:type="dxa" w:w="100"/>
              <w:left w:type="dxa" w:w="160"/>
              <w:bottom w:type="dxa" w:w="100"/>
              <w:right w:type="dxa" w:w="80"/>
            </w:tcMar>
          </w:tcPr>
          <w:p>
            <w:r>
              <w:rPr>
                <w:rFonts w:ascii="Arial" w:cs="Arial" w:eastAsia="Arial" w:hAnsi="Arial"/>
                <w:b/>
                <w:bCs/>
                <w:color w:val="FFFFFF"/>
                <w:sz w:val="20"/>
                <w:szCs w:val="20"/>
              </w:rPr>
              <w:t xml:space="preserve">Scope &amp; Capability</w:t>
            </w:r>
          </w:p>
        </w:tc>
      </w:tr>
      <w:tr>
        <w:tc>
          <w:tcPr>
            <w:tcW w:type="dxa" w:w="3000"/>
            <w:tcBorders>
              <w:top w:val="single" w:color="D0D0D0" w:sz="1"/>
              <w:left w:val="single" w:color="D0D0D0" w:sz="1"/>
              <w:bottom w:val="single" w:color="D0D0D0" w:sz="1"/>
              <w:right w:val="single" w:color="D0D0D0" w:sz="1"/>
            </w:tcBorders>
            <w:shd w:fill="EDF4FB" w:val="clear"/>
            <w:tcMar>
              <w:top w:type="dxa" w:w="80"/>
              <w:left w:type="dxa" w:w="160"/>
              <w:bottom w:type="dxa" w:w="80"/>
              <w:right w:type="dxa" w:w="80"/>
            </w:tcMar>
          </w:tcPr>
          <w:p>
            <w:r>
              <w:rPr>
                <w:rFonts w:ascii="Arial" w:cs="Arial" w:eastAsia="Arial" w:hAnsi="Arial"/>
                <w:b/>
                <w:bCs/>
                <w:color w:val="1B3A5C"/>
                <w:sz w:val="20"/>
                <w:szCs w:val="20"/>
              </w:rPr>
              <w:t xml:space="preserve">Commercial Flooring</w:t>
            </w:r>
          </w:p>
        </w:tc>
        <w:tc>
          <w:tcPr>
            <w:tcW w:type="dxa" w:w="6638"/>
            <w:tcBorders>
              <w:top w:val="single" w:color="D0D0D0" w:sz="1"/>
              <w:left w:val="single" w:color="D0D0D0" w:sz="1"/>
              <w:bottom w:val="single" w:color="D0D0D0" w:sz="1"/>
              <w:right w:val="single" w:color="D0D0D0" w:sz="1"/>
            </w:tcBorders>
            <w:shd w:fill="EDF4FB" w:val="clear"/>
            <w:tcMar>
              <w:top w:type="dxa" w:w="80"/>
              <w:left w:type="dxa" w:w="160"/>
              <w:bottom w:type="dxa" w:w="80"/>
              <w:right w:type="dxa" w:w="80"/>
            </w:tcMar>
          </w:tcPr>
          <w:p>
            <w:r>
              <w:rPr>
                <w:rFonts w:ascii="Arial" w:cs="Arial" w:eastAsia="Arial" w:hAnsi="Arial"/>
                <w:color w:val="3D3D3D"/>
                <w:sz w:val="20"/>
                <w:szCs w:val="20"/>
              </w:rPr>
              <w:t xml:space="preserve">Vinyl sheet, safety flooring, LVT/LVP, carpet tiles and broadloom — including all brands suited to institutional environments (Altro, Polyflor, Interface, etc.)</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80"/>
            </w:tcMar>
          </w:tcPr>
          <w:p>
            <w:r>
              <w:rPr>
                <w:rFonts w:ascii="Arial" w:cs="Arial" w:eastAsia="Arial" w:hAnsi="Arial"/>
                <w:b/>
                <w:bCs/>
                <w:color w:val="1B3A5C"/>
                <w:sz w:val="20"/>
                <w:szCs w:val="20"/>
              </w:rPr>
              <w:t xml:space="preserve">Sports Flooring</w:t>
            </w:r>
          </w:p>
        </w:tc>
        <w:tc>
          <w:tcPr>
            <w:tcW w:type="dxa" w:w="6638"/>
            <w:tcBorders>
              <w:top w:val="single" w:color="D0D0D0" w:sz="1"/>
              <w:left w:val="single" w:color="D0D0D0" w:sz="1"/>
              <w:bottom w:val="single" w:color="D0D0D0" w:sz="1"/>
              <w:right w:val="single" w:color="D0D0D0" w:sz="1"/>
            </w:tcBorders>
            <w:shd w:fill="FFFFFF" w:val="clear"/>
            <w:tcMar>
              <w:top w:type="dxa" w:w="80"/>
              <w:left w:type="dxa" w:w="160"/>
              <w:bottom w:type="dxa" w:w="80"/>
              <w:right w:type="dxa" w:w="80"/>
            </w:tcMar>
          </w:tcPr>
          <w:p>
            <w:r>
              <w:rPr>
                <w:rFonts w:ascii="Arial" w:cs="Arial" w:eastAsia="Arial" w:hAnsi="Arial"/>
                <w:color w:val="3D3D3D"/>
                <w:sz w:val="20"/>
                <w:szCs w:val="20"/>
              </w:rPr>
              <w:t xml:space="preserve">Supply and installation of commercial sports flooring systems for multipurpose courts, recreation and gymnasium areas</w:t>
            </w:r>
          </w:p>
        </w:tc>
      </w:tr>
      <w:tr>
        <w:tc>
          <w:tcPr>
            <w:tcW w:type="dxa" w:w="3000"/>
            <w:tcBorders>
              <w:top w:val="single" w:color="D0D0D0" w:sz="1"/>
              <w:left w:val="single" w:color="D0D0D0" w:sz="1"/>
              <w:bottom w:val="single" w:color="D0D0D0" w:sz="1"/>
              <w:right w:val="single" w:color="D0D0D0" w:sz="1"/>
            </w:tcBorders>
            <w:shd w:fill="EDF4FB" w:val="clear"/>
            <w:tcMar>
              <w:top w:type="dxa" w:w="80"/>
              <w:left w:type="dxa" w:w="160"/>
              <w:bottom w:type="dxa" w:w="80"/>
              <w:right w:type="dxa" w:w="80"/>
            </w:tcMar>
          </w:tcPr>
          <w:p>
            <w:r>
              <w:rPr>
                <w:rFonts w:ascii="Arial" w:cs="Arial" w:eastAsia="Arial" w:hAnsi="Arial"/>
                <w:b/>
                <w:bCs/>
                <w:color w:val="1B3A5C"/>
                <w:sz w:val="20"/>
                <w:szCs w:val="20"/>
              </w:rPr>
              <w:t xml:space="preserve">Wall Vinyl &amp; Cladding</w:t>
            </w:r>
          </w:p>
        </w:tc>
        <w:tc>
          <w:tcPr>
            <w:tcW w:type="dxa" w:w="6638"/>
            <w:tcBorders>
              <w:top w:val="single" w:color="D0D0D0" w:sz="1"/>
              <w:left w:val="single" w:color="D0D0D0" w:sz="1"/>
              <w:bottom w:val="single" w:color="D0D0D0" w:sz="1"/>
              <w:right w:val="single" w:color="D0D0D0" w:sz="1"/>
            </w:tcBorders>
            <w:shd w:fill="EDF4FB" w:val="clear"/>
            <w:tcMar>
              <w:top w:type="dxa" w:w="80"/>
              <w:left w:type="dxa" w:w="160"/>
              <w:bottom w:type="dxa" w:w="80"/>
              <w:right w:type="dxa" w:w="80"/>
            </w:tcMar>
          </w:tcPr>
          <w:p>
            <w:r>
              <w:rPr>
                <w:rFonts w:ascii="Arial" w:cs="Arial" w:eastAsia="Arial" w:hAnsi="Arial"/>
                <w:color w:val="3D3D3D"/>
                <w:sz w:val="20"/>
                <w:szCs w:val="20"/>
              </w:rPr>
              <w:t xml:space="preserve">Full-height vinyl wall coverings, anti-ligature and impact-resistant wall vinyl, and vinyl cladding systems suited to secure environments</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80"/>
            </w:tcMar>
          </w:tcPr>
          <w:p>
            <w:r>
              <w:rPr>
                <w:rFonts w:ascii="Arial" w:cs="Arial" w:eastAsia="Arial" w:hAnsi="Arial"/>
                <w:b/>
                <w:bCs/>
                <w:color w:val="1B3A5C"/>
                <w:sz w:val="20"/>
                <w:szCs w:val="20"/>
              </w:rPr>
              <w:t xml:space="preserve">Epoxy Flooring</w:t>
            </w:r>
          </w:p>
        </w:tc>
        <w:tc>
          <w:tcPr>
            <w:tcW w:type="dxa" w:w="6638"/>
            <w:tcBorders>
              <w:top w:val="single" w:color="D0D0D0" w:sz="1"/>
              <w:left w:val="single" w:color="D0D0D0" w:sz="1"/>
              <w:bottom w:val="single" w:color="D0D0D0" w:sz="1"/>
              <w:right w:val="single" w:color="D0D0D0" w:sz="1"/>
            </w:tcBorders>
            <w:shd w:fill="FFFFFF" w:val="clear"/>
            <w:tcMar>
              <w:top w:type="dxa" w:w="80"/>
              <w:left w:type="dxa" w:w="160"/>
              <w:bottom w:type="dxa" w:w="80"/>
              <w:right w:type="dxa" w:w="80"/>
            </w:tcMar>
          </w:tcPr>
          <w:p>
            <w:r>
              <w:rPr>
                <w:rFonts w:ascii="Arial" w:cs="Arial" w:eastAsia="Arial" w:hAnsi="Arial"/>
                <w:color w:val="3D3D3D"/>
                <w:sz w:val="20"/>
                <w:szCs w:val="20"/>
              </w:rPr>
              <w:t xml:space="preserve">Industrial and commercial epoxy coatings — including anti-static, anti-slip, and heavy-duty formulations for workshops, amenities, and service areas</w:t>
            </w:r>
          </w:p>
        </w:tc>
      </w:tr>
      <w:tr>
        <w:tc>
          <w:tcPr>
            <w:tcW w:type="dxa" w:w="3000"/>
            <w:tcBorders>
              <w:top w:val="single" w:color="D0D0D0" w:sz="1"/>
              <w:left w:val="single" w:color="D0D0D0" w:sz="1"/>
              <w:bottom w:val="single" w:color="D0D0D0" w:sz="1"/>
              <w:right w:val="single" w:color="D0D0D0" w:sz="1"/>
            </w:tcBorders>
            <w:shd w:fill="EDF4FB" w:val="clear"/>
            <w:tcMar>
              <w:top w:type="dxa" w:w="80"/>
              <w:left w:type="dxa" w:w="160"/>
              <w:bottom w:type="dxa" w:w="80"/>
              <w:right w:type="dxa" w:w="80"/>
            </w:tcMar>
          </w:tcPr>
          <w:p>
            <w:r>
              <w:rPr>
                <w:rFonts w:ascii="Arial" w:cs="Arial" w:eastAsia="Arial" w:hAnsi="Arial"/>
                <w:b/>
                <w:bCs/>
                <w:color w:val="1B3A5C"/>
                <w:sz w:val="20"/>
                <w:szCs w:val="20"/>
              </w:rPr>
              <w:t xml:space="preserve">Polished Concrete &amp; Seal</w:t>
            </w:r>
          </w:p>
        </w:tc>
        <w:tc>
          <w:tcPr>
            <w:tcW w:type="dxa" w:w="6638"/>
            <w:tcBorders>
              <w:top w:val="single" w:color="D0D0D0" w:sz="1"/>
              <w:left w:val="single" w:color="D0D0D0" w:sz="1"/>
              <w:bottom w:val="single" w:color="D0D0D0" w:sz="1"/>
              <w:right w:val="single" w:color="D0D0D0" w:sz="1"/>
            </w:tcBorders>
            <w:shd w:fill="EDF4FB" w:val="clear"/>
            <w:tcMar>
              <w:top w:type="dxa" w:w="80"/>
              <w:left w:type="dxa" w:w="160"/>
              <w:bottom w:type="dxa" w:w="80"/>
              <w:right w:type="dxa" w:w="80"/>
            </w:tcMar>
          </w:tcPr>
          <w:p>
            <w:r>
              <w:rPr>
                <w:rFonts w:ascii="Arial" w:cs="Arial" w:eastAsia="Arial" w:hAnsi="Arial"/>
                <w:color w:val="3D3D3D"/>
                <w:sz w:val="20"/>
                <w:szCs w:val="20"/>
              </w:rPr>
              <w:t xml:space="preserve">Mechanical grinding, densifying, polishing, and sealing of concrete floors to achieve the specified finish class and slip rating</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80"/>
            </w:tcMar>
          </w:tcPr>
          <w:p>
            <w:r>
              <w:rPr>
                <w:rFonts w:ascii="Arial" w:cs="Arial" w:eastAsia="Arial" w:hAnsi="Arial"/>
                <w:b/>
                <w:bCs/>
                <w:color w:val="1B3A5C"/>
                <w:sz w:val="20"/>
                <w:szCs w:val="20"/>
              </w:rPr>
              <w:t xml:space="preserve">Floor Restoration</w:t>
            </w:r>
          </w:p>
        </w:tc>
        <w:tc>
          <w:tcPr>
            <w:tcW w:type="dxa" w:w="6638"/>
            <w:tcBorders>
              <w:top w:val="single" w:color="D0D0D0" w:sz="1"/>
              <w:left w:val="single" w:color="D0D0D0" w:sz="1"/>
              <w:bottom w:val="single" w:color="D0D0D0" w:sz="1"/>
              <w:right w:val="single" w:color="D0D0D0" w:sz="1"/>
            </w:tcBorders>
            <w:shd w:fill="FFFFFF" w:val="clear"/>
            <w:tcMar>
              <w:top w:type="dxa" w:w="80"/>
              <w:left w:type="dxa" w:w="160"/>
              <w:bottom w:type="dxa" w:w="80"/>
              <w:right w:type="dxa" w:w="80"/>
            </w:tcMar>
          </w:tcPr>
          <w:p>
            <w:r>
              <w:rPr>
                <w:rFonts w:ascii="Arial" w:cs="Arial" w:eastAsia="Arial" w:hAnsi="Arial"/>
                <w:color w:val="3D3D3D"/>
                <w:sz w:val="20"/>
                <w:szCs w:val="20"/>
              </w:rPr>
              <w:t xml:space="preserve">Strip-out and removal of existing floor coverings including vinyl, carpet, tiles, and adhesive — prepared to bare substrate, ready for new installation</w:t>
            </w:r>
          </w:p>
        </w:tc>
      </w:tr>
      <w:tr>
        <w:tc>
          <w:tcPr>
            <w:tcW w:type="dxa" w:w="3000"/>
            <w:tcBorders>
              <w:top w:val="single" w:color="D0D0D0" w:sz="1"/>
              <w:left w:val="single" w:color="D0D0D0" w:sz="1"/>
              <w:bottom w:val="single" w:color="D0D0D0" w:sz="1"/>
              <w:right w:val="single" w:color="D0D0D0" w:sz="1"/>
            </w:tcBorders>
            <w:shd w:fill="EDF4FB" w:val="clear"/>
            <w:tcMar>
              <w:top w:type="dxa" w:w="80"/>
              <w:left w:type="dxa" w:w="160"/>
              <w:bottom w:type="dxa" w:w="80"/>
              <w:right w:type="dxa" w:w="80"/>
            </w:tcMar>
          </w:tcPr>
          <w:p>
            <w:r>
              <w:rPr>
                <w:rFonts w:ascii="Arial" w:cs="Arial" w:eastAsia="Arial" w:hAnsi="Arial"/>
                <w:b/>
                <w:bCs/>
                <w:color w:val="1B3A5C"/>
                <w:sz w:val="20"/>
                <w:szCs w:val="20"/>
              </w:rPr>
              <w:t xml:space="preserve">Grinding — Light to Heavy</w:t>
            </w:r>
          </w:p>
        </w:tc>
        <w:tc>
          <w:tcPr>
            <w:tcW w:type="dxa" w:w="6638"/>
            <w:tcBorders>
              <w:top w:val="single" w:color="D0D0D0" w:sz="1"/>
              <w:left w:val="single" w:color="D0D0D0" w:sz="1"/>
              <w:bottom w:val="single" w:color="D0D0D0" w:sz="1"/>
              <w:right w:val="single" w:color="D0D0D0" w:sz="1"/>
            </w:tcBorders>
            <w:shd w:fill="EDF4FB" w:val="clear"/>
            <w:tcMar>
              <w:top w:type="dxa" w:w="80"/>
              <w:left w:type="dxa" w:w="160"/>
              <w:bottom w:type="dxa" w:w="80"/>
              <w:right w:type="dxa" w:w="80"/>
            </w:tcMar>
          </w:tcPr>
          <w:p>
            <w:r>
              <w:rPr>
                <w:rFonts w:ascii="Arial" w:cs="Arial" w:eastAsia="Arial" w:hAnsi="Arial"/>
                <w:color w:val="3D3D3D"/>
                <w:sz w:val="20"/>
                <w:szCs w:val="20"/>
              </w:rPr>
              <w:t xml:space="preserve">Comprehensive subfloor grinding capability from lightweight hand-held machines through to full industrial ride-on grinders, suitable for any facility size or access constraint</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80"/>
            </w:tcMar>
          </w:tcPr>
          <w:p>
            <w:r>
              <w:rPr>
                <w:rFonts w:ascii="Arial" w:cs="Arial" w:eastAsia="Arial" w:hAnsi="Arial"/>
                <w:b/>
                <w:bCs/>
                <w:color w:val="1B3A5C"/>
                <w:sz w:val="20"/>
                <w:szCs w:val="20"/>
              </w:rPr>
              <w:t xml:space="preserve">Floor Preparation</w:t>
            </w:r>
          </w:p>
        </w:tc>
        <w:tc>
          <w:tcPr>
            <w:tcW w:type="dxa" w:w="6638"/>
            <w:tcBorders>
              <w:top w:val="single" w:color="D0D0D0" w:sz="1"/>
              <w:left w:val="single" w:color="D0D0D0" w:sz="1"/>
              <w:bottom w:val="single" w:color="D0D0D0" w:sz="1"/>
              <w:right w:val="single" w:color="D0D0D0" w:sz="1"/>
            </w:tcBorders>
            <w:shd w:fill="FFFFFF" w:val="clear"/>
            <w:tcMar>
              <w:top w:type="dxa" w:w="80"/>
              <w:left w:type="dxa" w:w="160"/>
              <w:bottom w:type="dxa" w:w="80"/>
              <w:right w:type="dxa" w:w="80"/>
            </w:tcMar>
          </w:tcPr>
          <w:p>
            <w:r>
              <w:rPr>
                <w:rFonts w:ascii="Arial" w:cs="Arial" w:eastAsia="Arial" w:hAnsi="Arial"/>
                <w:color w:val="3D3D3D"/>
                <w:sz w:val="20"/>
                <w:szCs w:val="20"/>
              </w:rPr>
              <w:t xml:space="preserve">Self-levelling compound application (flood or spot), screeding, plywood overlays, feather-finish topping — all subfloor conditions accepted</w:t>
            </w:r>
          </w:p>
        </w:tc>
      </w:tr>
      <w:tr>
        <w:tc>
          <w:tcPr>
            <w:tcW w:type="dxa" w:w="3000"/>
            <w:tcBorders>
              <w:top w:val="single" w:color="D0D0D0" w:sz="1"/>
              <w:left w:val="single" w:color="D0D0D0" w:sz="1"/>
              <w:bottom w:val="single" w:color="D0D0D0" w:sz="1"/>
              <w:right w:val="single" w:color="D0D0D0" w:sz="1"/>
            </w:tcBorders>
            <w:shd w:fill="EDF4FB" w:val="clear"/>
            <w:tcMar>
              <w:top w:type="dxa" w:w="80"/>
              <w:left w:type="dxa" w:w="160"/>
              <w:bottom w:type="dxa" w:w="80"/>
              <w:right w:type="dxa" w:w="80"/>
            </w:tcMar>
          </w:tcPr>
          <w:p>
            <w:r>
              <w:rPr>
                <w:rFonts w:ascii="Arial" w:cs="Arial" w:eastAsia="Arial" w:hAnsi="Arial"/>
                <w:b/>
                <w:bCs/>
                <w:color w:val="1B3A5C"/>
                <w:sz w:val="20"/>
                <w:szCs w:val="20"/>
              </w:rPr>
              <w:t xml:space="preserve">Acoustic Wall Panels</w:t>
            </w:r>
          </w:p>
        </w:tc>
        <w:tc>
          <w:tcPr>
            <w:tcW w:type="dxa" w:w="6638"/>
            <w:tcBorders>
              <w:top w:val="single" w:color="D0D0D0" w:sz="1"/>
              <w:left w:val="single" w:color="D0D0D0" w:sz="1"/>
              <w:bottom w:val="single" w:color="D0D0D0" w:sz="1"/>
              <w:right w:val="single" w:color="D0D0D0" w:sz="1"/>
            </w:tcBorders>
            <w:shd w:fill="EDF4FB" w:val="clear"/>
            <w:tcMar>
              <w:top w:type="dxa" w:w="80"/>
              <w:left w:type="dxa" w:w="160"/>
              <w:bottom w:type="dxa" w:w="80"/>
              <w:right w:type="dxa" w:w="80"/>
            </w:tcMar>
          </w:tcPr>
          <w:p>
            <w:r>
              <w:rPr>
                <w:rFonts w:ascii="Arial" w:cs="Arial" w:eastAsia="Arial" w:hAnsi="Arial"/>
                <w:color w:val="3D3D3D"/>
                <w:sz w:val="20"/>
                <w:szCs w:val="20"/>
              </w:rPr>
              <w:t xml:space="preserve">Specification, supply, and installation of acoustic wall panel systems for cells, corridors, recreation rooms, and programme spaces</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80"/>
            </w:tcMar>
          </w:tcPr>
          <w:p>
            <w:r>
              <w:rPr>
                <w:rFonts w:ascii="Arial" w:cs="Arial" w:eastAsia="Arial" w:hAnsi="Arial"/>
                <w:b/>
                <w:bCs/>
                <w:color w:val="1B3A5C"/>
                <w:sz w:val="20"/>
                <w:szCs w:val="20"/>
              </w:rPr>
              <w:t xml:space="preserve">Handrails</w:t>
            </w:r>
          </w:p>
        </w:tc>
        <w:tc>
          <w:tcPr>
            <w:tcW w:type="dxa" w:w="6638"/>
            <w:tcBorders>
              <w:top w:val="single" w:color="D0D0D0" w:sz="1"/>
              <w:left w:val="single" w:color="D0D0D0" w:sz="1"/>
              <w:bottom w:val="single" w:color="D0D0D0" w:sz="1"/>
              <w:right w:val="single" w:color="D0D0D0" w:sz="1"/>
            </w:tcBorders>
            <w:shd w:fill="FFFFFF" w:val="clear"/>
            <w:tcMar>
              <w:top w:type="dxa" w:w="80"/>
              <w:left w:type="dxa" w:w="160"/>
              <w:bottom w:type="dxa" w:w="80"/>
              <w:right w:type="dxa" w:w="80"/>
            </w:tcMar>
          </w:tcPr>
          <w:p>
            <w:r>
              <w:rPr>
                <w:rFonts w:ascii="Arial" w:cs="Arial" w:eastAsia="Arial" w:hAnsi="Arial"/>
                <w:color w:val="3D3D3D"/>
                <w:sz w:val="20"/>
                <w:szCs w:val="20"/>
              </w:rPr>
              <w:t xml:space="preserve">Fabrication and installation of handrail systems to BCA requirements — stainless steel, powder-coated steel, and aluminium profiles</w:t>
            </w:r>
          </w:p>
        </w:tc>
      </w:tr>
      <w:tr>
        <w:tc>
          <w:tcPr>
            <w:tcW w:type="dxa" w:w="3000"/>
            <w:tcBorders>
              <w:top w:val="single" w:color="D0D0D0" w:sz="1"/>
              <w:left w:val="single" w:color="D0D0D0" w:sz="1"/>
              <w:bottom w:val="single" w:color="D0D0D0" w:sz="1"/>
              <w:right w:val="single" w:color="D0D0D0" w:sz="1"/>
            </w:tcBorders>
            <w:shd w:fill="EDF4FB" w:val="clear"/>
            <w:tcMar>
              <w:top w:type="dxa" w:w="80"/>
              <w:left w:type="dxa" w:w="160"/>
              <w:bottom w:type="dxa" w:w="80"/>
              <w:right w:type="dxa" w:w="80"/>
            </w:tcMar>
          </w:tcPr>
          <w:p>
            <w:r>
              <w:rPr>
                <w:rFonts w:ascii="Arial" w:cs="Arial" w:eastAsia="Arial" w:hAnsi="Arial"/>
                <w:b/>
                <w:bCs/>
                <w:color w:val="1B3A5C"/>
                <w:sz w:val="20"/>
                <w:szCs w:val="20"/>
              </w:rPr>
              <w:t xml:space="preserve">Bump Rails &amp; Crash Rails</w:t>
            </w:r>
          </w:p>
        </w:tc>
        <w:tc>
          <w:tcPr>
            <w:tcW w:type="dxa" w:w="6638"/>
            <w:tcBorders>
              <w:top w:val="single" w:color="D0D0D0" w:sz="1"/>
              <w:left w:val="single" w:color="D0D0D0" w:sz="1"/>
              <w:bottom w:val="single" w:color="D0D0D0" w:sz="1"/>
              <w:right w:val="single" w:color="D0D0D0" w:sz="1"/>
            </w:tcBorders>
            <w:shd w:fill="EDF4FB" w:val="clear"/>
            <w:tcMar>
              <w:top w:type="dxa" w:w="80"/>
              <w:left w:type="dxa" w:w="160"/>
              <w:bottom w:type="dxa" w:w="80"/>
              <w:right w:type="dxa" w:w="80"/>
            </w:tcMar>
          </w:tcPr>
          <w:p>
            <w:r>
              <w:rPr>
                <w:rFonts w:ascii="Arial" w:cs="Arial" w:eastAsia="Arial" w:hAnsi="Arial"/>
                <w:color w:val="3D3D3D"/>
                <w:sz w:val="20"/>
                <w:szCs w:val="20"/>
              </w:rPr>
              <w:t xml:space="preserve">Supply and installation of bump rail and crash rail systems in corridors, doorways, and high-traffic areas to protect walls and structures</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80"/>
            </w:tcMar>
          </w:tcPr>
          <w:p>
            <w:r>
              <w:rPr>
                <w:rFonts w:ascii="Arial" w:cs="Arial" w:eastAsia="Arial" w:hAnsi="Arial"/>
                <w:b/>
                <w:bCs/>
                <w:color w:val="1B3A5C"/>
                <w:sz w:val="20"/>
                <w:szCs w:val="20"/>
              </w:rPr>
              <w:t xml:space="preserve">Corner Guards</w:t>
            </w:r>
          </w:p>
        </w:tc>
        <w:tc>
          <w:tcPr>
            <w:tcW w:type="dxa" w:w="6638"/>
            <w:tcBorders>
              <w:top w:val="single" w:color="D0D0D0" w:sz="1"/>
              <w:left w:val="single" w:color="D0D0D0" w:sz="1"/>
              <w:bottom w:val="single" w:color="D0D0D0" w:sz="1"/>
              <w:right w:val="single" w:color="D0D0D0" w:sz="1"/>
            </w:tcBorders>
            <w:shd w:fill="FFFFFF" w:val="clear"/>
            <w:tcMar>
              <w:top w:type="dxa" w:w="80"/>
              <w:left w:type="dxa" w:w="160"/>
              <w:bottom w:type="dxa" w:w="80"/>
              <w:right w:type="dxa" w:w="80"/>
            </w:tcMar>
          </w:tcPr>
          <w:p>
            <w:r>
              <w:rPr>
                <w:rFonts w:ascii="Arial" w:cs="Arial" w:eastAsia="Arial" w:hAnsi="Arial"/>
                <w:color w:val="3D3D3D"/>
                <w:sz w:val="20"/>
                <w:szCs w:val="20"/>
              </w:rPr>
              <w:t xml:space="preserve">Stainless steel, aluminium, and PVC corner protection systems — concealed fixings available for secure facilities</w:t>
            </w:r>
          </w:p>
        </w:tc>
      </w:tr>
      <w:tr>
        <w:tc>
          <w:tcPr>
            <w:tcW w:type="dxa" w:w="3000"/>
            <w:tcBorders>
              <w:top w:val="single" w:color="D0D0D0" w:sz="1"/>
              <w:left w:val="single" w:color="D0D0D0" w:sz="1"/>
              <w:bottom w:val="single" w:color="D0D0D0" w:sz="1"/>
              <w:right w:val="single" w:color="D0D0D0" w:sz="1"/>
            </w:tcBorders>
            <w:shd w:fill="EDF4FB" w:val="clear"/>
            <w:tcMar>
              <w:top w:type="dxa" w:w="80"/>
              <w:left w:type="dxa" w:w="160"/>
              <w:bottom w:type="dxa" w:w="80"/>
              <w:right w:type="dxa" w:w="80"/>
            </w:tcMar>
          </w:tcPr>
          <w:p>
            <w:r>
              <w:rPr>
                <w:rFonts w:ascii="Arial" w:cs="Arial" w:eastAsia="Arial" w:hAnsi="Arial"/>
                <w:b/>
                <w:bCs/>
                <w:color w:val="1B3A5C"/>
                <w:sz w:val="20"/>
                <w:szCs w:val="20"/>
              </w:rPr>
              <w:t xml:space="preserve">Wall Protection Systems</w:t>
            </w:r>
          </w:p>
        </w:tc>
        <w:tc>
          <w:tcPr>
            <w:tcW w:type="dxa" w:w="6638"/>
            <w:tcBorders>
              <w:top w:val="single" w:color="D0D0D0" w:sz="1"/>
              <w:left w:val="single" w:color="D0D0D0" w:sz="1"/>
              <w:bottom w:val="single" w:color="D0D0D0" w:sz="1"/>
              <w:right w:val="single" w:color="D0D0D0" w:sz="1"/>
            </w:tcBorders>
            <w:shd w:fill="EDF4FB" w:val="clear"/>
            <w:tcMar>
              <w:top w:type="dxa" w:w="80"/>
              <w:left w:type="dxa" w:w="160"/>
              <w:bottom w:type="dxa" w:w="80"/>
              <w:right w:type="dxa" w:w="80"/>
            </w:tcMar>
          </w:tcPr>
          <w:p>
            <w:r>
              <w:rPr>
                <w:rFonts w:ascii="Arial" w:cs="Arial" w:eastAsia="Arial" w:hAnsi="Arial"/>
                <w:color w:val="3D3D3D"/>
                <w:sz w:val="20"/>
                <w:szCs w:val="20"/>
              </w:rPr>
              <w:t xml:space="preserve">Full wall protection scope: impact panels, crash rails, corner guards, and door protection combined into a coordinated protection package</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80"/>
            </w:tcMar>
          </w:tcPr>
          <w:p>
            <w:r>
              <w:rPr>
                <w:rFonts w:ascii="Arial" w:cs="Arial" w:eastAsia="Arial" w:hAnsi="Arial"/>
                <w:b/>
                <w:bCs/>
                <w:color w:val="1B3A5C"/>
                <w:sz w:val="20"/>
                <w:szCs w:val="20"/>
              </w:rPr>
              <w:t xml:space="preserve">Door Protection Systems</w:t>
            </w:r>
          </w:p>
        </w:tc>
        <w:tc>
          <w:tcPr>
            <w:tcW w:type="dxa" w:w="6638"/>
            <w:tcBorders>
              <w:top w:val="single" w:color="D0D0D0" w:sz="1"/>
              <w:left w:val="single" w:color="D0D0D0" w:sz="1"/>
              <w:bottom w:val="single" w:color="D0D0D0" w:sz="1"/>
              <w:right w:val="single" w:color="D0D0D0" w:sz="1"/>
            </w:tcBorders>
            <w:shd w:fill="FFFFFF" w:val="clear"/>
            <w:tcMar>
              <w:top w:type="dxa" w:w="80"/>
              <w:left w:type="dxa" w:w="160"/>
              <w:bottom w:type="dxa" w:w="80"/>
              <w:right w:type="dxa" w:w="80"/>
            </w:tcMar>
          </w:tcPr>
          <w:p>
            <w:r>
              <w:rPr>
                <w:rFonts w:ascii="Arial" w:cs="Arial" w:eastAsia="Arial" w:hAnsi="Arial"/>
                <w:color w:val="3D3D3D"/>
                <w:sz w:val="20"/>
                <w:szCs w:val="20"/>
              </w:rPr>
              <w:t xml:space="preserve">Door edge and frame protection, door-bottom seals, kick plates, and protection boards for high-traffic and heavy-use door sets</w:t>
            </w:r>
          </w:p>
        </w:tc>
      </w:tr>
      <w:tr>
        <w:tc>
          <w:tcPr>
            <w:tcW w:type="dxa" w:w="3000"/>
            <w:tcBorders>
              <w:top w:val="single" w:color="D0D0D0" w:sz="1"/>
              <w:left w:val="single" w:color="D0D0D0" w:sz="1"/>
              <w:bottom w:val="single" w:color="D0D0D0" w:sz="1"/>
              <w:right w:val="single" w:color="D0D0D0" w:sz="1"/>
            </w:tcBorders>
            <w:shd w:fill="EDF4FB" w:val="clear"/>
            <w:tcMar>
              <w:top w:type="dxa" w:w="80"/>
              <w:left w:type="dxa" w:w="160"/>
              <w:bottom w:type="dxa" w:w="80"/>
              <w:right w:type="dxa" w:w="80"/>
            </w:tcMar>
          </w:tcPr>
          <w:p>
            <w:r>
              <w:rPr>
                <w:rFonts w:ascii="Arial" w:cs="Arial" w:eastAsia="Arial" w:hAnsi="Arial"/>
                <w:b/>
                <w:bCs/>
                <w:color w:val="1B3A5C"/>
                <w:sz w:val="20"/>
                <w:szCs w:val="20"/>
              </w:rPr>
              <w:t xml:space="preserve">Rising Damp &amp; Mould</w:t>
            </w:r>
          </w:p>
        </w:tc>
        <w:tc>
          <w:tcPr>
            <w:tcW w:type="dxa" w:w="6638"/>
            <w:tcBorders>
              <w:top w:val="single" w:color="D0D0D0" w:sz="1"/>
              <w:left w:val="single" w:color="D0D0D0" w:sz="1"/>
              <w:bottom w:val="single" w:color="D0D0D0" w:sz="1"/>
              <w:right w:val="single" w:color="D0D0D0" w:sz="1"/>
            </w:tcBorders>
            <w:shd w:fill="EDF4FB" w:val="clear"/>
            <w:tcMar>
              <w:top w:type="dxa" w:w="80"/>
              <w:left w:type="dxa" w:w="160"/>
              <w:bottom w:type="dxa" w:w="80"/>
              <w:right w:type="dxa" w:w="80"/>
            </w:tcMar>
          </w:tcPr>
          <w:p>
            <w:r>
              <w:rPr>
                <w:rFonts w:ascii="Arial" w:cs="Arial" w:eastAsia="Arial" w:hAnsi="Arial"/>
                <w:color w:val="3D3D3D"/>
                <w:sz w:val="20"/>
                <w:szCs w:val="20"/>
              </w:rPr>
              <w:t xml:space="preserve">Rising damp course installation, moisture barrier membranes, and full mould remediation to AIQS and relevant Australian standards</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80"/>
            </w:tcMar>
          </w:tcPr>
          <w:p>
            <w:r>
              <w:rPr>
                <w:rFonts w:ascii="Arial" w:cs="Arial" w:eastAsia="Arial" w:hAnsi="Arial"/>
                <w:b/>
                <w:bCs/>
                <w:color w:val="1B3A5C"/>
                <w:sz w:val="20"/>
                <w:szCs w:val="20"/>
              </w:rPr>
              <w:t xml:space="preserve">Full Strip-Out &amp; Fitout</w:t>
            </w:r>
          </w:p>
        </w:tc>
        <w:tc>
          <w:tcPr>
            <w:tcW w:type="dxa" w:w="6638"/>
            <w:tcBorders>
              <w:top w:val="single" w:color="D0D0D0" w:sz="1"/>
              <w:left w:val="single" w:color="D0D0D0" w:sz="1"/>
              <w:bottom w:val="single" w:color="D0D0D0" w:sz="1"/>
              <w:right w:val="single" w:color="D0D0D0" w:sz="1"/>
            </w:tcBorders>
            <w:shd w:fill="FFFFFF" w:val="clear"/>
            <w:tcMar>
              <w:top w:type="dxa" w:w="80"/>
              <w:left w:type="dxa" w:w="160"/>
              <w:bottom w:type="dxa" w:w="80"/>
              <w:right w:type="dxa" w:w="80"/>
            </w:tcMar>
          </w:tcPr>
          <w:p>
            <w:r>
              <w:rPr>
                <w:rFonts w:ascii="Arial" w:cs="Arial" w:eastAsia="Arial" w:hAnsi="Arial"/>
                <w:color w:val="3D3D3D"/>
                <w:sz w:val="20"/>
                <w:szCs w:val="20"/>
              </w:rPr>
              <w:t xml:space="preserve">End-to-end scope: removal of furniture, partitions, and electrical fittings; full strip to structure; complete flooring and wall protection reinstatement — one contractor, one programme</w:t>
            </w:r>
          </w:p>
        </w:tc>
      </w:tr>
    </w:tbl>
    <w:p>
      <w:pPr>
        <w:spacing w:after="240" w:before="0"/>
      </w:pPr>
    </w:p>
    <w:p>
      <w:pPr>
        <w:pStyle w:val="Heading1"/>
        <w:spacing w:after="80" w:before="320"/>
      </w:pPr>
      <w:r>
        <w:rPr>
          <w:rFonts w:ascii="Arial" w:cs="Arial" w:eastAsia="Arial" w:hAnsi="Arial"/>
          <w:b/>
          <w:bCs/>
          <w:color w:val="1B3A5C"/>
          <w:sz w:val="28"/>
          <w:szCs w:val="28"/>
        </w:rPr>
        <w:t xml:space="preserve">4.  One-Stop-Shop Delivery Model</w:t>
      </w:r>
    </w:p>
    <w:p>
      <w:pPr>
        <w:pBdr>
          <w:bottom w:val="single" w:color="2E75B6" w:sz="8" w:space="1"/>
        </w:pBdr>
        <w:spacing w:after="120" w:before="0"/>
      </w:pPr>
    </w:p>
    <w:p>
      <w:pPr>
        <w:spacing w:after="80" w:before="0"/>
      </w:pPr>
    </w:p>
    <w:p>
      <w:pPr>
        <w:spacing w:after="120" w:before="0"/>
      </w:pPr>
      <w:r>
        <w:rPr>
          <w:rFonts w:ascii="Arial" w:cs="Arial" w:eastAsia="Arial" w:hAnsi="Arial"/>
          <w:color w:val="3D3D3D"/>
          <w:sz w:val="22"/>
          <w:szCs w:val="22"/>
        </w:rPr>
        <w:t xml:space="preserve">A key differentiator of SPM's offering is our ability to manage the entire lifecycle of an interior fitout or refurbishment — from vacant possession through to certified completion — under one contract, one programme, and one site manager.</w:t>
      </w:r>
    </w:p>
    <w:p>
      <w:pPr>
        <w:spacing w:after="80" w:before="0"/>
      </w:pPr>
    </w:p>
    <w:p>
      <w:pPr>
        <w:pStyle w:val="Heading2"/>
        <w:spacing w:after="60" w:before="240"/>
      </w:pPr>
      <w:r>
        <w:rPr>
          <w:rFonts w:ascii="Arial" w:cs="Arial" w:eastAsia="Arial" w:hAnsi="Arial"/>
          <w:b/>
          <w:bCs/>
          <w:color w:val="2E75B6"/>
          <w:sz w:val="24"/>
          <w:szCs w:val="24"/>
        </w:rPr>
        <w:t xml:space="preserve">Strip-Out &amp; Make-Safe</w:t>
      </w:r>
    </w:p>
    <w:p>
      <w:pPr>
        <w:spacing w:after="120" w:before="0"/>
      </w:pPr>
      <w:r>
        <w:rPr>
          <w:rFonts w:ascii="Arial" w:cs="Arial" w:eastAsia="Arial" w:hAnsi="Arial"/>
          <w:color w:val="3D3D3D"/>
          <w:sz w:val="22"/>
          <w:szCs w:val="22"/>
        </w:rPr>
        <w:t xml:space="preserve">SPM can manage full strip-out works including removal and make-safe of electrical fittings, light fixtures, and data points (in coordination with a licensed electrician where required), removal and disposal of furniture, fixtures, and fittings, and strip to structural substrate ready for new works. This eliminates the delay gap that typically occurs between a demolition subcontractor finishing and the flooring trade starting.</w:t>
      </w:r>
    </w:p>
    <w:p>
      <w:pPr>
        <w:spacing w:after="80" w:before="0"/>
      </w:pPr>
    </w:p>
    <w:p>
      <w:pPr>
        <w:pStyle w:val="Heading2"/>
        <w:spacing w:after="60" w:before="240"/>
      </w:pPr>
      <w:r>
        <w:rPr>
          <w:rFonts w:ascii="Arial" w:cs="Arial" w:eastAsia="Arial" w:hAnsi="Arial"/>
          <w:b/>
          <w:bCs/>
          <w:color w:val="2E75B6"/>
          <w:sz w:val="24"/>
          <w:szCs w:val="24"/>
        </w:rPr>
        <w:t xml:space="preserve">Mould Remediation &amp; Damp Treatment</w:t>
      </w:r>
    </w:p>
    <w:p>
      <w:pPr>
        <w:spacing w:after="120" w:before="0"/>
      </w:pPr>
      <w:r>
        <w:rPr>
          <w:rFonts w:ascii="Arial" w:cs="Arial" w:eastAsia="Arial" w:hAnsi="Arial"/>
          <w:color w:val="3D3D3D"/>
          <w:sz w:val="22"/>
          <w:szCs w:val="22"/>
        </w:rPr>
        <w:t xml:space="preserve">Where existing conditions include moisture ingress, rising damp, or mould growth — common in older correctional stock — SPM provides full remediation including substrate treatment, damp course installation, and moisture barrier membranes prior to flooring installation. This prevents callbacks and protects the asset for the long term.</w:t>
      </w:r>
    </w:p>
    <w:p>
      <w:pPr>
        <w:spacing w:after="80" w:before="0"/>
      </w:pPr>
    </w:p>
    <w:p>
      <w:pPr>
        <w:pStyle w:val="Heading2"/>
        <w:spacing w:after="60" w:before="240"/>
      </w:pPr>
      <w:r>
        <w:rPr>
          <w:rFonts w:ascii="Arial" w:cs="Arial" w:eastAsia="Arial" w:hAnsi="Arial"/>
          <w:b/>
          <w:bCs/>
          <w:color w:val="2E75B6"/>
          <w:sz w:val="24"/>
          <w:szCs w:val="24"/>
        </w:rPr>
        <w:t xml:space="preserve">Wall &amp; Door Protection</w:t>
      </w:r>
    </w:p>
    <w:p>
      <w:pPr>
        <w:spacing w:after="120" w:before="0"/>
      </w:pPr>
      <w:r>
        <w:rPr>
          <w:rFonts w:ascii="Arial" w:cs="Arial" w:eastAsia="Arial" w:hAnsi="Arial"/>
          <w:color w:val="3D3D3D"/>
          <w:sz w:val="22"/>
          <w:szCs w:val="22"/>
        </w:rPr>
        <w:t xml:space="preserve">SPM installs a complete range of wall and door protection systems, including corner guards, crash rails, bump rails, door edge protection, and kick plates. These are specified for high-traffic institutional environments and can be selected for both standard and anti-ligature duty ratings. Acoustic wall panels are also within our scope, providing a single source for all wall finishes within a space.</w:t>
      </w:r>
    </w:p>
    <w:p>
      <w:pPr>
        <w:spacing w:after="240" w:before="0"/>
      </w:pPr>
    </w:p>
    <w:p>
      <w:pPr>
        <w:pStyle w:val="Heading1"/>
        <w:spacing w:after="80" w:before="320"/>
      </w:pPr>
      <w:r>
        <w:rPr>
          <w:rFonts w:ascii="Arial" w:cs="Arial" w:eastAsia="Arial" w:hAnsi="Arial"/>
          <w:b/>
          <w:bCs/>
          <w:color w:val="1B3A5C"/>
          <w:sz w:val="28"/>
          <w:szCs w:val="28"/>
        </w:rPr>
        <w:t xml:space="preserve">5.  Quality &amp; Compliance</w:t>
      </w:r>
    </w:p>
    <w:p>
      <w:pPr>
        <w:pBdr>
          <w:bottom w:val="single" w:color="2E75B6" w:sz="8" w:space="1"/>
        </w:pBdr>
        <w:spacing w:after="120" w:before="0"/>
      </w:pPr>
    </w:p>
    <w:p>
      <w:pPr>
        <w:spacing w:after="80" w:before="0"/>
      </w:pPr>
    </w:p>
    <w:p>
      <w:pPr>
        <w:spacing w:after="120" w:before="0"/>
      </w:pPr>
      <w:r>
        <w:rPr>
          <w:rFonts w:ascii="Arial" w:cs="Arial" w:eastAsia="Arial" w:hAnsi="Arial"/>
          <w:color w:val="3D3D3D"/>
          <w:sz w:val="22"/>
          <w:szCs w:val="22"/>
        </w:rPr>
        <w:t xml:space="preserve">SPM's quality management approach is built around the following commitments:</w:t>
      </w:r>
    </w:p>
    <w:p>
      <w:pPr>
        <w:spacing w:after="80" w:before="0"/>
      </w:pPr>
    </w:p>
    <w:p>
      <w:pPr>
        <w:pStyle w:val="ListParagraph"/>
        <w:numPr>
          <w:ilvl w:val="0"/>
          <w:numId w:val="2"/>
        </w:numPr>
        <w:spacing w:after="80" w:before="0"/>
      </w:pPr>
      <w:r>
        <w:rPr>
          <w:rFonts w:ascii="Arial" w:cs="Arial" w:eastAsia="Arial" w:hAnsi="Arial"/>
          <w:color w:val="3D3D3D"/>
          <w:sz w:val="22"/>
          <w:szCs w:val="22"/>
        </w:rPr>
        <w:t xml:space="preserve">All installations comply with relevant Australian Standards (AS 1884, AS 4586, and applicable sections of the NCC/BCA)</w:t>
      </w:r>
    </w:p>
    <w:p>
      <w:pPr>
        <w:pStyle w:val="ListParagraph"/>
        <w:numPr>
          <w:ilvl w:val="0"/>
          <w:numId w:val="2"/>
        </w:numPr>
        <w:spacing w:after="80" w:before="0"/>
      </w:pPr>
      <w:r>
        <w:rPr>
          <w:rFonts w:ascii="Arial" w:cs="Arial" w:eastAsia="Arial" w:hAnsi="Arial"/>
          <w:color w:val="3D3D3D"/>
          <w:sz w:val="22"/>
          <w:szCs w:val="22"/>
        </w:rPr>
        <w:t xml:space="preserve">Manufacturer-specified subfloor preparation is followed in every case, protecting product warranties</w:t>
      </w:r>
    </w:p>
    <w:p>
      <w:pPr>
        <w:pStyle w:val="ListParagraph"/>
        <w:numPr>
          <w:ilvl w:val="0"/>
          <w:numId w:val="2"/>
        </w:numPr>
        <w:spacing w:after="80" w:before="0"/>
      </w:pPr>
      <w:r>
        <w:rPr>
          <w:rFonts w:ascii="Arial" w:cs="Arial" w:eastAsia="Arial" w:hAnsi="Arial"/>
          <w:color w:val="3D3D3D"/>
          <w:sz w:val="22"/>
          <w:szCs w:val="22"/>
        </w:rPr>
        <w:t xml:space="preserve">ITP (Inspection &amp; Test Plan) provided on all projects — documenting hold points, witness points, and sign-off procedure</w:t>
      </w:r>
    </w:p>
    <w:p>
      <w:pPr>
        <w:pStyle w:val="ListParagraph"/>
        <w:numPr>
          <w:ilvl w:val="0"/>
          <w:numId w:val="2"/>
        </w:numPr>
        <w:spacing w:after="80" w:before="0"/>
      </w:pPr>
      <w:r>
        <w:rPr>
          <w:rFonts w:ascii="Arial" w:cs="Arial" w:eastAsia="Arial" w:hAnsi="Arial"/>
          <w:color w:val="3D3D3D"/>
          <w:sz w:val="22"/>
          <w:szCs w:val="22"/>
        </w:rPr>
        <w:t xml:space="preserve">SWMS prepared for site-specific conditions, including working in secure environments and operating industrial grinding equipment</w:t>
      </w:r>
    </w:p>
    <w:p>
      <w:pPr>
        <w:pStyle w:val="ListParagraph"/>
        <w:numPr>
          <w:ilvl w:val="0"/>
          <w:numId w:val="2"/>
        </w:numPr>
        <w:spacing w:after="80" w:before="0"/>
      </w:pPr>
      <w:r>
        <w:rPr>
          <w:rFonts w:ascii="Arial" w:cs="Arial" w:eastAsia="Arial" w:hAnsi="Arial"/>
          <w:color w:val="3D3D3D"/>
          <w:sz w:val="22"/>
          <w:szCs w:val="22"/>
        </w:rPr>
        <w:t xml:space="preserve">All personnel inducted to site-specific requirements; White Card, Working with Vulnerable People checks, and correctional facility clearances maintained as required</w:t>
      </w:r>
    </w:p>
    <w:p>
      <w:pPr>
        <w:pStyle w:val="ListParagraph"/>
        <w:numPr>
          <w:ilvl w:val="0"/>
          <w:numId w:val="2"/>
        </w:numPr>
        <w:spacing w:after="80" w:before="0"/>
      </w:pPr>
      <w:r>
        <w:rPr>
          <w:rFonts w:ascii="Arial" w:cs="Arial" w:eastAsia="Arial" w:hAnsi="Arial"/>
          <w:color w:val="3D3D3D"/>
          <w:sz w:val="22"/>
          <w:szCs w:val="22"/>
        </w:rPr>
        <w:t xml:space="preserve">Tool and material register maintained on every correctional project; no tools left unsecured or unaccounted for</w:t>
      </w:r>
    </w:p>
    <w:p>
      <w:pPr>
        <w:spacing w:after="240" w:before="0"/>
      </w:pPr>
    </w:p>
    <w:p>
      <w:pPr>
        <w:pStyle w:val="Heading1"/>
        <w:spacing w:after="80" w:before="320"/>
      </w:pPr>
      <w:r>
        <w:rPr>
          <w:rFonts w:ascii="Arial" w:cs="Arial" w:eastAsia="Arial" w:hAnsi="Arial"/>
          <w:b/>
          <w:bCs/>
          <w:color w:val="1B3A5C"/>
          <w:sz w:val="28"/>
          <w:szCs w:val="28"/>
        </w:rPr>
        <w:t xml:space="preserve">6.  Key Personnel</w:t>
      </w:r>
    </w:p>
    <w:p>
      <w:pPr>
        <w:pBdr>
          <w:bottom w:val="single" w:color="2E75B6" w:sz="8" w:space="1"/>
        </w:pBdr>
        <w:spacing w:after="120" w:before="0"/>
      </w:pPr>
    </w:p>
    <w:p>
      <w:pPr>
        <w:spacing w:after="80" w:before="0"/>
      </w:pPr>
    </w:p>
    <w:p>
      <w:pPr>
        <w:spacing w:after="120" w:before="0"/>
      </w:pPr>
      <w:r>
        <w:rPr>
          <w:rFonts w:ascii="Arial" w:cs="Arial" w:eastAsia="Arial" w:hAnsi="Arial"/>
          <w:color w:val="3D3D3D"/>
          <w:sz w:val="22"/>
          <w:szCs w:val="22"/>
        </w:rPr>
        <w:t xml:space="preserve">[Insert: Project Director / Operations Manager name, qualifications, and relevant experience summary]</w:t>
      </w:r>
    </w:p>
    <w:p>
      <w:pPr>
        <w:spacing w:after="80" w:before="0"/>
      </w:pPr>
    </w:p>
    <w:p>
      <w:pPr>
        <w:spacing w:after="120" w:before="0"/>
      </w:pPr>
      <w:r>
        <w:rPr>
          <w:rFonts w:ascii="Arial" w:cs="Arial" w:eastAsia="Arial" w:hAnsi="Arial"/>
          <w:color w:val="3D3D3D"/>
          <w:sz w:val="22"/>
          <w:szCs w:val="22"/>
        </w:rPr>
        <w:t xml:space="preserve">[Insert: Site Supervisor name, qualifications, and relevant correctional facility experience]</w:t>
      </w:r>
    </w:p>
    <w:p>
      <w:pPr>
        <w:spacing w:after="240" w:before="0"/>
      </w:pPr>
    </w:p>
    <w:p>
      <w:pPr>
        <w:pStyle w:val="Heading1"/>
        <w:spacing w:after="80" w:before="320"/>
      </w:pPr>
      <w:r>
        <w:rPr>
          <w:rFonts w:ascii="Arial" w:cs="Arial" w:eastAsia="Arial" w:hAnsi="Arial"/>
          <w:b/>
          <w:bCs/>
          <w:color w:val="1B3A5C"/>
          <w:sz w:val="28"/>
          <w:szCs w:val="28"/>
        </w:rPr>
        <w:t xml:space="preserve">7.  Project References</w:t>
      </w:r>
    </w:p>
    <w:p>
      <w:pPr>
        <w:pBdr>
          <w:bottom w:val="single" w:color="2E75B6" w:sz="8" w:space="1"/>
        </w:pBdr>
        <w:spacing w:after="120" w:before="0"/>
      </w:pPr>
    </w:p>
    <w:p>
      <w:pPr>
        <w:spacing w:after="80" w:before="0"/>
      </w:pPr>
    </w:p>
    <w:p>
      <w:pPr>
        <w:spacing w:after="120" w:before="0"/>
      </w:pPr>
      <w:r>
        <w:rPr>
          <w:rFonts w:ascii="Arial" w:cs="Arial" w:eastAsia="Arial" w:hAnsi="Arial"/>
          <w:color w:val="3D3D3D"/>
          <w:sz w:val="22"/>
          <w:szCs w:val="22"/>
        </w:rPr>
        <w:t xml:space="preserve">The following references are available from previous correctional and government institutional projects. Full reference contacts available upon request.</w:t>
      </w:r>
    </w:p>
    <w:p>
      <w:pPr>
        <w:spacing w:after="80" w:before="0"/>
      </w:pPr>
    </w:p>
    <w:p>
      <w:pPr>
        <w:spacing w:after="120" w:before="0"/>
      </w:pPr>
      <w:r>
        <w:rPr>
          <w:rFonts w:ascii="Arial" w:cs="Arial" w:eastAsia="Arial" w:hAnsi="Arial"/>
          <w:color w:val="3D3D3D"/>
          <w:sz w:val="22"/>
          <w:szCs w:val="22"/>
        </w:rPr>
        <w:t xml:space="preserve">[Project reference 1 — Facility name, scope, value, client contact]</w:t>
      </w:r>
    </w:p>
    <w:p>
      <w:pPr>
        <w:spacing w:after="80" w:before="0"/>
      </w:pPr>
    </w:p>
    <w:p>
      <w:pPr>
        <w:spacing w:after="120" w:before="0"/>
      </w:pPr>
      <w:r>
        <w:rPr>
          <w:rFonts w:ascii="Arial" w:cs="Arial" w:eastAsia="Arial" w:hAnsi="Arial"/>
          <w:color w:val="3D3D3D"/>
          <w:sz w:val="22"/>
          <w:szCs w:val="22"/>
        </w:rPr>
        <w:t xml:space="preserve">[Project reference 2 — Facility name, scope, value, client contact]</w:t>
      </w:r>
    </w:p>
    <w:p>
      <w:pPr>
        <w:spacing w:after="80" w:before="0"/>
      </w:pPr>
    </w:p>
    <w:p>
      <w:pPr>
        <w:spacing w:after="120" w:before="0"/>
      </w:pPr>
      <w:r>
        <w:rPr>
          <w:rFonts w:ascii="Arial" w:cs="Arial" w:eastAsia="Arial" w:hAnsi="Arial"/>
          <w:color w:val="3D3D3D"/>
          <w:sz w:val="22"/>
          <w:szCs w:val="22"/>
        </w:rPr>
        <w:t xml:space="preserve">[Project reference 3 — Facility name, scope, value, client contact]</w:t>
      </w:r>
    </w:p>
    <w:p>
      <w:pPr>
        <w:spacing w:after="240" w:before="0"/>
      </w:pPr>
    </w:p>
    <w:p>
      <w:pPr>
        <w:pBdr>
          <w:bottom w:val="single" w:color="1B3A5C" w:sz="8" w:space="1"/>
        </w:pBdr>
        <w:spacing w:after="120" w:before="0"/>
      </w:pPr>
    </w:p>
    <w:p>
      <w:pPr>
        <w:spacing w:after="160" w:before="0"/>
      </w:pPr>
    </w:p>
    <w:p>
      <w:pPr>
        <w:spacing w:after="60" w:before="0"/>
        <w:jc w:val="center"/>
      </w:pPr>
      <w:r>
        <w:rPr>
          <w:rFonts w:ascii="Arial" w:cs="Arial" w:eastAsia="Arial" w:hAnsi="Arial"/>
          <w:b/>
          <w:bCs/>
          <w:color w:val="1B3A5C"/>
          <w:sz w:val="20"/>
          <w:szCs w:val="20"/>
        </w:rPr>
        <w:t xml:space="preserve">SPM — Commercial Flooring &amp; Interior Protection</w:t>
      </w:r>
    </w:p>
    <w:p>
      <w:pPr>
        <w:spacing w:after="60" w:before="0"/>
        <w:jc w:val="center"/>
      </w:pPr>
      <w:r>
        <w:rPr>
          <w:rFonts w:ascii="Arial" w:cs="Arial" w:eastAsia="Arial" w:hAnsi="Arial"/>
          <w:color w:val="888888"/>
          <w:sz w:val="19"/>
          <w:szCs w:val="19"/>
        </w:rPr>
        <w:t xml:space="preserve">[phone]  |  [email]  |  [website]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SPM — Flooring &amp; Interior Protection Specialists  |  Confidential Capabilities Statement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Arial" w:cs="Arial" w:eastAsia="Arial" w:hAnsi="Arial"/>
      <w:b/>
      <w:bCs/>
      <w:color w:val="1B3A5C"/>
      <w:sz w:val="28"/>
      <w:szCs w:val="28"/>
    </w:rPr>
  </w:style>
  <w:style w:type="paragraph" w:styleId="Heading2">
    <w:name w:val="Heading 2"/>
    <w:basedOn w:val="Normal"/>
    <w:next w:val="Normal"/>
    <w:qFormat/>
    <w:pPr>
      <w:spacing w:after="6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2026-05-28T08:20:42.718Z</dcterms:created>
  <dcterms:modified xsi:type="dcterms:W3CDTF">2026-05-28T08:20:42.718Z</dcterms:modified>
</cp:coreProperties>
</file>

<file path=docProps/custom.xml><?xml version="1.0" encoding="utf-8"?>
<Properties xmlns="http://schemas.openxmlformats.org/officeDocument/2006/custom-properties" xmlns:vt="http://schemas.openxmlformats.org/officeDocument/2006/docPropsVTypes"/>
</file>