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c>
          <w:tcPr>
            <w:tcW w:type="dxa" w:w="2000"/>
            <w:tcBorders>
              <w:top w:val="none" w:color="FFFFFF" w:sz="0"/>
              <w:left w:val="none" w:color="FFFFFF" w:sz="0"/>
              <w:bottom w:val="none" w:color="FFFFFF" w:sz="0"/>
              <w:right w:val="none" w:color="FFFFFF" w:sz="0"/>
            </w:tcBorders>
            <w:tcMar>
              <w:top w:type="dxa" w:w="0"/>
              <w:left w:type="dxa" w:w="0"/>
              <w:bottom w:type="dxa" w:w="0"/>
              <w:right w:type="dxa" w:w="200"/>
            </w:tcMar>
            <w:vAlign w:val="center"/>
          </w:tcPr>
          <w:p>
            <w:r>
              <w:drawing>
                <wp:inline distT="0" distB="0" distL="0" distR="0">
                  <wp:extent cx="1238250" cy="685800"/>
                  <wp:effectExtent t="0" r="0" b="0" l="0"/>
                  <wp:docPr id="1" name="SPMLogo" descr="SPM Commercial Flooring logo" title="SPM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238250" cy="685800"/>
                          </a:xfrm>
                          <a:prstGeom prst="rect">
                            <a:avLst/>
                          </a:prstGeom>
                        </pic:spPr>
                      </pic:pic>
                    </a:graphicData>
                  </a:graphic>
                </wp:inline>
              </w:drawing>
            </w:r>
          </w:p>
        </w:tc>
        <w:tc>
          <w:tcPr>
            <w:tcW w:type="dxa" w:w="7638"/>
            <w:tcBorders>
              <w:top w:val="none" w:color="FFFFFF" w:sz="0"/>
              <w:left w:val="none" w:color="FFFFFF" w:sz="0"/>
              <w:bottom w:val="none" w:color="FFFFFF" w:sz="0"/>
              <w:right w:val="none" w:color="FFFFFF" w:sz="0"/>
            </w:tcBorders>
            <w:tcMar>
              <w:top w:type="dxa" w:w="0"/>
              <w:left w:type="dxa" w:w="160"/>
              <w:bottom w:type="dxa" w:w="0"/>
              <w:right w:type="dxa" w:w="0"/>
            </w:tcMar>
            <w:vAlign w:val="center"/>
          </w:tcPr>
          <w:p>
            <w:pPr>
              <w:spacing w:after="60" w:before="0"/>
            </w:pPr>
            <w:r>
              <w:rPr>
                <w:rFonts w:ascii="Arial" w:cs="Arial" w:eastAsia="Arial" w:hAnsi="Arial"/>
                <w:b/>
                <w:bCs/>
                <w:color w:val="1B3A5C"/>
                <w:sz w:val="30"/>
                <w:szCs w:val="30"/>
              </w:rPr>
              <w:t xml:space="preserve">FLOORING &amp; INTERIOR PROTECTION</w:t>
            </w:r>
          </w:p>
          <w:p>
            <w:pPr>
              <w:spacing w:after="60" w:before="0"/>
            </w:pPr>
            <w:r>
              <w:rPr>
                <w:rFonts w:ascii="Arial" w:cs="Arial" w:eastAsia="Arial" w:hAnsi="Arial"/>
                <w:color w:val="2E75B6"/>
                <w:sz w:val="22"/>
                <w:szCs w:val="22"/>
              </w:rPr>
              <w:t xml:space="preserve">Capabilities Statement — SPM Commercial Flooring</w:t>
            </w:r>
          </w:p>
          <w:p>
            <w:pPr>
              <w:spacing w:after="0" w:before="0"/>
            </w:pPr>
            <w:r>
              <w:rPr>
                <w:rFonts w:ascii="Arial" w:cs="Arial" w:eastAsia="Arial" w:hAnsi="Arial"/>
                <w:i/>
                <w:iCs/>
                <w:color w:val="666666"/>
                <w:sz w:val="20"/>
                <w:szCs w:val="20"/>
              </w:rPr>
              <w:t xml:space="preserve">Prepared for Corrective Services NSW</w:t>
            </w:r>
          </w:p>
        </w:tc>
      </w:tr>
    </w:tbl>
    <w:p>
      <w:pPr>
        <w:spacing w:after="200" w:before="0"/>
      </w:pPr>
    </w:p>
    <w:p>
      <w:pPr>
        <w:pBdr>
          <w:bottom w:val="single" w:color="1B3A5C" w:sz="6" w:space="1"/>
        </w:pBdr>
        <w:spacing w:after="100" w:before="0"/>
      </w:pPr>
    </w:p>
    <w:p>
      <w:pPr>
        <w:spacing w:after="280" w:before="0"/>
      </w:pPr>
    </w:p>
    <w:p>
      <w:pPr>
        <w:pStyle w:val="Heading1"/>
        <w:spacing w:after="60" w:before="280"/>
      </w:pPr>
      <w:r>
        <w:rPr>
          <w:rFonts w:ascii="Arial" w:cs="Arial" w:eastAsia="Arial" w:hAnsi="Arial"/>
          <w:b/>
          <w:bCs/>
          <w:color w:val="1B3A5C"/>
          <w:sz w:val="26"/>
          <w:szCs w:val="26"/>
        </w:rPr>
        <w:t xml:space="preserve">1.  Company Profile</w:t>
      </w:r>
    </w:p>
    <w:p>
      <w:pPr>
        <w:pBdr>
          <w:bottom w:val="single" w:color="2E75B6" w:sz="6" w:space="1"/>
        </w:pBdr>
        <w:spacing w:after="100" w:before="0"/>
      </w:pPr>
    </w:p>
    <w:p>
      <w:pPr>
        <w:spacing w:after="80" w:before="0"/>
      </w:pPr>
    </w:p>
    <w:p>
      <w:pPr>
        <w:tabs>
          <w:tab w:val="left" w:pos="2200"/>
        </w:tabs>
        <w:spacing w:after="80" w:before="0"/>
      </w:pPr>
      <w:r>
        <w:rPr>
          <w:rFonts w:ascii="Arial" w:cs="Arial" w:eastAsia="Arial" w:hAnsi="Arial"/>
          <w:b/>
          <w:bCs/>
          <w:color w:val="1B3A5C"/>
          <w:sz w:val="21"/>
          <w:szCs w:val="21"/>
        </w:rPr>
        <w:t xml:space="preserve">Legal name:</w:t>
      </w:r>
      <w:r>
        <w:rPr>
          <w:rFonts w:ascii="Arial" w:cs="Arial" w:eastAsia="Arial" w:hAnsi="Arial"/>
          <w:color w:val="3D3D3D"/>
          <w:sz w:val="21"/>
          <w:szCs w:val="21"/>
        </w:rPr>
        <w:t xml:space="preserve">	SPM Commercial Flooring</w:t>
      </w:r>
    </w:p>
    <w:p>
      <w:pPr>
        <w:tabs>
          <w:tab w:val="left" w:pos="2200"/>
        </w:tabs>
        <w:spacing w:after="80" w:before="0"/>
      </w:pPr>
      <w:r>
        <w:rPr>
          <w:rFonts w:ascii="Arial" w:cs="Arial" w:eastAsia="Arial" w:hAnsi="Arial"/>
          <w:b/>
          <w:bCs/>
          <w:color w:val="1B3A5C"/>
          <w:sz w:val="21"/>
          <w:szCs w:val="21"/>
        </w:rPr>
        <w:t xml:space="preserve">ABN:</w:t>
      </w:r>
      <w:r>
        <w:rPr>
          <w:rFonts w:ascii="Arial" w:cs="Arial" w:eastAsia="Arial" w:hAnsi="Arial"/>
          <w:color w:val="3D3D3D"/>
          <w:sz w:val="21"/>
          <w:szCs w:val="21"/>
        </w:rPr>
        <w:t xml:space="preserve">	85 614 157 596</w:t>
      </w:r>
    </w:p>
    <w:p>
      <w:pPr>
        <w:tabs>
          <w:tab w:val="left" w:pos="2200"/>
        </w:tabs>
        <w:spacing w:after="80" w:before="0"/>
      </w:pPr>
      <w:r>
        <w:rPr>
          <w:rFonts w:ascii="Arial" w:cs="Arial" w:eastAsia="Arial" w:hAnsi="Arial"/>
          <w:b/>
          <w:bCs/>
          <w:color w:val="1B3A5C"/>
          <w:sz w:val="21"/>
          <w:szCs w:val="21"/>
        </w:rPr>
        <w:t xml:space="preserve">Licence No.:</w:t>
      </w:r>
      <w:r>
        <w:rPr>
          <w:rFonts w:ascii="Arial" w:cs="Arial" w:eastAsia="Arial" w:hAnsi="Arial"/>
          <w:color w:val="3D3D3D"/>
          <w:sz w:val="21"/>
          <w:szCs w:val="21"/>
        </w:rPr>
        <w:t xml:space="preserve">	[Contractor Licence No. XXXXXXX]</w:t>
      </w:r>
    </w:p>
    <w:p>
      <w:pPr>
        <w:tabs>
          <w:tab w:val="left" w:pos="2200"/>
        </w:tabs>
        <w:spacing w:after="80" w:before="0"/>
      </w:pPr>
      <w:r>
        <w:rPr>
          <w:rFonts w:ascii="Arial" w:cs="Arial" w:eastAsia="Arial" w:hAnsi="Arial"/>
          <w:b/>
          <w:bCs/>
          <w:color w:val="1B3A5C"/>
          <w:sz w:val="21"/>
          <w:szCs w:val="21"/>
        </w:rPr>
        <w:t xml:space="preserve">Public Liability:</w:t>
      </w:r>
      <w:r>
        <w:rPr>
          <w:rFonts w:ascii="Arial" w:cs="Arial" w:eastAsia="Arial" w:hAnsi="Arial"/>
          <w:color w:val="3D3D3D"/>
          <w:sz w:val="21"/>
          <w:szCs w:val="21"/>
        </w:rPr>
        <w:t xml:space="preserve">	[$20,000,000 — certificate available on request]</w:t>
      </w:r>
    </w:p>
    <w:p>
      <w:pPr>
        <w:tabs>
          <w:tab w:val="left" w:pos="2200"/>
        </w:tabs>
        <w:spacing w:after="80" w:before="0"/>
      </w:pPr>
      <w:r>
        <w:rPr>
          <w:rFonts w:ascii="Arial" w:cs="Arial" w:eastAsia="Arial" w:hAnsi="Arial"/>
          <w:b/>
          <w:bCs/>
          <w:color w:val="1B3A5C"/>
          <w:sz w:val="21"/>
          <w:szCs w:val="21"/>
        </w:rPr>
        <w:t xml:space="preserve">Workers Comp.:</w:t>
      </w:r>
      <w:r>
        <w:rPr>
          <w:rFonts w:ascii="Arial" w:cs="Arial" w:eastAsia="Arial" w:hAnsi="Arial"/>
          <w:color w:val="3D3D3D"/>
          <w:sz w:val="21"/>
          <w:szCs w:val="21"/>
        </w:rPr>
        <w:t xml:space="preserve">	[Current policy — certificate available on request]</w:t>
      </w:r>
    </w:p>
    <w:p>
      <w:pPr>
        <w:tabs>
          <w:tab w:val="left" w:pos="2200"/>
        </w:tabs>
        <w:spacing w:after="80" w:before="0"/>
      </w:pPr>
      <w:r>
        <w:rPr>
          <w:rFonts w:ascii="Arial" w:cs="Arial" w:eastAsia="Arial" w:hAnsi="Arial"/>
          <w:b/>
          <w:bCs/>
          <w:color w:val="1B3A5C"/>
          <w:sz w:val="21"/>
          <w:szCs w:val="21"/>
        </w:rPr>
        <w:t xml:space="preserve">Office:</w:t>
      </w:r>
      <w:r>
        <w:rPr>
          <w:rFonts w:ascii="Arial" w:cs="Arial" w:eastAsia="Arial" w:hAnsi="Arial"/>
          <w:color w:val="3D3D3D"/>
          <w:sz w:val="21"/>
          <w:szCs w:val="21"/>
        </w:rPr>
        <w:t xml:space="preserve">	Newcastle &amp; Northern Rivers</w:t>
      </w:r>
    </w:p>
    <w:p>
      <w:pPr>
        <w:tabs>
          <w:tab w:val="left" w:pos="2200"/>
        </w:tabs>
        <w:spacing w:after="80" w:before="0"/>
      </w:pPr>
      <w:r>
        <w:rPr>
          <w:rFonts w:ascii="Arial" w:cs="Arial" w:eastAsia="Arial" w:hAnsi="Arial"/>
          <w:b/>
          <w:bCs/>
          <w:color w:val="1B3A5C"/>
          <w:sz w:val="21"/>
          <w:szCs w:val="21"/>
        </w:rPr>
        <w:t xml:space="preserve">Work base:</w:t>
      </w:r>
      <w:r>
        <w:rPr>
          <w:rFonts w:ascii="Arial" w:cs="Arial" w:eastAsia="Arial" w:hAnsi="Arial"/>
          <w:color w:val="3D3D3D"/>
          <w:sz w:val="21"/>
          <w:szCs w:val="21"/>
        </w:rPr>
        <w:t xml:space="preserve">	Throughout NSW</w:t>
      </w:r>
    </w:p>
    <w:p>
      <w:pPr>
        <w:spacing w:after="160" w:before="0"/>
      </w:pPr>
    </w:p>
    <w:p>
      <w:pPr>
        <w:spacing w:after="120" w:before="0"/>
      </w:pPr>
      <w:r>
        <w:rPr>
          <w:rFonts w:ascii="Arial" w:cs="Arial" w:eastAsia="Arial" w:hAnsi="Arial"/>
          <w:color w:val="3D3D3D"/>
          <w:sz w:val="21"/>
          <w:szCs w:val="21"/>
        </w:rPr>
        <w:t xml:space="preserve">SPM is a commercial flooring and interior protection contractor operating in NSW. The company delivers flooring installation, subfloor preparation, wall and door protection, and associated strip-out works for correctional facilities, health, education and government infrastructure. All core trades are self-delivered by SPM's direct workforce.</w:t>
      </w:r>
    </w:p>
    <w:p>
      <w:pPr>
        <w:spacing w:after="240" w:before="0"/>
      </w:pPr>
    </w:p>
    <w:p>
      <w:pPr>
        <w:pStyle w:val="Heading1"/>
        <w:spacing w:after="60" w:before="280"/>
      </w:pPr>
      <w:r>
        <w:rPr>
          <w:rFonts w:ascii="Arial" w:cs="Arial" w:eastAsia="Arial" w:hAnsi="Arial"/>
          <w:b/>
          <w:bCs/>
          <w:color w:val="1B3A5C"/>
          <w:sz w:val="26"/>
          <w:szCs w:val="26"/>
        </w:rPr>
        <w:t xml:space="preserve">2.  Relevant Experience</w:t>
      </w:r>
    </w:p>
    <w:p>
      <w:pPr>
        <w:pBdr>
          <w:bottom w:val="single" w:color="2E75B6" w:sz="6" w:space="1"/>
        </w:pBdr>
        <w:spacing w:after="100" w:before="0"/>
      </w:pPr>
    </w:p>
    <w:p>
      <w:pPr>
        <w:spacing w:after="80" w:before="0"/>
      </w:pPr>
    </w:p>
    <w:p>
      <w:pPr>
        <w:spacing w:after="120" w:before="0"/>
      </w:pPr>
      <w:r>
        <w:rPr>
          <w:rFonts w:ascii="Arial" w:cs="Arial" w:eastAsia="Arial" w:hAnsi="Arial"/>
          <w:color w:val="3D3D3D"/>
          <w:sz w:val="21"/>
          <w:szCs w:val="21"/>
        </w:rPr>
        <w:t xml:space="preserve">SPM has delivered flooring and interior protection works across correctional facilities and secure institutional environments in NSW. Relevant experience includes:</w:t>
      </w:r>
    </w:p>
    <w:p>
      <w:pPr>
        <w:spacing w:after="120" w:before="0"/>
      </w:pPr>
    </w:p>
    <w:p>
      <w:pPr>
        <w:pStyle w:val="ListParagraph"/>
        <w:numPr>
          <w:ilvl w:val="0"/>
          <w:numId w:val="2"/>
        </w:numPr>
        <w:spacing w:after="80" w:before="0"/>
      </w:pPr>
      <w:r>
        <w:rPr>
          <w:rFonts w:ascii="Arial" w:cs="Arial" w:eastAsia="Arial" w:hAnsi="Arial"/>
          <w:color w:val="3D3D3D"/>
          <w:sz w:val="21"/>
          <w:szCs w:val="21"/>
        </w:rPr>
        <w:t xml:space="preserve">[Project name] — [Facility / location] — [Scope summary] — [Contract value] — [Year completed]</w:t>
      </w:r>
    </w:p>
    <w:p>
      <w:pPr>
        <w:pStyle w:val="ListParagraph"/>
        <w:numPr>
          <w:ilvl w:val="0"/>
          <w:numId w:val="2"/>
        </w:numPr>
        <w:spacing w:after="80" w:before="0"/>
      </w:pPr>
      <w:r>
        <w:rPr>
          <w:rFonts w:ascii="Arial" w:cs="Arial" w:eastAsia="Arial" w:hAnsi="Arial"/>
          <w:color w:val="3D3D3D"/>
          <w:sz w:val="21"/>
          <w:szCs w:val="21"/>
        </w:rPr>
        <w:t xml:space="preserve">[Project name] — [Facility / location] — [Scope summary] — [Contract value] — [Year completed]</w:t>
      </w:r>
    </w:p>
    <w:p>
      <w:pPr>
        <w:pStyle w:val="ListParagraph"/>
        <w:numPr>
          <w:ilvl w:val="0"/>
          <w:numId w:val="2"/>
        </w:numPr>
        <w:spacing w:after="80" w:before="0"/>
      </w:pPr>
      <w:r>
        <w:rPr>
          <w:rFonts w:ascii="Arial" w:cs="Arial" w:eastAsia="Arial" w:hAnsi="Arial"/>
          <w:color w:val="3D3D3D"/>
          <w:sz w:val="21"/>
          <w:szCs w:val="21"/>
        </w:rPr>
        <w:t xml:space="preserve">[Project name] — [Facility / location] — [Scope summary] — [Contract value] — [Year completed]</w:t>
      </w:r>
    </w:p>
    <w:p>
      <w:pPr>
        <w:spacing w:after="160" w:before="0"/>
      </w:pPr>
    </w:p>
    <w:p>
      <w:pPr>
        <w:spacing w:after="120" w:before="0"/>
      </w:pPr>
      <w:r>
        <w:rPr>
          <w:rFonts w:ascii="Arial" w:cs="Arial" w:eastAsia="Arial" w:hAnsi="Arial"/>
          <w:color w:val="3D3D3D"/>
          <w:sz w:val="21"/>
          <w:szCs w:val="21"/>
        </w:rPr>
        <w:t xml:space="preserve">SPM personnel hold current correctional facility clearances and are familiar with DCJNSW access and induction protocols, tool registers, and staged-delivery requirements in operational facilities.</w:t>
      </w:r>
    </w:p>
    <w:p>
      <w:pPr>
        <w:spacing w:after="240" w:before="0"/>
      </w:pPr>
    </w:p>
    <w:p>
      <w:pPr>
        <w:pStyle w:val="Heading1"/>
        <w:spacing w:after="60" w:before="280"/>
      </w:pPr>
      <w:r>
        <w:rPr>
          <w:rFonts w:ascii="Arial" w:cs="Arial" w:eastAsia="Arial" w:hAnsi="Arial"/>
          <w:b/>
          <w:bCs/>
          <w:color w:val="1B3A5C"/>
          <w:sz w:val="26"/>
          <w:szCs w:val="26"/>
        </w:rPr>
        <w:t xml:space="preserve">3.  Scope of Services</w:t>
      </w:r>
    </w:p>
    <w:p>
      <w:pPr>
        <w:pBdr>
          <w:bottom w:val="single" w:color="2E75B6" w:sz="6" w:space="1"/>
        </w:pBdr>
        <w:spacing w:after="100" w:before="0"/>
      </w:pPr>
    </w:p>
    <w:p>
      <w:pPr>
        <w:spacing w:after="80" w:before="0"/>
      </w:pPr>
    </w:p>
    <w:p>
      <w:pPr>
        <w:spacing w:after="120" w:before="0"/>
      </w:pPr>
      <w:r>
        <w:rPr>
          <w:rFonts w:ascii="Arial" w:cs="Arial" w:eastAsia="Arial" w:hAnsi="Arial"/>
          <w:color w:val="3D3D3D"/>
          <w:sz w:val="21"/>
          <w:szCs w:val="21"/>
        </w:rPr>
        <w:t xml:space="preserve">The following services are self-delivered by SPM. Works can be engaged as a full scope or in individual trade packages depending on project requirements.</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tblHeader/>
        </w:trPr>
        <w:tc>
          <w:tcPr>
            <w:tcW w:type="dxa" w:w="3000"/>
            <w:tcBorders>
              <w:top w:val="single" w:color="CCCCCC" w:sz="1"/>
              <w:left w:val="single" w:color="CCCCCC" w:sz="1"/>
              <w:bottom w:val="single" w:color="CCCCCC" w:sz="1"/>
              <w:right w:val="single" w:color="CCCCCC" w:sz="1"/>
            </w:tcBorders>
            <w:shd w:fill="1B3A5C" w:val="clear"/>
            <w:tcMar>
              <w:top w:type="dxa" w:w="80"/>
              <w:left w:type="dxa" w:w="140"/>
              <w:bottom w:type="dxa" w:w="80"/>
              <w:right w:type="dxa" w:w="80"/>
            </w:tcMar>
          </w:tcPr>
          <w:p>
            <w:r>
              <w:rPr>
                <w:rFonts w:ascii="Arial" w:cs="Arial" w:eastAsia="Arial" w:hAnsi="Arial"/>
                <w:b/>
                <w:bCs/>
                <w:color w:val="FFFFFF"/>
                <w:sz w:val="20"/>
                <w:szCs w:val="20"/>
              </w:rPr>
              <w:t xml:space="preserve">Service / Trade</w:t>
            </w:r>
          </w:p>
        </w:tc>
        <w:tc>
          <w:tcPr>
            <w:tcW w:type="dxa" w:w="6638"/>
            <w:tcBorders>
              <w:top w:val="single" w:color="CCCCCC" w:sz="1"/>
              <w:left w:val="single" w:color="CCCCCC" w:sz="1"/>
              <w:bottom w:val="single" w:color="CCCCCC" w:sz="1"/>
              <w:right w:val="single" w:color="CCCCCC" w:sz="1"/>
            </w:tcBorders>
            <w:shd w:fill="1B3A5C" w:val="clear"/>
            <w:tcMar>
              <w:top w:type="dxa" w:w="80"/>
              <w:left w:type="dxa" w:w="140"/>
              <w:bottom w:type="dxa" w:w="80"/>
              <w:right w:type="dxa" w:w="80"/>
            </w:tcMar>
          </w:tcPr>
          <w:p>
            <w:r>
              <w:rPr>
                <w:rFonts w:ascii="Arial" w:cs="Arial" w:eastAsia="Arial" w:hAnsi="Arial"/>
                <w:b/>
                <w:bCs/>
                <w:color w:val="FFFFFF"/>
                <w:sz w:val="20"/>
                <w:szCs w:val="20"/>
              </w:rPr>
              <w:t xml:space="preserve">Scope</w:t>
            </w:r>
          </w:p>
        </w:tc>
      </w:tr>
      <w:tr>
        <w:tc>
          <w:tcPr>
            <w:tcW w:type="dxa" w:w="3000"/>
            <w:tcBorders>
              <w:top w:val="single" w:color="CCCCCC" w:sz="1"/>
              <w:left w:val="single" w:color="CCCCCC" w:sz="1"/>
              <w:bottom w:val="single" w:color="CCCCCC" w:sz="1"/>
              <w:right w:val="single" w:color="CCCCCC" w:sz="1"/>
            </w:tcBorders>
            <w:shd w:fill="EDF4FB" w:val="clear"/>
            <w:tcMar>
              <w:top w:type="dxa" w:w="80"/>
              <w:left w:type="dxa" w:w="140"/>
              <w:bottom w:type="dxa" w:w="80"/>
              <w:right w:type="dxa" w:w="80"/>
            </w:tcMar>
          </w:tcPr>
          <w:p>
            <w:r>
              <w:rPr>
                <w:rFonts w:ascii="Arial" w:cs="Arial" w:eastAsia="Arial" w:hAnsi="Arial"/>
                <w:b/>
                <w:bCs/>
                <w:color w:val="1B3A5C"/>
                <w:sz w:val="20"/>
                <w:szCs w:val="20"/>
              </w:rPr>
              <w:t xml:space="preserve">Commercial Flooring</w:t>
            </w:r>
          </w:p>
        </w:tc>
        <w:tc>
          <w:tcPr>
            <w:tcW w:type="dxa" w:w="6638"/>
            <w:tcBorders>
              <w:top w:val="single" w:color="CCCCCC" w:sz="1"/>
              <w:left w:val="single" w:color="CCCCCC" w:sz="1"/>
              <w:bottom w:val="single" w:color="CCCCCC" w:sz="1"/>
              <w:right w:val="single" w:color="CCCCCC" w:sz="1"/>
            </w:tcBorders>
            <w:shd w:fill="EDF4FB" w:val="clear"/>
            <w:tcMar>
              <w:top w:type="dxa" w:w="80"/>
              <w:left w:type="dxa" w:w="140"/>
              <w:bottom w:type="dxa" w:w="80"/>
              <w:right w:type="dxa" w:w="80"/>
            </w:tcMar>
          </w:tcPr>
          <w:p>
            <w:r>
              <w:rPr>
                <w:rFonts w:ascii="Arial" w:cs="Arial" w:eastAsia="Arial" w:hAnsi="Arial"/>
                <w:b w:val="false"/>
                <w:bCs w:val="false"/>
                <w:color w:val="3D3D3D"/>
                <w:sz w:val="20"/>
                <w:szCs w:val="20"/>
              </w:rPr>
              <w:t xml:space="preserve">Vinyl sheet, safety flooring, LVT/LVP and carpet — including Altro, Polyflor, Interface and equivalent brands specified for institutional environments.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r>
              <w:rPr>
                <w:rFonts w:ascii="Arial" w:cs="Arial" w:eastAsia="Arial" w:hAnsi="Arial"/>
                <w:b/>
                <w:bCs/>
                <w:color w:val="1B3A5C"/>
                <w:sz w:val="20"/>
                <w:szCs w:val="20"/>
              </w:rPr>
              <w:t xml:space="preserve">Sports Flooring</w:t>
            </w:r>
          </w:p>
        </w:tc>
        <w:tc>
          <w:tcPr>
            <w:tcW w:type="dxa" w:w="66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r>
              <w:rPr>
                <w:rFonts w:ascii="Arial" w:cs="Arial" w:eastAsia="Arial" w:hAnsi="Arial"/>
                <w:b w:val="false"/>
                <w:bCs w:val="false"/>
                <w:color w:val="3D3D3D"/>
                <w:sz w:val="20"/>
                <w:szCs w:val="20"/>
              </w:rPr>
              <w:t xml:space="preserve">Supply and installation of commercial sports flooring systems for multipurpose courts, recreation areas and gymnasiums.</w:t>
            </w:r>
          </w:p>
        </w:tc>
      </w:tr>
      <w:tr>
        <w:tc>
          <w:tcPr>
            <w:tcW w:type="dxa" w:w="3000"/>
            <w:tcBorders>
              <w:top w:val="single" w:color="CCCCCC" w:sz="1"/>
              <w:left w:val="single" w:color="CCCCCC" w:sz="1"/>
              <w:bottom w:val="single" w:color="CCCCCC" w:sz="1"/>
              <w:right w:val="single" w:color="CCCCCC" w:sz="1"/>
            </w:tcBorders>
            <w:shd w:fill="EDF4FB" w:val="clear"/>
            <w:tcMar>
              <w:top w:type="dxa" w:w="80"/>
              <w:left w:type="dxa" w:w="140"/>
              <w:bottom w:type="dxa" w:w="80"/>
              <w:right w:type="dxa" w:w="80"/>
            </w:tcMar>
          </w:tcPr>
          <w:p>
            <w:r>
              <w:rPr>
                <w:rFonts w:ascii="Arial" w:cs="Arial" w:eastAsia="Arial" w:hAnsi="Arial"/>
                <w:b/>
                <w:bCs/>
                <w:color w:val="1B3A5C"/>
                <w:sz w:val="20"/>
                <w:szCs w:val="20"/>
              </w:rPr>
              <w:t xml:space="preserve">Wall Vinyl &amp; Cladding</w:t>
            </w:r>
          </w:p>
        </w:tc>
        <w:tc>
          <w:tcPr>
            <w:tcW w:type="dxa" w:w="6638"/>
            <w:tcBorders>
              <w:top w:val="single" w:color="CCCCCC" w:sz="1"/>
              <w:left w:val="single" w:color="CCCCCC" w:sz="1"/>
              <w:bottom w:val="single" w:color="CCCCCC" w:sz="1"/>
              <w:right w:val="single" w:color="CCCCCC" w:sz="1"/>
            </w:tcBorders>
            <w:shd w:fill="EDF4FB" w:val="clear"/>
            <w:tcMar>
              <w:top w:type="dxa" w:w="80"/>
              <w:left w:type="dxa" w:w="140"/>
              <w:bottom w:type="dxa" w:w="80"/>
              <w:right w:type="dxa" w:w="80"/>
            </w:tcMar>
          </w:tcPr>
          <w:p>
            <w:r>
              <w:rPr>
                <w:rFonts w:ascii="Arial" w:cs="Arial" w:eastAsia="Arial" w:hAnsi="Arial"/>
                <w:b w:val="false"/>
                <w:bCs w:val="false"/>
                <w:color w:val="3D3D3D"/>
                <w:sz w:val="20"/>
                <w:szCs w:val="20"/>
              </w:rPr>
              <w:t xml:space="preserve">Full-height vinyl wall coverings and wall cladding systems, including anti-ligature and impact-resistant options suited to secure environments.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r>
              <w:rPr>
                <w:rFonts w:ascii="Arial" w:cs="Arial" w:eastAsia="Arial" w:hAnsi="Arial"/>
                <w:b/>
                <w:bCs/>
                <w:color w:val="1B3A5C"/>
                <w:sz w:val="20"/>
                <w:szCs w:val="20"/>
              </w:rPr>
              <w:t xml:space="preserve">Epoxy Flooring</w:t>
            </w:r>
          </w:p>
        </w:tc>
        <w:tc>
          <w:tcPr>
            <w:tcW w:type="dxa" w:w="66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r>
              <w:rPr>
                <w:rFonts w:ascii="Arial" w:cs="Arial" w:eastAsia="Arial" w:hAnsi="Arial"/>
                <w:b w:val="false"/>
                <w:bCs w:val="false"/>
                <w:color w:val="3D3D3D"/>
                <w:sz w:val="20"/>
                <w:szCs w:val="20"/>
              </w:rPr>
              <w:t xml:space="preserve">Industrial and commercial epoxy coating systems — including anti-static, anti-slip and heavy-duty formulations for workshops, amenities and service areas.</w:t>
            </w:r>
          </w:p>
        </w:tc>
      </w:tr>
      <w:tr>
        <w:tc>
          <w:tcPr>
            <w:tcW w:type="dxa" w:w="3000"/>
            <w:tcBorders>
              <w:top w:val="single" w:color="CCCCCC" w:sz="1"/>
              <w:left w:val="single" w:color="CCCCCC" w:sz="1"/>
              <w:bottom w:val="single" w:color="CCCCCC" w:sz="1"/>
              <w:right w:val="single" w:color="CCCCCC" w:sz="1"/>
            </w:tcBorders>
            <w:shd w:fill="EDF4FB" w:val="clear"/>
            <w:tcMar>
              <w:top w:type="dxa" w:w="80"/>
              <w:left w:type="dxa" w:w="140"/>
              <w:bottom w:type="dxa" w:w="80"/>
              <w:right w:type="dxa" w:w="80"/>
            </w:tcMar>
          </w:tcPr>
          <w:p>
            <w:r>
              <w:rPr>
                <w:rFonts w:ascii="Arial" w:cs="Arial" w:eastAsia="Arial" w:hAnsi="Arial"/>
                <w:b/>
                <w:bCs/>
                <w:color w:val="1B3A5C"/>
                <w:sz w:val="20"/>
                <w:szCs w:val="20"/>
              </w:rPr>
              <w:t xml:space="preserve">Polished Concrete &amp; Seal</w:t>
            </w:r>
          </w:p>
        </w:tc>
        <w:tc>
          <w:tcPr>
            <w:tcW w:type="dxa" w:w="6638"/>
            <w:tcBorders>
              <w:top w:val="single" w:color="CCCCCC" w:sz="1"/>
              <w:left w:val="single" w:color="CCCCCC" w:sz="1"/>
              <w:bottom w:val="single" w:color="CCCCCC" w:sz="1"/>
              <w:right w:val="single" w:color="CCCCCC" w:sz="1"/>
            </w:tcBorders>
            <w:shd w:fill="EDF4FB" w:val="clear"/>
            <w:tcMar>
              <w:top w:type="dxa" w:w="80"/>
              <w:left w:type="dxa" w:w="140"/>
              <w:bottom w:type="dxa" w:w="80"/>
              <w:right w:type="dxa" w:w="80"/>
            </w:tcMar>
          </w:tcPr>
          <w:p>
            <w:r>
              <w:rPr>
                <w:rFonts w:ascii="Arial" w:cs="Arial" w:eastAsia="Arial" w:hAnsi="Arial"/>
                <w:b w:val="false"/>
                <w:bCs w:val="false"/>
                <w:color w:val="3D3D3D"/>
                <w:sz w:val="20"/>
                <w:szCs w:val="20"/>
              </w:rPr>
              <w:t xml:space="preserve">Mechanical grinding, densifying, polishing and sealing of concrete floors to specified finish class and slip rating.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r>
              <w:rPr>
                <w:rFonts w:ascii="Arial" w:cs="Arial" w:eastAsia="Arial" w:hAnsi="Arial"/>
                <w:b/>
                <w:bCs/>
                <w:color w:val="1B3A5C"/>
                <w:sz w:val="20"/>
                <w:szCs w:val="20"/>
              </w:rPr>
              <w:t xml:space="preserve">Floor Restoration &amp; Removal</w:t>
            </w:r>
          </w:p>
        </w:tc>
        <w:tc>
          <w:tcPr>
            <w:tcW w:type="dxa" w:w="66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r>
              <w:rPr>
                <w:rFonts w:ascii="Arial" w:cs="Arial" w:eastAsia="Arial" w:hAnsi="Arial"/>
                <w:b w:val="false"/>
                <w:bCs w:val="false"/>
                <w:color w:val="3D3D3D"/>
                <w:sz w:val="20"/>
                <w:szCs w:val="20"/>
              </w:rPr>
              <w:t xml:space="preserve">Strip-out and removal of existing floor coverings including vinyl, carpet, tiles and adhesive residue, prepared to bare substrate ready for installation.</w:t>
            </w:r>
          </w:p>
        </w:tc>
      </w:tr>
      <w:tr>
        <w:tc>
          <w:tcPr>
            <w:tcW w:type="dxa" w:w="3000"/>
            <w:tcBorders>
              <w:top w:val="single" w:color="CCCCCC" w:sz="1"/>
              <w:left w:val="single" w:color="CCCCCC" w:sz="1"/>
              <w:bottom w:val="single" w:color="CCCCCC" w:sz="1"/>
              <w:right w:val="single" w:color="CCCCCC" w:sz="1"/>
            </w:tcBorders>
            <w:shd w:fill="EDF4FB" w:val="clear"/>
            <w:tcMar>
              <w:top w:type="dxa" w:w="80"/>
              <w:left w:type="dxa" w:w="140"/>
              <w:bottom w:type="dxa" w:w="80"/>
              <w:right w:type="dxa" w:w="80"/>
            </w:tcMar>
          </w:tcPr>
          <w:p>
            <w:r>
              <w:rPr>
                <w:rFonts w:ascii="Arial" w:cs="Arial" w:eastAsia="Arial" w:hAnsi="Arial"/>
                <w:b/>
                <w:bCs/>
                <w:color w:val="1B3A5C"/>
                <w:sz w:val="20"/>
                <w:szCs w:val="20"/>
              </w:rPr>
              <w:t xml:space="preserve">Grinding — Light to Heavy</w:t>
            </w:r>
          </w:p>
        </w:tc>
        <w:tc>
          <w:tcPr>
            <w:tcW w:type="dxa" w:w="6638"/>
            <w:tcBorders>
              <w:top w:val="single" w:color="CCCCCC" w:sz="1"/>
              <w:left w:val="single" w:color="CCCCCC" w:sz="1"/>
              <w:bottom w:val="single" w:color="CCCCCC" w:sz="1"/>
              <w:right w:val="single" w:color="CCCCCC" w:sz="1"/>
            </w:tcBorders>
            <w:shd w:fill="EDF4FB" w:val="clear"/>
            <w:tcMar>
              <w:top w:type="dxa" w:w="80"/>
              <w:left w:type="dxa" w:w="140"/>
              <w:bottom w:type="dxa" w:w="80"/>
              <w:right w:type="dxa" w:w="80"/>
            </w:tcMar>
          </w:tcPr>
          <w:p>
            <w:r>
              <w:rPr>
                <w:rFonts w:ascii="Arial" w:cs="Arial" w:eastAsia="Arial" w:hAnsi="Arial"/>
                <w:b w:val="false"/>
                <w:bCs w:val="false"/>
                <w:color w:val="3D3D3D"/>
                <w:sz w:val="20"/>
                <w:szCs w:val="20"/>
              </w:rPr>
              <w:t xml:space="preserve">Full grinding capability from lightweight hand-held machines through to industrial ride-on grinders. Suitable for any facility size or access constraint.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r>
              <w:rPr>
                <w:rFonts w:ascii="Arial" w:cs="Arial" w:eastAsia="Arial" w:hAnsi="Arial"/>
                <w:b/>
                <w:bCs/>
                <w:color w:val="1B3A5C"/>
                <w:sz w:val="20"/>
                <w:szCs w:val="20"/>
              </w:rPr>
              <w:t xml:space="preserve">Floor Preparation</w:t>
            </w:r>
          </w:p>
        </w:tc>
        <w:tc>
          <w:tcPr>
            <w:tcW w:type="dxa" w:w="66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r>
              <w:rPr>
                <w:rFonts w:ascii="Arial" w:cs="Arial" w:eastAsia="Arial" w:hAnsi="Arial"/>
                <w:b w:val="false"/>
                <w:bCs w:val="false"/>
                <w:color w:val="3D3D3D"/>
                <w:sz w:val="20"/>
                <w:szCs w:val="20"/>
              </w:rPr>
              <w:t xml:space="preserve">Self-levelling compound application (flood or spot), screeding, plywood overlays and feather-finish topping. All subfloor conditions accepted.</w:t>
            </w:r>
          </w:p>
        </w:tc>
      </w:tr>
      <w:tr>
        <w:tc>
          <w:tcPr>
            <w:tcW w:type="dxa" w:w="3000"/>
            <w:tcBorders>
              <w:top w:val="single" w:color="CCCCCC" w:sz="1"/>
              <w:left w:val="single" w:color="CCCCCC" w:sz="1"/>
              <w:bottom w:val="single" w:color="CCCCCC" w:sz="1"/>
              <w:right w:val="single" w:color="CCCCCC" w:sz="1"/>
            </w:tcBorders>
            <w:shd w:fill="EDF4FB" w:val="clear"/>
            <w:tcMar>
              <w:top w:type="dxa" w:w="80"/>
              <w:left w:type="dxa" w:w="140"/>
              <w:bottom w:type="dxa" w:w="80"/>
              <w:right w:type="dxa" w:w="80"/>
            </w:tcMar>
          </w:tcPr>
          <w:p>
            <w:r>
              <w:rPr>
                <w:rFonts w:ascii="Arial" w:cs="Arial" w:eastAsia="Arial" w:hAnsi="Arial"/>
                <w:b/>
                <w:bCs/>
                <w:color w:val="1B3A5C"/>
                <w:sz w:val="20"/>
                <w:szCs w:val="20"/>
              </w:rPr>
              <w:t xml:space="preserve">Acoustic Wall Panels</w:t>
            </w:r>
          </w:p>
        </w:tc>
        <w:tc>
          <w:tcPr>
            <w:tcW w:type="dxa" w:w="6638"/>
            <w:tcBorders>
              <w:top w:val="single" w:color="CCCCCC" w:sz="1"/>
              <w:left w:val="single" w:color="CCCCCC" w:sz="1"/>
              <w:bottom w:val="single" w:color="CCCCCC" w:sz="1"/>
              <w:right w:val="single" w:color="CCCCCC" w:sz="1"/>
            </w:tcBorders>
            <w:shd w:fill="EDF4FB" w:val="clear"/>
            <w:tcMar>
              <w:top w:type="dxa" w:w="80"/>
              <w:left w:type="dxa" w:w="140"/>
              <w:bottom w:type="dxa" w:w="80"/>
              <w:right w:type="dxa" w:w="80"/>
            </w:tcMar>
          </w:tcPr>
          <w:p>
            <w:r>
              <w:rPr>
                <w:rFonts w:ascii="Arial" w:cs="Arial" w:eastAsia="Arial" w:hAnsi="Arial"/>
                <w:b w:val="false"/>
                <w:bCs w:val="false"/>
                <w:color w:val="3D3D3D"/>
                <w:sz w:val="20"/>
                <w:szCs w:val="20"/>
              </w:rPr>
              <w:t xml:space="preserve">Specification, supply and installation of acoustic wall panel systems for cells, corridors, recreation rooms and programme spaces.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r>
              <w:rPr>
                <w:rFonts w:ascii="Arial" w:cs="Arial" w:eastAsia="Arial" w:hAnsi="Arial"/>
                <w:b/>
                <w:bCs/>
                <w:color w:val="1B3A5C"/>
                <w:sz w:val="20"/>
                <w:szCs w:val="20"/>
              </w:rPr>
              <w:t xml:space="preserve">Handrails</w:t>
            </w:r>
          </w:p>
        </w:tc>
        <w:tc>
          <w:tcPr>
            <w:tcW w:type="dxa" w:w="66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r>
              <w:rPr>
                <w:rFonts w:ascii="Arial" w:cs="Arial" w:eastAsia="Arial" w:hAnsi="Arial"/>
                <w:b w:val="false"/>
                <w:bCs w:val="false"/>
                <w:color w:val="3D3D3D"/>
                <w:sz w:val="20"/>
                <w:szCs w:val="20"/>
              </w:rPr>
              <w:t xml:space="preserve">Fabrication and installation of handrail systems to BCA requirements — stainless steel, powder-coated steel and aluminium profiles.</w:t>
            </w:r>
          </w:p>
        </w:tc>
      </w:tr>
      <w:tr>
        <w:tc>
          <w:tcPr>
            <w:tcW w:type="dxa" w:w="3000"/>
            <w:tcBorders>
              <w:top w:val="single" w:color="CCCCCC" w:sz="1"/>
              <w:left w:val="single" w:color="CCCCCC" w:sz="1"/>
              <w:bottom w:val="single" w:color="CCCCCC" w:sz="1"/>
              <w:right w:val="single" w:color="CCCCCC" w:sz="1"/>
            </w:tcBorders>
            <w:shd w:fill="EDF4FB" w:val="clear"/>
            <w:tcMar>
              <w:top w:type="dxa" w:w="80"/>
              <w:left w:type="dxa" w:w="140"/>
              <w:bottom w:type="dxa" w:w="80"/>
              <w:right w:type="dxa" w:w="80"/>
            </w:tcMar>
          </w:tcPr>
          <w:p>
            <w:r>
              <w:rPr>
                <w:rFonts w:ascii="Arial" w:cs="Arial" w:eastAsia="Arial" w:hAnsi="Arial"/>
                <w:b/>
                <w:bCs/>
                <w:color w:val="1B3A5C"/>
                <w:sz w:val="20"/>
                <w:szCs w:val="20"/>
              </w:rPr>
              <w:t xml:space="preserve">Bump Rails &amp; Crash Rails</w:t>
            </w:r>
          </w:p>
        </w:tc>
        <w:tc>
          <w:tcPr>
            <w:tcW w:type="dxa" w:w="6638"/>
            <w:tcBorders>
              <w:top w:val="single" w:color="CCCCCC" w:sz="1"/>
              <w:left w:val="single" w:color="CCCCCC" w:sz="1"/>
              <w:bottom w:val="single" w:color="CCCCCC" w:sz="1"/>
              <w:right w:val="single" w:color="CCCCCC" w:sz="1"/>
            </w:tcBorders>
            <w:shd w:fill="EDF4FB" w:val="clear"/>
            <w:tcMar>
              <w:top w:type="dxa" w:w="80"/>
              <w:left w:type="dxa" w:w="140"/>
              <w:bottom w:type="dxa" w:w="80"/>
              <w:right w:type="dxa" w:w="80"/>
            </w:tcMar>
          </w:tcPr>
          <w:p>
            <w:r>
              <w:rPr>
                <w:rFonts w:ascii="Arial" w:cs="Arial" w:eastAsia="Arial" w:hAnsi="Arial"/>
                <w:b w:val="false"/>
                <w:bCs w:val="false"/>
                <w:color w:val="3D3D3D"/>
                <w:sz w:val="20"/>
                <w:szCs w:val="20"/>
              </w:rPr>
              <w:t xml:space="preserve">Supply and installation of bump rail and crash rail systems in corridors, doorways and high-traffic areas.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r>
              <w:rPr>
                <w:rFonts w:ascii="Arial" w:cs="Arial" w:eastAsia="Arial" w:hAnsi="Arial"/>
                <w:b/>
                <w:bCs/>
                <w:color w:val="1B3A5C"/>
                <w:sz w:val="20"/>
                <w:szCs w:val="20"/>
              </w:rPr>
              <w:t xml:space="preserve">Corner Guards</w:t>
            </w:r>
          </w:p>
        </w:tc>
        <w:tc>
          <w:tcPr>
            <w:tcW w:type="dxa" w:w="66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r>
              <w:rPr>
                <w:rFonts w:ascii="Arial" w:cs="Arial" w:eastAsia="Arial" w:hAnsi="Arial"/>
                <w:b w:val="false"/>
                <w:bCs w:val="false"/>
                <w:color w:val="3D3D3D"/>
                <w:sz w:val="20"/>
                <w:szCs w:val="20"/>
              </w:rPr>
              <w:t xml:space="preserve">Stainless steel, aluminium and PVC corner protection — concealed fixings available for secure environments.</w:t>
            </w:r>
          </w:p>
        </w:tc>
      </w:tr>
      <w:tr>
        <w:tc>
          <w:tcPr>
            <w:tcW w:type="dxa" w:w="3000"/>
            <w:tcBorders>
              <w:top w:val="single" w:color="CCCCCC" w:sz="1"/>
              <w:left w:val="single" w:color="CCCCCC" w:sz="1"/>
              <w:bottom w:val="single" w:color="CCCCCC" w:sz="1"/>
              <w:right w:val="single" w:color="CCCCCC" w:sz="1"/>
            </w:tcBorders>
            <w:shd w:fill="EDF4FB" w:val="clear"/>
            <w:tcMar>
              <w:top w:type="dxa" w:w="80"/>
              <w:left w:type="dxa" w:w="140"/>
              <w:bottom w:type="dxa" w:w="80"/>
              <w:right w:type="dxa" w:w="80"/>
            </w:tcMar>
          </w:tcPr>
          <w:p>
            <w:r>
              <w:rPr>
                <w:rFonts w:ascii="Arial" w:cs="Arial" w:eastAsia="Arial" w:hAnsi="Arial"/>
                <w:b/>
                <w:bCs/>
                <w:color w:val="1B3A5C"/>
                <w:sz w:val="20"/>
                <w:szCs w:val="20"/>
              </w:rPr>
              <w:t xml:space="preserve">Wall Protection Systems</w:t>
            </w:r>
          </w:p>
        </w:tc>
        <w:tc>
          <w:tcPr>
            <w:tcW w:type="dxa" w:w="6638"/>
            <w:tcBorders>
              <w:top w:val="single" w:color="CCCCCC" w:sz="1"/>
              <w:left w:val="single" w:color="CCCCCC" w:sz="1"/>
              <w:bottom w:val="single" w:color="CCCCCC" w:sz="1"/>
              <w:right w:val="single" w:color="CCCCCC" w:sz="1"/>
            </w:tcBorders>
            <w:shd w:fill="EDF4FB" w:val="clear"/>
            <w:tcMar>
              <w:top w:type="dxa" w:w="80"/>
              <w:left w:type="dxa" w:w="140"/>
              <w:bottom w:type="dxa" w:w="80"/>
              <w:right w:type="dxa" w:w="80"/>
            </w:tcMar>
          </w:tcPr>
          <w:p>
            <w:r>
              <w:rPr>
                <w:rFonts w:ascii="Arial" w:cs="Arial" w:eastAsia="Arial" w:hAnsi="Arial"/>
                <w:b w:val="false"/>
                <w:bCs w:val="false"/>
                <w:color w:val="3D3D3D"/>
                <w:sz w:val="20"/>
                <w:szCs w:val="20"/>
              </w:rPr>
              <w:t xml:space="preserve">Coordinated wall protection scope: impact panels, crash rails, corner guards and door protection installed under one subcontract.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r>
              <w:rPr>
                <w:rFonts w:ascii="Arial" w:cs="Arial" w:eastAsia="Arial" w:hAnsi="Arial"/>
                <w:b/>
                <w:bCs/>
                <w:color w:val="1B3A5C"/>
                <w:sz w:val="20"/>
                <w:szCs w:val="20"/>
              </w:rPr>
              <w:t xml:space="preserve">Door Protection Systems</w:t>
            </w:r>
          </w:p>
        </w:tc>
        <w:tc>
          <w:tcPr>
            <w:tcW w:type="dxa" w:w="66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r>
              <w:rPr>
                <w:rFonts w:ascii="Arial" w:cs="Arial" w:eastAsia="Arial" w:hAnsi="Arial"/>
                <w:b w:val="false"/>
                <w:bCs w:val="false"/>
                <w:color w:val="3D3D3D"/>
                <w:sz w:val="20"/>
                <w:szCs w:val="20"/>
              </w:rPr>
              <w:t xml:space="preserve">Door edge and frame protection, door-bottom seals, kick plates and protection boards for high-traffic door sets.</w:t>
            </w:r>
          </w:p>
        </w:tc>
      </w:tr>
      <w:tr>
        <w:tc>
          <w:tcPr>
            <w:tcW w:type="dxa" w:w="3000"/>
            <w:tcBorders>
              <w:top w:val="single" w:color="CCCCCC" w:sz="1"/>
              <w:left w:val="single" w:color="CCCCCC" w:sz="1"/>
              <w:bottom w:val="single" w:color="CCCCCC" w:sz="1"/>
              <w:right w:val="single" w:color="CCCCCC" w:sz="1"/>
            </w:tcBorders>
            <w:shd w:fill="EDF4FB" w:val="clear"/>
            <w:tcMar>
              <w:top w:type="dxa" w:w="80"/>
              <w:left w:type="dxa" w:w="140"/>
              <w:bottom w:type="dxa" w:w="80"/>
              <w:right w:type="dxa" w:w="80"/>
            </w:tcMar>
          </w:tcPr>
          <w:p>
            <w:r>
              <w:rPr>
                <w:rFonts w:ascii="Arial" w:cs="Arial" w:eastAsia="Arial" w:hAnsi="Arial"/>
                <w:b/>
                <w:bCs/>
                <w:color w:val="1B3A5C"/>
                <w:sz w:val="20"/>
                <w:szCs w:val="20"/>
              </w:rPr>
              <w:t xml:space="preserve">Rising Damp &amp; Mould Remediation</w:t>
            </w:r>
          </w:p>
        </w:tc>
        <w:tc>
          <w:tcPr>
            <w:tcW w:type="dxa" w:w="6638"/>
            <w:tcBorders>
              <w:top w:val="single" w:color="CCCCCC" w:sz="1"/>
              <w:left w:val="single" w:color="CCCCCC" w:sz="1"/>
              <w:bottom w:val="single" w:color="CCCCCC" w:sz="1"/>
              <w:right w:val="single" w:color="CCCCCC" w:sz="1"/>
            </w:tcBorders>
            <w:shd w:fill="EDF4FB" w:val="clear"/>
            <w:tcMar>
              <w:top w:type="dxa" w:w="80"/>
              <w:left w:type="dxa" w:w="140"/>
              <w:bottom w:type="dxa" w:w="80"/>
              <w:right w:type="dxa" w:w="80"/>
            </w:tcMar>
          </w:tcPr>
          <w:p>
            <w:r>
              <w:rPr>
                <w:rFonts w:ascii="Arial" w:cs="Arial" w:eastAsia="Arial" w:hAnsi="Arial"/>
                <w:b w:val="false"/>
                <w:bCs w:val="false"/>
                <w:color w:val="3D3D3D"/>
                <w:sz w:val="20"/>
                <w:szCs w:val="20"/>
              </w:rPr>
              <w:t xml:space="preserve">Rising damp course installation, moisture barrier membranes and mould remediation carried out in accordance with relevant Australian Standards.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r>
              <w:rPr>
                <w:rFonts w:ascii="Arial" w:cs="Arial" w:eastAsia="Arial" w:hAnsi="Arial"/>
                <w:b/>
                <w:bCs/>
                <w:color w:val="1B3A5C"/>
                <w:sz w:val="20"/>
                <w:szCs w:val="20"/>
              </w:rPr>
              <w:t xml:space="preserve">Full Strip-Out &amp; Reinstatement</w:t>
            </w:r>
          </w:p>
        </w:tc>
        <w:tc>
          <w:tcPr>
            <w:tcW w:type="dxa" w:w="66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r>
              <w:rPr>
                <w:rFonts w:ascii="Arial" w:cs="Arial" w:eastAsia="Arial" w:hAnsi="Arial"/>
                <w:b w:val="false"/>
                <w:bCs w:val="false"/>
                <w:color w:val="3D3D3D"/>
                <w:sz w:val="20"/>
                <w:szCs w:val="20"/>
              </w:rPr>
              <w:t xml:space="preserve">End-to-end scope: removal of furniture, fittings and electrical items (co-ordinated with licensed electrician where required); full strip to structure; complete flooring and wall protection reinstatement.</w:t>
            </w:r>
          </w:p>
        </w:tc>
      </w:tr>
    </w:tbl>
    <w:p>
      <w:pPr>
        <w:spacing w:after="240" w:before="0"/>
      </w:pPr>
    </w:p>
    <w:p>
      <w:pPr>
        <w:pStyle w:val="Heading1"/>
        <w:spacing w:after="60" w:before="280"/>
      </w:pPr>
      <w:r>
        <w:rPr>
          <w:rFonts w:ascii="Arial" w:cs="Arial" w:eastAsia="Arial" w:hAnsi="Arial"/>
          <w:b/>
          <w:bCs/>
          <w:color w:val="1B3A5C"/>
          <w:sz w:val="26"/>
          <w:szCs w:val="26"/>
        </w:rPr>
        <w:t xml:space="preserve">4.  Delivery Approach</w:t>
      </w:r>
    </w:p>
    <w:p>
      <w:pPr>
        <w:pBdr>
          <w:bottom w:val="single" w:color="2E75B6" w:sz="6" w:space="1"/>
        </w:pBdr>
        <w:spacing w:after="100" w:before="0"/>
      </w:pPr>
    </w:p>
    <w:p>
      <w:pPr>
        <w:spacing w:after="80" w:before="0"/>
      </w:pPr>
    </w:p>
    <w:p>
      <w:pPr>
        <w:pStyle w:val="Heading2"/>
        <w:spacing w:after="60" w:before="180"/>
      </w:pPr>
      <w:r>
        <w:rPr>
          <w:rFonts w:ascii="Arial" w:cs="Arial" w:eastAsia="Arial" w:hAnsi="Arial"/>
          <w:b/>
          <w:bCs/>
          <w:color w:val="2E75B6"/>
          <w:sz w:val="22"/>
          <w:szCs w:val="22"/>
        </w:rPr>
        <w:t xml:space="preserve">Single-Trade Scope Management</w:t>
      </w:r>
    </w:p>
    <w:p>
      <w:pPr>
        <w:spacing w:after="120" w:before="0"/>
      </w:pPr>
      <w:r>
        <w:rPr>
          <w:rFonts w:ascii="Arial" w:cs="Arial" w:eastAsia="Arial" w:hAnsi="Arial"/>
          <w:color w:val="3D3D3D"/>
          <w:sz w:val="21"/>
          <w:szCs w:val="21"/>
        </w:rPr>
        <w:t xml:space="preserve">SPM manages the full scope of flooring and interior protection works under a single subcontract. This includes strip-out, subfloor preparation, installation and associated wall and door protection. A single site supervisor is responsible for programme, quality and site compliance throughout the works.</w:t>
      </w:r>
    </w:p>
    <w:p>
      <w:pPr>
        <w:spacing w:after="120" w:before="0"/>
      </w:pPr>
    </w:p>
    <w:p>
      <w:pPr>
        <w:pStyle w:val="Heading2"/>
        <w:spacing w:after="60" w:before="180"/>
      </w:pPr>
      <w:r>
        <w:rPr>
          <w:rFonts w:ascii="Arial" w:cs="Arial" w:eastAsia="Arial" w:hAnsi="Arial"/>
          <w:b/>
          <w:bCs/>
          <w:color w:val="2E75B6"/>
          <w:sz w:val="22"/>
          <w:szCs w:val="22"/>
        </w:rPr>
        <w:t xml:space="preserve">Strip-Out and Make-Safe</w:t>
      </w:r>
    </w:p>
    <w:p>
      <w:pPr>
        <w:spacing w:after="120" w:before="0"/>
      </w:pPr>
      <w:r>
        <w:rPr>
          <w:rFonts w:ascii="Arial" w:cs="Arial" w:eastAsia="Arial" w:hAnsi="Arial"/>
          <w:color w:val="3D3D3D"/>
          <w:sz w:val="21"/>
          <w:szCs w:val="21"/>
        </w:rPr>
        <w:t xml:space="preserve">SPM carries out full strip-out works including removal of furniture, fittings and electrical items (co-ordinated with a licensed electrician where required), disposal of existing floor coverings, and preparation of the substrate. This removes the programme gap between demolition and installation trades.</w:t>
      </w:r>
    </w:p>
    <w:p>
      <w:pPr>
        <w:spacing w:after="120" w:before="0"/>
      </w:pPr>
    </w:p>
    <w:p>
      <w:pPr>
        <w:pStyle w:val="Heading2"/>
        <w:spacing w:after="60" w:before="180"/>
      </w:pPr>
      <w:r>
        <w:rPr>
          <w:rFonts w:ascii="Arial" w:cs="Arial" w:eastAsia="Arial" w:hAnsi="Arial"/>
          <w:b/>
          <w:bCs/>
          <w:color w:val="2E75B6"/>
          <w:sz w:val="22"/>
          <w:szCs w:val="22"/>
        </w:rPr>
        <w:t xml:space="preserve">Subfloor Preparation</w:t>
      </w:r>
    </w:p>
    <w:p>
      <w:pPr>
        <w:spacing w:after="120" w:before="0"/>
      </w:pPr>
      <w:r>
        <w:rPr>
          <w:rFonts w:ascii="Arial" w:cs="Arial" w:eastAsia="Arial" w:hAnsi="Arial"/>
          <w:color w:val="3D3D3D"/>
          <w:sz w:val="21"/>
          <w:szCs w:val="21"/>
        </w:rPr>
        <w:t xml:space="preserve">SPM operates light and heavy grinding equipment, including industrial ride-on grinders, and applies self-levelling compounds, screeds and moisture barriers as required. Where rising damp or mould is identified, remediation is carried out prior to installation to manufacturer and Australian Standard requirements.</w:t>
      </w:r>
    </w:p>
    <w:p>
      <w:pPr>
        <w:spacing w:after="120" w:before="0"/>
      </w:pPr>
    </w:p>
    <w:p>
      <w:pPr>
        <w:pStyle w:val="Heading2"/>
        <w:spacing w:after="60" w:before="180"/>
      </w:pPr>
      <w:r>
        <w:rPr>
          <w:rFonts w:ascii="Arial" w:cs="Arial" w:eastAsia="Arial" w:hAnsi="Arial"/>
          <w:b/>
          <w:bCs/>
          <w:color w:val="2E75B6"/>
          <w:sz w:val="22"/>
          <w:szCs w:val="22"/>
        </w:rPr>
        <w:t xml:space="preserve">Correctional Facility Protocols</w:t>
      </w:r>
    </w:p>
    <w:p>
      <w:pPr>
        <w:spacing w:after="120" w:before="0"/>
      </w:pPr>
      <w:r>
        <w:rPr>
          <w:rFonts w:ascii="Arial" w:cs="Arial" w:eastAsia="Arial" w:hAnsi="Arial"/>
          <w:color w:val="3D3D3D"/>
          <w:sz w:val="21"/>
          <w:szCs w:val="21"/>
        </w:rPr>
        <w:t xml:space="preserve">SPM personnel are experienced working within operational correctional facilities. Standard practice includes compliance with tool and material register requirements, escort procedures, staged access, and security inductions. Works are programmed to minimise disruption to facility operations.</w:t>
      </w:r>
    </w:p>
    <w:p>
      <w:pPr>
        <w:spacing w:after="240" w:before="0"/>
      </w:pPr>
    </w:p>
    <w:p>
      <w:pPr>
        <w:pStyle w:val="Heading1"/>
        <w:spacing w:after="60" w:before="280"/>
      </w:pPr>
      <w:r>
        <w:rPr>
          <w:rFonts w:ascii="Arial" w:cs="Arial" w:eastAsia="Arial" w:hAnsi="Arial"/>
          <w:b/>
          <w:bCs/>
          <w:color w:val="1B3A5C"/>
          <w:sz w:val="26"/>
          <w:szCs w:val="26"/>
        </w:rPr>
        <w:t xml:space="preserve">5.  Quality and Compliance</w:t>
      </w:r>
    </w:p>
    <w:p>
      <w:pPr>
        <w:pBdr>
          <w:bottom w:val="single" w:color="2E75B6" w:sz="6" w:space="1"/>
        </w:pBdr>
        <w:spacing w:after="100" w:before="0"/>
      </w:pPr>
    </w:p>
    <w:p>
      <w:pPr>
        <w:spacing w:after="80" w:before="0"/>
      </w:pPr>
    </w:p>
    <w:p>
      <w:pPr>
        <w:pStyle w:val="ListParagraph"/>
        <w:numPr>
          <w:ilvl w:val="0"/>
          <w:numId w:val="2"/>
        </w:numPr>
        <w:spacing w:after="80" w:before="0"/>
      </w:pPr>
      <w:r>
        <w:rPr>
          <w:rFonts w:ascii="Arial" w:cs="Arial" w:eastAsia="Arial" w:hAnsi="Arial"/>
          <w:color w:val="3D3D3D"/>
          <w:sz w:val="21"/>
          <w:szCs w:val="21"/>
        </w:rPr>
        <w:t xml:space="preserve">Works comply with AS 1884 (resilient floor coverings), AS 4586 (slip resistance) and applicable provisions of the NCC.</w:t>
      </w:r>
    </w:p>
    <w:p>
      <w:pPr>
        <w:pStyle w:val="ListParagraph"/>
        <w:numPr>
          <w:ilvl w:val="0"/>
          <w:numId w:val="2"/>
        </w:numPr>
        <w:spacing w:after="80" w:before="0"/>
      </w:pPr>
      <w:r>
        <w:rPr>
          <w:rFonts w:ascii="Arial" w:cs="Arial" w:eastAsia="Arial" w:hAnsi="Arial"/>
          <w:color w:val="3D3D3D"/>
          <w:sz w:val="21"/>
          <w:szCs w:val="21"/>
        </w:rPr>
        <w:t xml:space="preserve">Subfloor preparation follows manufacturer specifications in all cases to maintain product warranties.</w:t>
      </w:r>
    </w:p>
    <w:p>
      <w:pPr>
        <w:pStyle w:val="ListParagraph"/>
        <w:numPr>
          <w:ilvl w:val="0"/>
          <w:numId w:val="2"/>
        </w:numPr>
        <w:spacing w:after="80" w:before="0"/>
      </w:pPr>
      <w:r>
        <w:rPr>
          <w:rFonts w:ascii="Arial" w:cs="Arial" w:eastAsia="Arial" w:hAnsi="Arial"/>
          <w:color w:val="3D3D3D"/>
          <w:sz w:val="21"/>
          <w:szCs w:val="21"/>
        </w:rPr>
        <w:t xml:space="preserve">An Inspection and Test Plan (ITP) is provided for all projects, documenting hold points, witness points and sign-off records.</w:t>
      </w:r>
    </w:p>
    <w:p>
      <w:pPr>
        <w:pStyle w:val="ListParagraph"/>
        <w:numPr>
          <w:ilvl w:val="0"/>
          <w:numId w:val="2"/>
        </w:numPr>
        <w:spacing w:after="80" w:before="0"/>
      </w:pPr>
      <w:r>
        <w:rPr>
          <w:rFonts w:ascii="Arial" w:cs="Arial" w:eastAsia="Arial" w:hAnsi="Arial"/>
          <w:color w:val="3D3D3D"/>
          <w:sz w:val="21"/>
          <w:szCs w:val="21"/>
        </w:rPr>
        <w:t xml:space="preserve">Site-specific Safe Work Method Statements (SWMS) are prepared for each project, including procedures for operation of industrial grinding equipment in secure environments.</w:t>
      </w:r>
    </w:p>
    <w:p>
      <w:pPr>
        <w:pStyle w:val="ListParagraph"/>
        <w:numPr>
          <w:ilvl w:val="0"/>
          <w:numId w:val="2"/>
        </w:numPr>
        <w:spacing w:after="80" w:before="0"/>
      </w:pPr>
      <w:r>
        <w:rPr>
          <w:rFonts w:ascii="Arial" w:cs="Arial" w:eastAsia="Arial" w:hAnsi="Arial"/>
          <w:color w:val="3D3D3D"/>
          <w:sz w:val="21"/>
          <w:szCs w:val="21"/>
        </w:rPr>
        <w:t xml:space="preserve">All personnel hold a current White Card. Working with Vulnerable People checks and facility-specific clearances are obtained as required.</w:t>
      </w:r>
    </w:p>
    <w:p>
      <w:pPr>
        <w:pStyle w:val="ListParagraph"/>
        <w:numPr>
          <w:ilvl w:val="0"/>
          <w:numId w:val="2"/>
        </w:numPr>
        <w:spacing w:after="80" w:before="0"/>
      </w:pPr>
      <w:r>
        <w:rPr>
          <w:rFonts w:ascii="Arial" w:cs="Arial" w:eastAsia="Arial" w:hAnsi="Arial"/>
          <w:color w:val="3D3D3D"/>
          <w:sz w:val="21"/>
          <w:szCs w:val="21"/>
        </w:rPr>
        <w:t xml:space="preserve">A tool and material register is maintained throughout all correctional facility works. No tools are left unsecured or unaccounted for at any time.</w:t>
      </w:r>
    </w:p>
    <w:p>
      <w:pPr>
        <w:spacing w:after="240" w:before="0"/>
      </w:pPr>
    </w:p>
    <w:p>
      <w:pPr>
        <w:pStyle w:val="Heading1"/>
        <w:spacing w:after="60" w:before="280"/>
      </w:pPr>
      <w:r>
        <w:rPr>
          <w:rFonts w:ascii="Arial" w:cs="Arial" w:eastAsia="Arial" w:hAnsi="Arial"/>
          <w:b/>
          <w:bCs/>
          <w:color w:val="1B3A5C"/>
          <w:sz w:val="26"/>
          <w:szCs w:val="26"/>
        </w:rPr>
        <w:t xml:space="preserve">6.  Key Personnel</w:t>
      </w:r>
    </w:p>
    <w:p>
      <w:pPr>
        <w:pBdr>
          <w:bottom w:val="single" w:color="2E75B6" w:sz="6" w:space="1"/>
        </w:pBdr>
        <w:spacing w:after="100" w:before="0"/>
      </w:pPr>
    </w:p>
    <w:p>
      <w:pPr>
        <w:spacing w:after="80" w:before="0"/>
      </w:pPr>
    </w:p>
    <w:p>
      <w:pPr>
        <w:spacing w:after="120" w:before="0"/>
      </w:pPr>
      <w:r>
        <w:rPr>
          <w:rFonts w:ascii="Arial" w:cs="Arial" w:eastAsia="Arial" w:hAnsi="Arial"/>
          <w:color w:val="3D3D3D"/>
          <w:sz w:val="21"/>
          <w:szCs w:val="21"/>
        </w:rPr>
        <w:t xml:space="preserve">David Merriman — Director</w:t>
      </w:r>
    </w:p>
    <w:p>
      <w:pPr>
        <w:spacing w:after="40" w:before="0"/>
      </w:pPr>
    </w:p>
    <w:p>
      <w:pPr>
        <w:spacing w:after="120" w:before="0"/>
      </w:pPr>
      <w:r>
        <w:rPr>
          <w:rFonts w:ascii="Arial" w:cs="Arial" w:eastAsia="Arial" w:hAnsi="Arial"/>
          <w:color w:val="3D3D3D"/>
          <w:sz w:val="21"/>
          <w:szCs w:val="21"/>
        </w:rPr>
        <w:t xml:space="preserve">David has over 20 years of experience in commercial flooring and interior protection, including extensive project delivery within correctional facilities across NSW. As Director, David maintains direct oversight of all projects and is the primary point of contact for programme, quality and compliance matters on every engagement.</w:t>
      </w:r>
    </w:p>
    <w:p>
      <w:pPr>
        <w:spacing w:after="80" w:before="0"/>
      </w:pPr>
    </w:p>
    <w:p>
      <w:pPr>
        <w:spacing w:after="120" w:before="0"/>
      </w:pPr>
      <w:r>
        <w:rPr>
          <w:rFonts w:ascii="Arial" w:cs="Arial" w:eastAsia="Arial" w:hAnsi="Arial"/>
          <w:color w:val="3D3D3D"/>
          <w:sz w:val="21"/>
          <w:szCs w:val="21"/>
        </w:rPr>
        <w:t xml:space="preserve">[Name] — [Title] — [Qualifications] — [Years of relevant experience]</w:t>
      </w:r>
    </w:p>
    <w:p>
      <w:pPr>
        <w:spacing w:after="240" w:before="0"/>
      </w:pPr>
    </w:p>
    <w:p>
      <w:pPr>
        <w:pStyle w:val="Heading1"/>
        <w:spacing w:after="60" w:before="280"/>
      </w:pPr>
      <w:r>
        <w:rPr>
          <w:rFonts w:ascii="Arial" w:cs="Arial" w:eastAsia="Arial" w:hAnsi="Arial"/>
          <w:b/>
          <w:bCs/>
          <w:color w:val="1B3A5C"/>
          <w:sz w:val="26"/>
          <w:szCs w:val="26"/>
        </w:rPr>
        <w:t xml:space="preserve">7.  Referees</w:t>
      </w:r>
    </w:p>
    <w:p>
      <w:pPr>
        <w:pBdr>
          <w:bottom w:val="single" w:color="2E75B6" w:sz="6" w:space="1"/>
        </w:pBdr>
        <w:spacing w:after="100" w:before="0"/>
      </w:pPr>
    </w:p>
    <w:p>
      <w:pPr>
        <w:spacing w:after="80" w:before="0"/>
      </w:pPr>
    </w:p>
    <w:p>
      <w:pPr>
        <w:spacing w:after="120" w:before="0"/>
      </w:pPr>
      <w:r>
        <w:rPr>
          <w:rFonts w:ascii="Arial" w:cs="Arial" w:eastAsia="Arial" w:hAnsi="Arial"/>
          <w:color w:val="3D3D3D"/>
          <w:sz w:val="21"/>
          <w:szCs w:val="21"/>
        </w:rPr>
        <w:t xml:space="preserve">The following referees can speak to SPM's performance on correctional and government institutional projects:</w:t>
      </w:r>
    </w:p>
    <w:p>
      <w:pPr>
        <w:spacing w:after="120" w:before="0"/>
      </w:pPr>
    </w:p>
    <w:p>
      <w:pPr>
        <w:tabs>
          <w:tab w:val="left" w:pos="2200"/>
        </w:tabs>
        <w:spacing w:after="80" w:before="0"/>
      </w:pPr>
      <w:r>
        <w:rPr>
          <w:rFonts w:ascii="Arial" w:cs="Arial" w:eastAsia="Arial" w:hAnsi="Arial"/>
          <w:b/>
          <w:bCs/>
          <w:color w:val="1B3A5C"/>
          <w:sz w:val="21"/>
          <w:szCs w:val="21"/>
        </w:rPr>
        <w:t xml:space="preserve">Referee 1:</w:t>
      </w:r>
      <w:r>
        <w:rPr>
          <w:rFonts w:ascii="Arial" w:cs="Arial" w:eastAsia="Arial" w:hAnsi="Arial"/>
          <w:color w:val="3D3D3D"/>
          <w:sz w:val="21"/>
          <w:szCs w:val="21"/>
        </w:rPr>
        <w:t xml:space="preserve">	[Name, organisation, position, phone, email] — [Project context]</w:t>
      </w:r>
    </w:p>
    <w:p>
      <w:pPr>
        <w:spacing w:after="80" w:before="0"/>
      </w:pPr>
    </w:p>
    <w:p>
      <w:pPr>
        <w:tabs>
          <w:tab w:val="left" w:pos="2200"/>
        </w:tabs>
        <w:spacing w:after="80" w:before="0"/>
      </w:pPr>
      <w:r>
        <w:rPr>
          <w:rFonts w:ascii="Arial" w:cs="Arial" w:eastAsia="Arial" w:hAnsi="Arial"/>
          <w:b/>
          <w:bCs/>
          <w:color w:val="1B3A5C"/>
          <w:sz w:val="21"/>
          <w:szCs w:val="21"/>
        </w:rPr>
        <w:t xml:space="preserve">Referee 2:</w:t>
      </w:r>
      <w:r>
        <w:rPr>
          <w:rFonts w:ascii="Arial" w:cs="Arial" w:eastAsia="Arial" w:hAnsi="Arial"/>
          <w:color w:val="3D3D3D"/>
          <w:sz w:val="21"/>
          <w:szCs w:val="21"/>
        </w:rPr>
        <w:t xml:space="preserve">	[Name, organisation, position, phone, email] — [Project context]</w:t>
      </w:r>
    </w:p>
    <w:p>
      <w:pPr>
        <w:spacing w:after="80" w:before="0"/>
      </w:pPr>
    </w:p>
    <w:p>
      <w:pPr>
        <w:tabs>
          <w:tab w:val="left" w:pos="2200"/>
        </w:tabs>
        <w:spacing w:after="80" w:before="0"/>
      </w:pPr>
      <w:r>
        <w:rPr>
          <w:rFonts w:ascii="Arial" w:cs="Arial" w:eastAsia="Arial" w:hAnsi="Arial"/>
          <w:b/>
          <w:bCs/>
          <w:color w:val="1B3A5C"/>
          <w:sz w:val="21"/>
          <w:szCs w:val="21"/>
        </w:rPr>
        <w:t xml:space="preserve">Referee 3:</w:t>
      </w:r>
      <w:r>
        <w:rPr>
          <w:rFonts w:ascii="Arial" w:cs="Arial" w:eastAsia="Arial" w:hAnsi="Arial"/>
          <w:color w:val="3D3D3D"/>
          <w:sz w:val="21"/>
          <w:szCs w:val="21"/>
        </w:rPr>
        <w:t xml:space="preserve">	[Name, organisation, position, phone, email] — [Project context]</w:t>
      </w:r>
    </w:p>
    <w:p>
      <w:pPr>
        <w:spacing w:after="240" w:before="0"/>
      </w:pPr>
    </w:p>
    <w:p>
      <w:pPr>
        <w:pBdr>
          <w:bottom w:val="single" w:color="1B3A5C" w:sz="6" w:space="1"/>
        </w:pBdr>
        <w:spacing w:after="100" w:before="0"/>
      </w:pPr>
    </w:p>
    <w:p>
      <w:pPr>
        <w:spacing w:after="120" w:before="0"/>
      </w:pPr>
    </w:p>
    <w:p>
      <w:pPr>
        <w:jc w:val="center"/>
      </w:pPr>
      <w:r>
        <w:rPr>
          <w:rFonts w:ascii="Arial" w:cs="Arial" w:eastAsia="Arial" w:hAnsi="Arial"/>
          <w:color w:val="888888"/>
          <w:sz w:val="18"/>
          <w:szCs w:val="18"/>
        </w:rPr>
        <w:t xml:space="preserve">SPM Commercial Flooring  |  [phone]  |  [email]  |  [website]</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SPM — Flooring &amp; Interior Protection  |  Capabilities Statement  |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60" w:before="280"/>
      <w:outlineLvl w:val="0"/>
    </w:pPr>
    <w:rPr>
      <w:rFonts w:ascii="Arial" w:cs="Arial" w:eastAsia="Arial" w:hAnsi="Arial"/>
      <w:b/>
      <w:bCs/>
      <w:color w:val="1B3A5C"/>
      <w:sz w:val="26"/>
      <w:szCs w:val="26"/>
    </w:rPr>
  </w:style>
  <w:style w:type="paragraph" w:styleId="Heading2">
    <w:name w:val="Heading 2"/>
    <w:basedOn w:val="Normal"/>
    <w:next w:val="Normal"/>
    <w:qFormat/>
    <w:pPr>
      <w:spacing w:after="60" w:before="180"/>
      <w:outlineLvl w:val="1"/>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dd38d3190a6f54f2f4205128152bbbc8dea08ed8.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2026-05-28T08:54:54.059Z</dcterms:created>
  <dcterms:modified xsi:type="dcterms:W3CDTF">2026-05-28T08:54:54.059Z</dcterms:modified>
</cp:coreProperties>
</file>

<file path=docProps/custom.xml><?xml version="1.0" encoding="utf-8"?>
<Properties xmlns="http://schemas.openxmlformats.org/officeDocument/2006/custom-properties" xmlns:vt="http://schemas.openxmlformats.org/officeDocument/2006/docPropsVTypes"/>
</file>