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0" w:before="0"/>
      </w:pPr>
      <w:r>
        <w:rPr>
          <w:rFonts w:ascii="Arial" w:cs="Arial" w:eastAsia="Arial" w:hAnsi="Arial"/>
          <w:b/>
          <w:bCs/>
          <w:color w:val="FFFFFF"/>
          <w:sz w:val="36"/>
          <w:szCs w:val="36"/>
        </w:rPr>
        <w:t xml:space="preserve">  CURRICULUM VITAE</w:t>
      </w:r>
    </w:p>
    <w:p>
      <w:pPr>
        <w:shd w:fill="2E75B6" w:val="clear"/>
        <w:spacing w:after="0" w:before="0"/>
      </w:pPr>
      <w:r>
        <w:rPr>
          <w:rFonts w:ascii="Arial" w:cs="Arial" w:eastAsia="Arial" w:hAnsi="Arial"/>
          <w:i/>
          <w:iCs/>
          <w:color w:val="FFFFFF"/>
          <w:sz w:val="20"/>
          <w:szCs w:val="20"/>
        </w:rPr>
        <w:t xml:space="preserve">  GIZ – South African-German Energy Program 4 (SAGEN 4)</w:t>
      </w:r>
    </w:p>
    <w:p>
      <w:pPr>
        <w:spacing w:after="4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1800"/>
        <w:gridCol w:w="2080"/>
      </w:tblGrid>
      <w:tr>
        <w:tc>
          <w:tcPr>
            <w:tcW w:type="dxa" w:w="32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b/>
                <w:bCs/>
                <w:color w:val="1F3864"/>
                <w:sz w:val="18"/>
                <w:szCs w:val="18"/>
              </w:rPr>
              <w:t xml:space="preserve">Proposed Role:</w:t>
            </w:r>
          </w:p>
          <w:p>
            <w:r>
              <w:rPr>
                <w:rFonts w:ascii="Arial" w:cs="Arial" w:eastAsia="Arial" w:hAnsi="Arial"/>
                <w:color w:val="4D4D4D"/>
                <w:sz w:val="18"/>
                <w:szCs w:val="18"/>
              </w:rPr>
              <w:t xml:space="preserve">Technical Team Leader / Senior Energy Expert</w:t>
            </w:r>
          </w:p>
        </w:tc>
        <w:tc>
          <w:tcPr>
            <w:tcW w:type="dxa" w:w="30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b/>
                <w:bCs/>
                <w:color w:val="1F3864"/>
                <w:sz w:val="18"/>
                <w:szCs w:val="18"/>
              </w:rPr>
              <w:t xml:space="preserve">Category:</w:t>
            </w:r>
          </w:p>
          <w:p>
            <w:r>
              <w:rPr>
                <w:rFonts w:ascii="Arial" w:cs="Arial" w:eastAsia="Arial" w:hAnsi="Arial"/>
                <w:color w:val="4D4D4D"/>
                <w:sz w:val="18"/>
                <w:szCs w:val="18"/>
              </w:rPr>
              <w:t xml:space="preserve">Senior Expert – Power Sector Reform</w:t>
            </w:r>
          </w:p>
        </w:tc>
        <w:tc>
          <w:tcPr>
            <w:tcW w:type="dxa" w:w="18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b/>
                <w:bCs/>
                <w:color w:val="1F3864"/>
                <w:sz w:val="18"/>
                <w:szCs w:val="18"/>
              </w:rPr>
              <w:t xml:space="preserve">Title:</w:t>
            </w:r>
          </w:p>
          <w:p>
            <w:r>
              <w:rPr>
                <w:rFonts w:ascii="Arial" w:cs="Arial" w:eastAsia="Arial" w:hAnsi="Arial"/>
                <w:color w:val="4D4D4D"/>
                <w:sz w:val="18"/>
                <w:szCs w:val="18"/>
              </w:rPr>
              <w:t xml:space="preserve">Mr.</w:t>
            </w:r>
          </w:p>
        </w:tc>
        <w:tc>
          <w:tcPr>
            <w:tcW w:type="dxa" w:w="208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b/>
                <w:bCs/>
                <w:color w:val="1F3864"/>
                <w:sz w:val="18"/>
                <w:szCs w:val="18"/>
              </w:rPr>
              <w:t xml:space="preserve">Date of Birth:</w:t>
            </w:r>
          </w:p>
          <w:p>
            <w:r>
              <w:rPr>
                <w:rFonts w:ascii="Arial" w:cs="Arial" w:eastAsia="Arial" w:hAnsi="Arial"/>
                <w:color w:val="4D4D4D"/>
                <w:sz w:val="18"/>
                <w:szCs w:val="18"/>
              </w:rPr>
              <w:t xml:space="preserve">28 March 1992</w:t>
            </w:r>
          </w:p>
        </w:tc>
      </w:tr>
      <w:tr>
        <w:tc>
          <w:tcPr>
            <w:tcW w:type="dxa" w:w="32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b/>
                <w:bCs/>
                <w:color w:val="1F3864"/>
                <w:sz w:val="18"/>
                <w:szCs w:val="18"/>
              </w:rPr>
              <w:t xml:space="preserve">First Name(s):</w:t>
            </w:r>
          </w:p>
          <w:p>
            <w:r>
              <w:rPr>
                <w:rFonts w:ascii="Arial" w:cs="Arial" w:eastAsia="Arial" w:hAnsi="Arial"/>
                <w:sz w:val="18"/>
                <w:szCs w:val="18"/>
              </w:rPr>
              <w:t xml:space="preserve">Keith Tinashe</w:t>
            </w:r>
          </w:p>
        </w:tc>
        <w:tc>
          <w:tcPr>
            <w:tcW w:type="dxa" w:w="30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b/>
                <w:bCs/>
                <w:color w:val="1F3864"/>
                <w:sz w:val="18"/>
                <w:szCs w:val="18"/>
              </w:rPr>
              <w:t xml:space="preserve">Family Name:</w:t>
            </w:r>
          </w:p>
          <w:p>
            <w:r>
              <w:rPr>
                <w:rFonts w:ascii="Arial" w:cs="Arial" w:eastAsia="Arial" w:hAnsi="Arial"/>
                <w:sz w:val="18"/>
                <w:szCs w:val="18"/>
              </w:rPr>
              <w:t xml:space="preserve">Katyora</w:t>
            </w:r>
          </w:p>
        </w:tc>
        <w:tc>
          <w:tcPr>
            <w:tcW w:type="dxa" w:w="3880"/>
            <w:gridSpan w:val="2"/>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b/>
                <w:bCs/>
                <w:color w:val="1F3864"/>
                <w:sz w:val="18"/>
                <w:szCs w:val="18"/>
              </w:rPr>
              <w:t xml:space="preserve">Nationality:</w:t>
            </w:r>
          </w:p>
          <w:p>
            <w:r>
              <w:rPr>
                <w:rFonts w:ascii="Arial" w:cs="Arial" w:eastAsia="Arial" w:hAnsi="Arial"/>
                <w:sz w:val="18"/>
                <w:szCs w:val="18"/>
              </w:rPr>
              <w:t xml:space="preserve">South African</w:t>
            </w:r>
          </w:p>
        </w:tc>
      </w:tr>
      <w:tr>
        <w:tc>
          <w:tcPr>
            <w:tcW w:type="dxa" w:w="32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b/>
                <w:bCs/>
                <w:color w:val="1F3864"/>
                <w:sz w:val="18"/>
                <w:szCs w:val="18"/>
              </w:rPr>
              <w:t xml:space="preserve">Place of Residence:</w:t>
            </w:r>
          </w:p>
          <w:p>
            <w:r>
              <w:rPr>
                <w:rFonts w:ascii="Arial" w:cs="Arial" w:eastAsia="Arial" w:hAnsi="Arial"/>
                <w:color w:val="4D4D4D"/>
                <w:sz w:val="18"/>
                <w:szCs w:val="18"/>
              </w:rPr>
              <w:t xml:space="preserve">Johannesburg, South Africa</w:t>
            </w:r>
          </w:p>
        </w:tc>
        <w:tc>
          <w:tcPr>
            <w:tcW w:type="dxa" w:w="30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b/>
                <w:bCs/>
                <w:color w:val="1F3864"/>
                <w:sz w:val="18"/>
                <w:szCs w:val="18"/>
              </w:rPr>
              <w:t xml:space="preserve">Present Position:</w:t>
            </w:r>
          </w:p>
          <w:p>
            <w:r>
              <w:rPr>
                <w:rFonts w:ascii="Arial" w:cs="Arial" w:eastAsia="Arial" w:hAnsi="Arial"/>
                <w:color w:val="4D4D4D"/>
                <w:sz w:val="18"/>
                <w:szCs w:val="18"/>
              </w:rPr>
              <w:t xml:space="preserve">Freelance Energy &amp; Transmission Consultant</w:t>
            </w:r>
          </w:p>
        </w:tc>
        <w:tc>
          <w:tcPr>
            <w:tcW w:type="dxa" w:w="3880"/>
            <w:gridSpan w:val="2"/>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b/>
                <w:bCs/>
                <w:color w:val="1F3864"/>
                <w:sz w:val="18"/>
                <w:szCs w:val="18"/>
              </w:rPr>
              <w:t xml:space="preserve">Years with Firm (GFA):</w:t>
            </w:r>
          </w:p>
          <w:p>
            <w:r>
              <w:rPr>
                <w:rFonts w:ascii="Arial" w:cs="Arial" w:eastAsia="Arial" w:hAnsi="Arial"/>
                <w:color w:val="4D4D4D"/>
                <w:sz w:val="18"/>
                <w:szCs w:val="18"/>
              </w:rPr>
              <w:t xml:space="preserve">5</w:t>
            </w:r>
          </w:p>
        </w:tc>
      </w:tr>
    </w:tbl>
    <w:p>
      <w:pPr>
        <w:spacing w:after="40" w:before="80"/>
      </w:pPr>
    </w:p>
    <w:p>
      <w:pPr>
        <w:spacing w:after="0" w:before="160"/>
      </w:pPr>
    </w:p>
    <w:p>
      <w:pPr>
        <w:shd w:fill="1F3864" w:val="clear"/>
        <w:spacing w:after="0" w:before="0"/>
        <w:ind w:left="0"/>
      </w:pPr>
      <w:r>
        <w:rPr>
          <w:rFonts w:ascii="Arial" w:cs="Arial" w:eastAsia="Arial" w:hAnsi="Arial"/>
          <w:b/>
          <w:bCs/>
          <w:color w:val="FFFFFF"/>
          <w:sz w:val="22"/>
          <w:szCs w:val="22"/>
        </w:rPr>
        <w:t xml:space="preserve">  PROFESSIONAL PROFILE</w:t>
      </w:r>
    </w:p>
    <w:p>
      <w:pPr>
        <w:spacing w:after="60" w:before="80"/>
      </w:pPr>
    </w:p>
    <w:p>
      <w:pPr>
        <w:spacing w:after="40" w:before="40"/>
      </w:pPr>
      <w:r>
        <w:rPr>
          <w:rFonts w:ascii="Arial" w:cs="Arial" w:eastAsia="Arial" w:hAnsi="Arial"/>
          <w:color w:val="4D4D4D"/>
          <w:sz w:val="19"/>
          <w:szCs w:val="19"/>
        </w:rPr>
        <w:t xml:space="preserve">Mr. Keith Tinashe Katyora is a highly accomplished Senior Electrical Engineer and Energy Sector Specialist with over eight years of progressive experience spanning transmission infrastructure, renewable energy development, power sector reform, energy market design, and high-level technical advisory services across Sub-Saharan Africa, West Africa, East Africa, and Australia. Born in 1992, he brings a rare combination of deep technical engineering expertise and sophisticated programme management capability to every assignment he undertakes.</w:t>
      </w:r>
    </w:p>
    <w:p>
      <w:pPr>
        <w:spacing w:after="40" w:before="40"/>
      </w:pPr>
      <w:r>
        <w:rPr>
          <w:rFonts w:ascii="Arial" w:cs="Arial" w:eastAsia="Arial" w:hAnsi="Arial"/>
          <w:color w:val="4D4D4D"/>
          <w:sz w:val="19"/>
          <w:szCs w:val="19"/>
        </w:rPr>
        <w:t xml:space="preserve">Keith holds a Bachelor of Engineering (Electrical) from the University of Pretoria and has augmented this with internationally recognised professional credentials, including the Project Management Professional (PMP®) designation from the Project Management Institute and the Certified Energy Manager (CEM®) credential from the Association of Energy Engineers. His work on the USAID Southern Africa Energy Program (SAEP) — where he served as Outcome 3 Deputy Lead and Engineering Team Leader — stands as a defining achievement: under his technical leadership, the programme unlocked over 2,500 MW of transmission capacity across the Southern African Power Pool (SAPP) region, helped three utilities achieve Financial Close on transmission projects representing a combined investment exceeding USD 2 billion, and served as official technical advisor to both SAPP and SADC on the Regional Grid Code and the Regional Transmission Infrastructure Financing Facility.</w:t>
      </w:r>
    </w:p>
    <w:p>
      <w:pPr>
        <w:spacing w:after="40" w:before="40"/>
      </w:pPr>
      <w:r>
        <w:rPr>
          <w:rFonts w:ascii="Arial" w:cs="Arial" w:eastAsia="Arial" w:hAnsi="Arial"/>
          <w:color w:val="4D4D4D"/>
          <w:sz w:val="19"/>
          <w:szCs w:val="19"/>
        </w:rPr>
        <w:t xml:space="preserve">As Technical Team Leader for GIZ-SAGEN 4, Mr. Katyora is uniquely positioned to provide expert advisory across all four focal areas — Eskom Unbundling, Private Sector Investment Promotion, Electricity Distribution Industry Reform, and Legislative &amp; Regulatory Reform — while ensuring coherent, high-quality delivery of all contractor services. His track record of managing multi-disciplinary expert teams, engaging senior government counterparts and regulators, and translating complex technical analysis into actionable policy recommendations makes him the ideal steward of this programme.</w:t>
      </w:r>
    </w:p>
    <w:p>
      <w:pPr>
        <w:spacing w:after="0" w:before="160"/>
      </w:pPr>
    </w:p>
    <w:p>
      <w:pPr>
        <w:shd w:fill="1F3864" w:val="clear"/>
        <w:spacing w:after="0" w:before="0"/>
        <w:ind w:left="0"/>
      </w:pPr>
      <w:r>
        <w:rPr>
          <w:rFonts w:ascii="Arial" w:cs="Arial" w:eastAsia="Arial" w:hAnsi="Arial"/>
          <w:b/>
          <w:bCs/>
          <w:color w:val="FFFFFF"/>
          <w:sz w:val="22"/>
          <w:szCs w:val="22"/>
        </w:rPr>
        <w:t xml:space="preserve">  EDUCATION</w:t>
      </w:r>
    </w:p>
    <w:p>
      <w:pPr>
        <w:spacing w:after="6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gridCol w:w="3080"/>
      </w:tblGrid>
      <w:tr>
        <w:tc>
          <w:tcPr>
            <w:tcW w:type="dxa" w:w="4200"/>
            <w:tcBorders>
              <w:top w:val="single" w:color="B8C9DE" w:sz="4"/>
              <w:left w:val="single" w:color="B8C9DE" w:sz="4"/>
              <w:bottom w:val="single" w:color="B8C9DE" w:sz="4"/>
              <w:right w:val="single" w:color="B8C9DE"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Institution [Date From – Date To]</w:t>
            </w:r>
          </w:p>
        </w:tc>
        <w:tc>
          <w:tcPr>
            <w:tcW w:type="dxa" w:w="2800"/>
            <w:tcBorders>
              <w:top w:val="single" w:color="B8C9DE" w:sz="4"/>
              <w:left w:val="single" w:color="B8C9DE" w:sz="4"/>
              <w:bottom w:val="single" w:color="B8C9DE" w:sz="4"/>
              <w:right w:val="single" w:color="B8C9DE"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Date Obtained</w:t>
            </w:r>
          </w:p>
        </w:tc>
        <w:tc>
          <w:tcPr>
            <w:tcW w:type="dxa" w:w="3080"/>
            <w:tcBorders>
              <w:top w:val="single" w:color="B8C9DE" w:sz="4"/>
              <w:left w:val="single" w:color="B8C9DE" w:sz="4"/>
              <w:bottom w:val="single" w:color="B8C9DE" w:sz="4"/>
              <w:right w:val="single" w:color="B8C9DE"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Degree / Diploma Obtained</w:t>
            </w:r>
          </w:p>
        </w:tc>
      </w:tr>
      <w:tr>
        <w:tc>
          <w:tcPr>
            <w:tcW w:type="dxa" w:w="42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University of Pretoria  |  2011 – 2016</w:t>
            </w:r>
          </w:p>
        </w:tc>
        <w:tc>
          <w:tcPr>
            <w:tcW w:type="dxa" w:w="28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2016</w:t>
            </w:r>
          </w:p>
        </w:tc>
        <w:tc>
          <w:tcPr>
            <w:tcW w:type="dxa" w:w="308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Bachelor of Engineering, Electrical (B.Eng. Electrical)</w:t>
            </w:r>
          </w:p>
        </w:tc>
      </w:tr>
      <w:tr>
        <w:tc>
          <w:tcPr>
            <w:tcW w:type="dxa" w:w="42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Project Management Institute (PMI)  |  2021</w:t>
            </w:r>
          </w:p>
        </w:tc>
        <w:tc>
          <w:tcPr>
            <w:tcW w:type="dxa" w:w="28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2021</w:t>
            </w:r>
          </w:p>
        </w:tc>
        <w:tc>
          <w:tcPr>
            <w:tcW w:type="dxa" w:w="308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Project Management Professional (PMP® #3307219)</w:t>
            </w:r>
          </w:p>
        </w:tc>
      </w:tr>
      <w:tr>
        <w:tc>
          <w:tcPr>
            <w:tcW w:type="dxa" w:w="42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Association of Energy Engineers (AEE)  |  2022</w:t>
            </w:r>
          </w:p>
        </w:tc>
        <w:tc>
          <w:tcPr>
            <w:tcW w:type="dxa" w:w="28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2022</w:t>
            </w:r>
          </w:p>
        </w:tc>
        <w:tc>
          <w:tcPr>
            <w:tcW w:type="dxa" w:w="308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Certified Energy Manager (CEM® #98875)</w:t>
            </w:r>
          </w:p>
        </w:tc>
      </w:tr>
      <w:tr>
        <w:tc>
          <w:tcPr>
            <w:tcW w:type="dxa" w:w="42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Aurecon Academy  |  2019</w:t>
            </w:r>
          </w:p>
        </w:tc>
        <w:tc>
          <w:tcPr>
            <w:tcW w:type="dxa" w:w="28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November 2019</w:t>
            </w:r>
          </w:p>
        </w:tc>
        <w:tc>
          <w:tcPr>
            <w:tcW w:type="dxa" w:w="308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Solar PV – Detailed Design Course (Advanced Certification)</w:t>
            </w:r>
          </w:p>
        </w:tc>
      </w:tr>
      <w:tr>
        <w:tc>
          <w:tcPr>
            <w:tcW w:type="dxa" w:w="42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University of Pretoria  |  2015</w:t>
            </w:r>
          </w:p>
        </w:tc>
        <w:tc>
          <w:tcPr>
            <w:tcW w:type="dxa" w:w="28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August 2015</w:t>
            </w:r>
          </w:p>
        </w:tc>
        <w:tc>
          <w:tcPr>
            <w:tcW w:type="dxa" w:w="308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SANS 50050 Training and Certification in Photovoltaic Systems</w:t>
            </w:r>
          </w:p>
        </w:tc>
      </w:tr>
    </w:tbl>
    <w:p>
      <w:pPr>
        <w:spacing w:after="0" w:before="160"/>
      </w:pPr>
    </w:p>
    <w:p>
      <w:pPr>
        <w:shd w:fill="1F3864" w:val="clear"/>
        <w:spacing w:after="0" w:before="0"/>
        <w:ind w:left="0"/>
      </w:pPr>
      <w:r>
        <w:rPr>
          <w:rFonts w:ascii="Arial" w:cs="Arial" w:eastAsia="Arial" w:hAnsi="Arial"/>
          <w:b/>
          <w:bCs/>
          <w:color w:val="FFFFFF"/>
          <w:sz w:val="22"/>
          <w:szCs w:val="22"/>
        </w:rPr>
        <w:t xml:space="preserve">  KEY QUALIFICATIONS RELEVANT TO THE ASSIGNMENT</w:t>
      </w:r>
    </w:p>
    <w:p>
      <w:pPr>
        <w:spacing w:after="60" w:before="80"/>
      </w:pPr>
    </w:p>
    <w:p>
      <w:pPr>
        <w:spacing w:after="40" w:before="100"/>
      </w:pPr>
      <w:r>
        <w:rPr>
          <w:rFonts w:ascii="Arial" w:cs="Arial" w:eastAsia="Arial" w:hAnsi="Arial"/>
          <w:b/>
          <w:bCs/>
          <w:color w:val="2E75B6"/>
          <w:sz w:val="21"/>
          <w:szCs w:val="21"/>
          <w:u w:val="single" w:color="2E75B6"/>
        </w:rPr>
        <w:t xml:space="preserve">Technical Team Leadership &amp; Programme Management</w:t>
      </w:r>
    </w:p>
    <w:p>
      <w:pPr>
        <w:pStyle w:val="ListParagraph"/>
        <w:numPr>
          <w:ilvl w:val="0"/>
          <w:numId w:val="2"/>
        </w:numPr>
        <w:spacing w:after="30" w:before="30"/>
      </w:pPr>
      <w:r>
        <w:rPr>
          <w:rFonts w:ascii="Arial" w:cs="Arial" w:eastAsia="Arial" w:hAnsi="Arial"/>
          <w:color w:val="4D4D4D"/>
          <w:sz w:val="19"/>
          <w:szCs w:val="19"/>
        </w:rPr>
        <w:t xml:space="preserve">Served as Outcome 3 Deputy Lead and Engineering Team Lead on the USAID Southern Africa Energy Program (SAEP), a flagship USD 2 billion+ regional power sector programme spanning 12 SADC member states.</w:t>
      </w:r>
    </w:p>
    <w:p>
      <w:pPr>
        <w:pStyle w:val="ListParagraph"/>
        <w:numPr>
          <w:ilvl w:val="0"/>
          <w:numId w:val="2"/>
        </w:numPr>
        <w:spacing w:after="30" w:before="30"/>
      </w:pPr>
      <w:r>
        <w:rPr>
          <w:rFonts w:ascii="Arial" w:cs="Arial" w:eastAsia="Arial" w:hAnsi="Arial"/>
          <w:color w:val="4D4D4D"/>
          <w:sz w:val="19"/>
          <w:szCs w:val="19"/>
        </w:rPr>
        <w:t xml:space="preserve">Managed a multi-disciplinary team of local and international short-term experts (STEs), coordinating assignment planning, technical quality assurance, reporting compliance, and knowledge transfer to GIZ counterparts and SAPP/SADC stakeholders.</w:t>
      </w:r>
    </w:p>
    <w:p>
      <w:pPr>
        <w:pStyle w:val="ListParagraph"/>
        <w:numPr>
          <w:ilvl w:val="0"/>
          <w:numId w:val="2"/>
        </w:numPr>
        <w:spacing w:after="30" w:before="30"/>
      </w:pPr>
      <w:r>
        <w:rPr>
          <w:rFonts w:ascii="Arial" w:cs="Arial" w:eastAsia="Arial" w:hAnsi="Arial"/>
          <w:color w:val="4D4D4D"/>
          <w:sz w:val="19"/>
          <w:szCs w:val="19"/>
        </w:rPr>
        <w:t xml:space="preserve">Designed and operationalised monitoring frameworks aligned with USAID programme objectives; exceeded regional transmission capacity targets by 260%, unlocking 2,500 MW of new transmission capacity across the Southern African Power Pool.</w:t>
      </w:r>
    </w:p>
    <w:p>
      <w:pPr>
        <w:pStyle w:val="ListParagraph"/>
        <w:numPr>
          <w:ilvl w:val="0"/>
          <w:numId w:val="2"/>
        </w:numPr>
        <w:spacing w:after="30" w:before="30"/>
      </w:pPr>
      <w:r>
        <w:rPr>
          <w:rFonts w:ascii="Arial" w:cs="Arial" w:eastAsia="Arial" w:hAnsi="Arial"/>
          <w:color w:val="4D4D4D"/>
          <w:sz w:val="19"/>
          <w:szCs w:val="19"/>
        </w:rPr>
        <w:t xml:space="preserve">Oversaw preparation and review of all technical deliverables — feasibility studies, grid code analyses, financing facility design documents, policy briefs — ensuring coherence across Outcomes 1, 2, and 3 of SAEP.</w:t>
      </w:r>
    </w:p>
    <w:p>
      <w:pPr>
        <w:pStyle w:val="ListParagraph"/>
        <w:numPr>
          <w:ilvl w:val="0"/>
          <w:numId w:val="2"/>
        </w:numPr>
        <w:spacing w:after="30" w:before="30"/>
      </w:pPr>
      <w:r>
        <w:rPr>
          <w:rFonts w:ascii="Arial" w:cs="Arial" w:eastAsia="Arial" w:hAnsi="Arial"/>
          <w:color w:val="4D4D4D"/>
          <w:sz w:val="19"/>
          <w:szCs w:val="19"/>
        </w:rPr>
        <w:t xml:space="preserve">Served as official technical advisor to SAPP (Southern African Power Pool) and SADC Secretariat on the SADC Regional Grid Code, contributing to a regulatory harmonisation instrument affecting 12 member states.</w:t>
      </w:r>
    </w:p>
    <w:p>
      <w:pPr>
        <w:spacing w:after="40" w:before="100"/>
      </w:pPr>
      <w:r>
        <w:rPr>
          <w:rFonts w:ascii="Arial" w:cs="Arial" w:eastAsia="Arial" w:hAnsi="Arial"/>
          <w:b/>
          <w:bCs/>
          <w:color w:val="2E75B6"/>
          <w:sz w:val="21"/>
          <w:szCs w:val="21"/>
          <w:u w:val="single" w:color="2E75B6"/>
        </w:rPr>
        <w:t xml:space="preserve">Transmission Grid Planning, Finance &amp; Advisory</w:t>
      </w:r>
    </w:p>
    <w:p>
      <w:pPr>
        <w:pStyle w:val="ListParagraph"/>
        <w:numPr>
          <w:ilvl w:val="0"/>
          <w:numId w:val="2"/>
        </w:numPr>
        <w:spacing w:after="30" w:before="30"/>
      </w:pPr>
      <w:r>
        <w:rPr>
          <w:rFonts w:ascii="Arial" w:cs="Arial" w:eastAsia="Arial" w:hAnsi="Arial"/>
          <w:color w:val="4D4D4D"/>
          <w:sz w:val="19"/>
          <w:szCs w:val="19"/>
        </w:rPr>
        <w:t xml:space="preserve">Provided transaction advisory and technical due diligence support to three SADC utilities (including ZESA Holdings, Zimbabwe; BPC, Botswana; and EDM, Mozambique) from project inception through to Financial Close, for transmission projects totalling over USD 2 billion.</w:t>
      </w:r>
    </w:p>
    <w:p>
      <w:pPr>
        <w:pStyle w:val="ListParagraph"/>
        <w:numPr>
          <w:ilvl w:val="0"/>
          <w:numId w:val="2"/>
        </w:numPr>
        <w:spacing w:after="30" w:before="30"/>
      </w:pPr>
      <w:r>
        <w:rPr>
          <w:rFonts w:ascii="Arial" w:cs="Arial" w:eastAsia="Arial" w:hAnsi="Arial"/>
          <w:color w:val="4D4D4D"/>
          <w:sz w:val="19"/>
          <w:szCs w:val="19"/>
        </w:rPr>
        <w:t xml:space="preserve">Designed and structured the SAPP Regional Transmission Infrastructure Financing Facility — a landmark regional mechanism to pool financing for cross-border transmission investments — presented to multilateral development banks and SADC Heads of State.</w:t>
      </w:r>
    </w:p>
    <w:p>
      <w:pPr>
        <w:pStyle w:val="ListParagraph"/>
        <w:numPr>
          <w:ilvl w:val="0"/>
          <w:numId w:val="2"/>
        </w:numPr>
        <w:spacing w:after="30" w:before="30"/>
      </w:pPr>
      <w:r>
        <w:rPr>
          <w:rFonts w:ascii="Arial" w:cs="Arial" w:eastAsia="Arial" w:hAnsi="Arial"/>
          <w:color w:val="4D4D4D"/>
          <w:sz w:val="19"/>
          <w:szCs w:val="19"/>
        </w:rPr>
        <w:t xml:space="preserve">Conducted advanced transmission network studies using PSS/E (power flow, contingency, short-circuit, stability) to assess interconnection viability, capacity expansion scenarios, and grid code compliance across the SAPP interconnected system.</w:t>
      </w:r>
    </w:p>
    <w:p>
      <w:pPr>
        <w:pStyle w:val="ListParagraph"/>
        <w:numPr>
          <w:ilvl w:val="0"/>
          <w:numId w:val="2"/>
        </w:numPr>
        <w:spacing w:after="30" w:before="30"/>
      </w:pPr>
      <w:r>
        <w:rPr>
          <w:rFonts w:ascii="Arial" w:cs="Arial" w:eastAsia="Arial" w:hAnsi="Arial"/>
          <w:color w:val="4D4D4D"/>
          <w:sz w:val="19"/>
          <w:szCs w:val="19"/>
        </w:rPr>
        <w:t xml:space="preserve">Delivered expert advisory on cross-border power trading mechanisms, wheeling charges, open access frameworks, and SAPP Market Operator regulations.</w:t>
      </w:r>
    </w:p>
    <w:p>
      <w:pPr>
        <w:pStyle w:val="ListParagraph"/>
        <w:numPr>
          <w:ilvl w:val="0"/>
          <w:numId w:val="2"/>
        </w:numPr>
        <w:spacing w:after="30" w:before="30"/>
      </w:pPr>
      <w:r>
        <w:rPr>
          <w:rFonts w:ascii="Arial" w:cs="Arial" w:eastAsia="Arial" w:hAnsi="Arial"/>
          <w:color w:val="4D4D4D"/>
          <w:sz w:val="19"/>
          <w:szCs w:val="19"/>
        </w:rPr>
        <w:t xml:space="preserve">Authored sector papers on transmission infrastructure financing models for Sub-Saharan Africa, drawing on comparative analysis of ENTSO-E, MISO, and East African Power Pool frameworks.</w:t>
      </w:r>
    </w:p>
    <w:p>
      <w:pPr>
        <w:spacing w:after="40" w:before="100"/>
      </w:pPr>
      <w:r>
        <w:rPr>
          <w:rFonts w:ascii="Arial" w:cs="Arial" w:eastAsia="Arial" w:hAnsi="Arial"/>
          <w:b/>
          <w:bCs/>
          <w:color w:val="2E75B6"/>
          <w:sz w:val="21"/>
          <w:szCs w:val="21"/>
          <w:u w:val="single" w:color="2E75B6"/>
        </w:rPr>
        <w:t xml:space="preserve">Renewable Energy Engineering &amp; Project Development</w:t>
      </w:r>
    </w:p>
    <w:p>
      <w:pPr>
        <w:pStyle w:val="ListParagraph"/>
        <w:numPr>
          <w:ilvl w:val="0"/>
          <w:numId w:val="2"/>
        </w:numPr>
        <w:spacing w:after="30" w:before="30"/>
      </w:pPr>
      <w:r>
        <w:rPr>
          <w:rFonts w:ascii="Arial" w:cs="Arial" w:eastAsia="Arial" w:hAnsi="Arial"/>
          <w:color w:val="4D4D4D"/>
          <w:sz w:val="19"/>
          <w:szCs w:val="19"/>
        </w:rPr>
        <w:t xml:space="preserve">Performed energy yield analysis, PVSyst solar modelling, and battery energy storage system (BESS) design on 1.2 GW of solar projects across South Africa, Kenya, Zimbabwe, Botswana, Angola, Egypt, Mozambique, and Australia while at Aurecon.</w:t>
      </w:r>
    </w:p>
    <w:p>
      <w:pPr>
        <w:pStyle w:val="ListParagraph"/>
        <w:numPr>
          <w:ilvl w:val="0"/>
          <w:numId w:val="2"/>
        </w:numPr>
        <w:spacing w:after="30" w:before="30"/>
      </w:pPr>
      <w:r>
        <w:rPr>
          <w:rFonts w:ascii="Arial" w:cs="Arial" w:eastAsia="Arial" w:hAnsi="Arial"/>
          <w:color w:val="4D4D4D"/>
          <w:sz w:val="19"/>
          <w:szCs w:val="19"/>
        </w:rPr>
        <w:t xml:space="preserve">Supported development of 14 green energy projects for Sunelex Energy (11 Solar PV, 2 Wind, 1 Green Hydrogen), aggregating 6.4 GW of generation capacity across South Africa, including preparation of all documents required for Financial Close, technical pre-feasibility assessments, and grid connection studies.</w:t>
      </w:r>
    </w:p>
    <w:p>
      <w:pPr>
        <w:pStyle w:val="ListParagraph"/>
        <w:numPr>
          <w:ilvl w:val="0"/>
          <w:numId w:val="2"/>
        </w:numPr>
        <w:spacing w:after="30" w:before="30"/>
      </w:pPr>
      <w:r>
        <w:rPr>
          <w:rFonts w:ascii="Arial" w:cs="Arial" w:eastAsia="Arial" w:hAnsi="Arial"/>
          <w:color w:val="4D4D4D"/>
          <w:sz w:val="19"/>
          <w:szCs w:val="19"/>
        </w:rPr>
        <w:t xml:space="preserve">Proficient in DIgSILENT PowerFactory for load flow, dynamic simulation, protection co-ordination, and renewable energy integration studies; extensive experience modelling utility-scale PV and battery systems using PVSyst.</w:t>
      </w:r>
    </w:p>
    <w:p>
      <w:pPr>
        <w:pStyle w:val="ListParagraph"/>
        <w:numPr>
          <w:ilvl w:val="0"/>
          <w:numId w:val="2"/>
        </w:numPr>
        <w:spacing w:after="30" w:before="30"/>
      </w:pPr>
      <w:r>
        <w:rPr>
          <w:rFonts w:ascii="Arial" w:cs="Arial" w:eastAsia="Arial" w:hAnsi="Arial"/>
          <w:color w:val="4D4D4D"/>
          <w:sz w:val="19"/>
          <w:szCs w:val="19"/>
        </w:rPr>
        <w:t xml:space="preserve">Conducted advanced power systems studies under SAEP for the integration of variable renewable energy (VRE) into the SAPP interconnected grid, covering inertia management, frequency regulation reserves, and ancillary service design.</w:t>
      </w:r>
    </w:p>
    <w:p>
      <w:pPr>
        <w:spacing w:after="40" w:before="100"/>
      </w:pPr>
      <w:r>
        <w:rPr>
          <w:rFonts w:ascii="Arial" w:cs="Arial" w:eastAsia="Arial" w:hAnsi="Arial"/>
          <w:b/>
          <w:bCs/>
          <w:color w:val="2E75B6"/>
          <w:sz w:val="21"/>
          <w:szCs w:val="21"/>
          <w:u w:val="single" w:color="2E75B6"/>
        </w:rPr>
        <w:t xml:space="preserve">Power Sector Reform, Regulatory &amp; Policy Advisory</w:t>
      </w:r>
    </w:p>
    <w:p>
      <w:pPr>
        <w:pStyle w:val="ListParagraph"/>
        <w:numPr>
          <w:ilvl w:val="0"/>
          <w:numId w:val="2"/>
        </w:numPr>
        <w:spacing w:after="30" w:before="30"/>
      </w:pPr>
      <w:r>
        <w:rPr>
          <w:rFonts w:ascii="Arial" w:cs="Arial" w:eastAsia="Arial" w:hAnsi="Arial"/>
          <w:color w:val="4D4D4D"/>
          <w:sz w:val="19"/>
          <w:szCs w:val="19"/>
        </w:rPr>
        <w:t xml:space="preserve">Provided expert technical assistance to USAID Power Africa's West Africa Energy Program (WAEP), advising the Government of Senegal, Senelec, and Lekela Power on energy sector reform and renewable energy transaction structuring.</w:t>
      </w:r>
    </w:p>
    <w:p>
      <w:pPr>
        <w:pStyle w:val="ListParagraph"/>
        <w:numPr>
          <w:ilvl w:val="0"/>
          <w:numId w:val="2"/>
        </w:numPr>
        <w:spacing w:after="30" w:before="30"/>
      </w:pPr>
      <w:r>
        <w:rPr>
          <w:rFonts w:ascii="Arial" w:cs="Arial" w:eastAsia="Arial" w:hAnsi="Arial"/>
          <w:color w:val="4D4D4D"/>
          <w:sz w:val="19"/>
          <w:szCs w:val="19"/>
        </w:rPr>
        <w:t xml:space="preserve">Deep expertise in the South African electricity regulatory landscape: the Electricity Regulation Act (ERA), National Energy Regulator of South Africa (NERSA) frameworks, the Grid Code, the Integrated Resource Plan (IRP), and the reform of the Distribution Industry under NERSA's MYPD Methodology.</w:t>
      </w:r>
    </w:p>
    <w:p>
      <w:pPr>
        <w:pStyle w:val="ListParagraph"/>
        <w:numPr>
          <w:ilvl w:val="0"/>
          <w:numId w:val="2"/>
        </w:numPr>
        <w:spacing w:after="30" w:before="30"/>
      </w:pPr>
      <w:r>
        <w:rPr>
          <w:rFonts w:ascii="Arial" w:cs="Arial" w:eastAsia="Arial" w:hAnsi="Arial"/>
          <w:color w:val="4D4D4D"/>
          <w:sz w:val="19"/>
          <w:szCs w:val="19"/>
        </w:rPr>
        <w:t xml:space="preserve">Contributed to legislative advisory on wheeling frameworks, non-discriminatory grid access, Eskom unbundling, and the formation of a competitive wholesale electricity market (WEM) in South Africa.</w:t>
      </w:r>
    </w:p>
    <w:p>
      <w:pPr>
        <w:pStyle w:val="ListParagraph"/>
        <w:numPr>
          <w:ilvl w:val="0"/>
          <w:numId w:val="2"/>
        </w:numPr>
        <w:spacing w:after="30" w:before="30"/>
      </w:pPr>
      <w:r>
        <w:rPr>
          <w:rFonts w:ascii="Arial" w:cs="Arial" w:eastAsia="Arial" w:hAnsi="Arial"/>
          <w:color w:val="4D4D4D"/>
          <w:sz w:val="19"/>
          <w:szCs w:val="19"/>
        </w:rPr>
        <w:t xml:space="preserve">Familiar with GIZ's Capacity WORKS management model and adept at applying cooperation systems thinking to complex power sector reform programmes.</w:t>
      </w:r>
    </w:p>
    <w:p>
      <w:pPr>
        <w:pStyle w:val="ListParagraph"/>
        <w:numPr>
          <w:ilvl w:val="0"/>
          <w:numId w:val="2"/>
        </w:numPr>
        <w:spacing w:after="30" w:before="30"/>
      </w:pPr>
      <w:r>
        <w:rPr>
          <w:rFonts w:ascii="Arial" w:cs="Arial" w:eastAsia="Arial" w:hAnsi="Arial"/>
          <w:color w:val="4D4D4D"/>
          <w:sz w:val="19"/>
          <w:szCs w:val="19"/>
        </w:rPr>
        <w:t xml:space="preserve">Delivered presentations and advisory to senior government officials, including at Ministerial level, in South Africa, Botswana, Zimbabwe, Mozambique, Zambia, and Senegal on energy transition pathways.</w:t>
      </w:r>
    </w:p>
    <w:p>
      <w:pPr>
        <w:spacing w:after="40" w:before="100"/>
      </w:pPr>
      <w:r>
        <w:rPr>
          <w:rFonts w:ascii="Arial" w:cs="Arial" w:eastAsia="Arial" w:hAnsi="Arial"/>
          <w:b/>
          <w:bCs/>
          <w:color w:val="2E75B6"/>
          <w:sz w:val="21"/>
          <w:szCs w:val="21"/>
          <w:u w:val="single" w:color="2E75B6"/>
        </w:rPr>
        <w:t xml:space="preserve">Knowledge Management, Capacity Building &amp; Stakeholder Engagement</w:t>
      </w:r>
    </w:p>
    <w:p>
      <w:pPr>
        <w:pStyle w:val="ListParagraph"/>
        <w:numPr>
          <w:ilvl w:val="0"/>
          <w:numId w:val="2"/>
        </w:numPr>
        <w:spacing w:after="30" w:before="30"/>
      </w:pPr>
      <w:r>
        <w:rPr>
          <w:rFonts w:ascii="Arial" w:cs="Arial" w:eastAsia="Arial" w:hAnsi="Arial"/>
          <w:color w:val="4D4D4D"/>
          <w:sz w:val="19"/>
          <w:szCs w:val="19"/>
        </w:rPr>
        <w:t xml:space="preserve">Presented at six international conferences, including UNESCO Engineering 2018, PowerGen Africa, AMEU 2018, PIESA IERE International Conference 2019, CESA Infrastructure Indaba 2022, and Enlit Africa 2023; awarded Third Best Paper Prize at PowerGen Africa.</w:t>
      </w:r>
    </w:p>
    <w:p>
      <w:pPr>
        <w:pStyle w:val="ListParagraph"/>
        <w:numPr>
          <w:ilvl w:val="0"/>
          <w:numId w:val="2"/>
        </w:numPr>
        <w:spacing w:after="30" w:before="30"/>
      </w:pPr>
      <w:r>
        <w:rPr>
          <w:rFonts w:ascii="Arial" w:cs="Arial" w:eastAsia="Arial" w:hAnsi="Arial"/>
          <w:color w:val="4D4D4D"/>
          <w:sz w:val="19"/>
          <w:szCs w:val="19"/>
        </w:rPr>
        <w:t xml:space="preserve">Named 2020/21 Young Engineer of the Year by the South African National Energy Association (SANEA); selected as one of the Mail &amp; Guardian Top 200 Young South Africans 2019 (Science &amp; Technology).</w:t>
      </w:r>
    </w:p>
    <w:p>
      <w:pPr>
        <w:pStyle w:val="ListParagraph"/>
        <w:numPr>
          <w:ilvl w:val="0"/>
          <w:numId w:val="2"/>
        </w:numPr>
        <w:spacing w:after="30" w:before="30"/>
      </w:pPr>
      <w:r>
        <w:rPr>
          <w:rFonts w:ascii="Arial" w:cs="Arial" w:eastAsia="Arial" w:hAnsi="Arial"/>
          <w:color w:val="4D4D4D"/>
          <w:sz w:val="19"/>
          <w:szCs w:val="19"/>
        </w:rPr>
        <w:t xml:space="preserve">Chair, Consulting Engineers of South Africa (CESA) Young Professionals Forum (Gauteng North) 2017/19; elected Chair of the CESA Innovation &amp; Technology Forum 2019/20.</w:t>
      </w:r>
    </w:p>
    <w:p>
      <w:pPr>
        <w:pStyle w:val="ListParagraph"/>
        <w:numPr>
          <w:ilvl w:val="0"/>
          <w:numId w:val="2"/>
        </w:numPr>
        <w:spacing w:after="30" w:before="30"/>
      </w:pPr>
      <w:r>
        <w:rPr>
          <w:rFonts w:ascii="Arial" w:cs="Arial" w:eastAsia="Arial" w:hAnsi="Arial"/>
          <w:color w:val="4D4D4D"/>
          <w:sz w:val="19"/>
          <w:szCs w:val="19"/>
        </w:rPr>
        <w:t xml:space="preserve">Member of the National Science, Technology &amp; Innovation (STI) Foresight Initiative under the National Advisory Council on Innovation (NACI) to the Ministry of Science and Technology.</w:t>
      </w:r>
    </w:p>
    <w:p>
      <w:pPr>
        <w:pStyle w:val="ListParagraph"/>
        <w:numPr>
          <w:ilvl w:val="0"/>
          <w:numId w:val="2"/>
        </w:numPr>
        <w:spacing w:after="30" w:before="30"/>
      </w:pPr>
      <w:r>
        <w:rPr>
          <w:rFonts w:ascii="Arial" w:cs="Arial" w:eastAsia="Arial" w:hAnsi="Arial"/>
          <w:color w:val="4D4D4D"/>
          <w:sz w:val="19"/>
          <w:szCs w:val="19"/>
        </w:rPr>
        <w:t xml:space="preserve">Co-founded the Engineers Without Borders (EWB) chapter at the University of Pretoria; served as Vice-Chairperson.</w:t>
      </w:r>
    </w:p>
    <w:p>
      <w:pPr>
        <w:spacing w:after="0" w:before="160"/>
      </w:pPr>
    </w:p>
    <w:p>
      <w:pPr>
        <w:shd w:fill="1F3864" w:val="clear"/>
        <w:spacing w:after="0" w:before="0"/>
        <w:ind w:left="0"/>
      </w:pPr>
      <w:r>
        <w:rPr>
          <w:rFonts w:ascii="Arial" w:cs="Arial" w:eastAsia="Arial" w:hAnsi="Arial"/>
          <w:b/>
          <w:bCs/>
          <w:color w:val="FFFFFF"/>
          <w:sz w:val="22"/>
          <w:szCs w:val="22"/>
        </w:rPr>
        <w:t xml:space="preserve">  LANGUAGE SKILLS</w:t>
      </w:r>
    </w:p>
    <w:p>
      <w:pPr>
        <w:spacing w:after="6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890"/>
        <w:gridCol w:w="1890"/>
        <w:gridCol w:w="1890"/>
        <w:gridCol w:w="1950"/>
      </w:tblGrid>
      <w:tr>
        <w:tc>
          <w:tcPr>
            <w:tcW w:type="dxa" w:w="2520"/>
            <w:tcBorders>
              <w:top w:val="single" w:color="B8C9DE" w:sz="4"/>
              <w:left w:val="single" w:color="B8C9DE" w:sz="4"/>
              <w:bottom w:val="single" w:color="B8C9DE" w:sz="4"/>
              <w:right w:val="single" w:color="B8C9DE"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Language</w:t>
            </w:r>
          </w:p>
        </w:tc>
        <w:tc>
          <w:tcPr>
            <w:tcW w:type="dxa" w:w="1890"/>
            <w:tcBorders>
              <w:top w:val="single" w:color="B8C9DE" w:sz="4"/>
              <w:left w:val="single" w:color="B8C9DE" w:sz="4"/>
              <w:bottom w:val="single" w:color="B8C9DE" w:sz="4"/>
              <w:right w:val="single" w:color="B8C9DE"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Reading</w:t>
            </w:r>
          </w:p>
        </w:tc>
        <w:tc>
          <w:tcPr>
            <w:tcW w:type="dxa" w:w="1890"/>
            <w:tcBorders>
              <w:top w:val="single" w:color="B8C9DE" w:sz="4"/>
              <w:left w:val="single" w:color="B8C9DE" w:sz="4"/>
              <w:bottom w:val="single" w:color="B8C9DE" w:sz="4"/>
              <w:right w:val="single" w:color="B8C9DE"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Speaking</w:t>
            </w:r>
          </w:p>
        </w:tc>
        <w:tc>
          <w:tcPr>
            <w:tcW w:type="dxa" w:w="1890"/>
            <w:tcBorders>
              <w:top w:val="single" w:color="B8C9DE" w:sz="4"/>
              <w:left w:val="single" w:color="B8C9DE" w:sz="4"/>
              <w:bottom w:val="single" w:color="B8C9DE" w:sz="4"/>
              <w:right w:val="single" w:color="B8C9DE"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Writing</w:t>
            </w:r>
          </w:p>
        </w:tc>
        <w:tc>
          <w:tcPr>
            <w:tcW w:type="dxa" w:w="1950"/>
            <w:tcBorders>
              <w:top w:val="single" w:color="B8C9DE" w:sz="4"/>
              <w:left w:val="single" w:color="B8C9DE" w:sz="4"/>
              <w:bottom w:val="single" w:color="B8C9DE" w:sz="4"/>
              <w:right w:val="single" w:color="B8C9DE"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Overall Proficiency</w:t>
            </w:r>
          </w:p>
        </w:tc>
      </w:tr>
      <w:tr>
        <w:tc>
          <w:tcPr>
            <w:tcW w:type="dxa" w:w="252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English</w:t>
            </w:r>
          </w:p>
        </w:tc>
        <w:tc>
          <w:tcPr>
            <w:tcW w:type="dxa" w:w="189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C2 / Mother Tongue</w:t>
            </w:r>
          </w:p>
        </w:tc>
        <w:tc>
          <w:tcPr>
            <w:tcW w:type="dxa" w:w="189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C2 / Mother Tongue</w:t>
            </w:r>
          </w:p>
        </w:tc>
        <w:tc>
          <w:tcPr>
            <w:tcW w:type="dxa" w:w="189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C2 / Mother Tongue</w:t>
            </w:r>
          </w:p>
        </w:tc>
        <w:tc>
          <w:tcPr>
            <w:tcW w:type="dxa" w:w="195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Native / Excellent</w:t>
            </w:r>
          </w:p>
        </w:tc>
      </w:tr>
      <w:tr>
        <w:tc>
          <w:tcPr>
            <w:tcW w:type="dxa" w:w="252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Afrikaans</w:t>
            </w:r>
          </w:p>
        </w:tc>
        <w:tc>
          <w:tcPr>
            <w:tcW w:type="dxa" w:w="189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C2</w:t>
            </w:r>
          </w:p>
        </w:tc>
        <w:tc>
          <w:tcPr>
            <w:tcW w:type="dxa" w:w="189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C2</w:t>
            </w:r>
          </w:p>
        </w:tc>
        <w:tc>
          <w:tcPr>
            <w:tcW w:type="dxa" w:w="189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C2</w:t>
            </w:r>
          </w:p>
        </w:tc>
        <w:tc>
          <w:tcPr>
            <w:tcW w:type="dxa" w:w="195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Proficient</w:t>
            </w:r>
          </w:p>
        </w:tc>
      </w:tr>
      <w:tr>
        <w:tc>
          <w:tcPr>
            <w:tcW w:type="dxa" w:w="252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Zulu</w:t>
            </w:r>
          </w:p>
        </w:tc>
        <w:tc>
          <w:tcPr>
            <w:tcW w:type="dxa" w:w="189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C2</w:t>
            </w:r>
          </w:p>
        </w:tc>
        <w:tc>
          <w:tcPr>
            <w:tcW w:type="dxa" w:w="189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C2</w:t>
            </w:r>
          </w:p>
        </w:tc>
        <w:tc>
          <w:tcPr>
            <w:tcW w:type="dxa" w:w="189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A1</w:t>
            </w:r>
          </w:p>
        </w:tc>
        <w:tc>
          <w:tcPr>
            <w:tcW w:type="dxa" w:w="195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Advanced (oral)</w:t>
            </w:r>
          </w:p>
        </w:tc>
      </w:tr>
    </w:tbl>
    <w:p>
      <w:pPr>
        <w:spacing w:after="0" w:before="160"/>
      </w:pPr>
    </w:p>
    <w:p>
      <w:pPr>
        <w:shd w:fill="1F3864" w:val="clear"/>
        <w:spacing w:after="0" w:before="0"/>
        <w:ind w:left="0"/>
      </w:pPr>
      <w:r>
        <w:rPr>
          <w:rFonts w:ascii="Arial" w:cs="Arial" w:eastAsia="Arial" w:hAnsi="Arial"/>
          <w:b/>
          <w:bCs/>
          <w:color w:val="FFFFFF"/>
          <w:sz w:val="22"/>
          <w:szCs w:val="22"/>
        </w:rPr>
        <w:t xml:space="preserve">  MEMBERSHIP OF PROFESSIONAL BODIES</w:t>
      </w:r>
    </w:p>
    <w:p>
      <w:pPr>
        <w:spacing w:after="6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B8C9DE" w:sz="4"/>
              <w:left w:val="single" w:color="B8C9DE" w:sz="4"/>
              <w:bottom w:val="single" w:color="B8C9DE" w:sz="4"/>
              <w:right w:val="single" w:color="B8C9DE"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Role / Status</w:t>
            </w:r>
          </w:p>
        </w:tc>
        <w:tc>
          <w:tcPr>
            <w:tcW w:type="dxa" w:w="6880"/>
            <w:tcBorders>
              <w:top w:val="single" w:color="B8C9DE" w:sz="4"/>
              <w:left w:val="single" w:color="B8C9DE" w:sz="4"/>
              <w:bottom w:val="single" w:color="B8C9DE" w:sz="4"/>
              <w:right w:val="single" w:color="B8C9DE"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Professional Body</w:t>
            </w:r>
          </w:p>
        </w:tc>
      </w:tr>
      <w:tr>
        <w:tc>
          <w:tcPr>
            <w:tcW w:type="dxa" w:w="32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Member</w:t>
            </w:r>
          </w:p>
        </w:tc>
        <w:tc>
          <w:tcPr>
            <w:tcW w:type="dxa" w:w="688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Institute of Energy Professionals Africa (IEPA)</w:t>
            </w:r>
          </w:p>
        </w:tc>
      </w:tr>
      <w:tr>
        <w:tc>
          <w:tcPr>
            <w:tcW w:type="dxa" w:w="32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Member</w:t>
            </w:r>
          </w:p>
        </w:tc>
        <w:tc>
          <w:tcPr>
            <w:tcW w:type="dxa" w:w="688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Association of Energy Engineers (AEE) – International Member</w:t>
            </w:r>
          </w:p>
        </w:tc>
      </w:tr>
      <w:tr>
        <w:tc>
          <w:tcPr>
            <w:tcW w:type="dxa" w:w="32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Member</w:t>
            </w:r>
          </w:p>
        </w:tc>
        <w:tc>
          <w:tcPr>
            <w:tcW w:type="dxa" w:w="688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Zimbabwe Institute of Engineers (ZIE)</w:t>
            </w:r>
          </w:p>
        </w:tc>
      </w:tr>
      <w:tr>
        <w:tc>
          <w:tcPr>
            <w:tcW w:type="dxa" w:w="32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Candidate Engineer</w:t>
            </w:r>
          </w:p>
        </w:tc>
        <w:tc>
          <w:tcPr>
            <w:tcW w:type="dxa" w:w="688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Engineering Council of South Africa (ECSA) – Registered Candidate Engineer</w:t>
            </w:r>
          </w:p>
        </w:tc>
      </w:tr>
      <w:tr>
        <w:tc>
          <w:tcPr>
            <w:tcW w:type="dxa" w:w="32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Member</w:t>
            </w:r>
          </w:p>
        </w:tc>
        <w:tc>
          <w:tcPr>
            <w:tcW w:type="dxa" w:w="688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Southern African Energy Efficiency Confederation (SAEEC)</w:t>
            </w:r>
          </w:p>
        </w:tc>
      </w:tr>
      <w:tr>
        <w:tc>
          <w:tcPr>
            <w:tcW w:type="dxa" w:w="32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Member (fmr. Chair, Young Professionals &amp; Innovation Committees)</w:t>
            </w:r>
          </w:p>
        </w:tc>
        <w:tc>
          <w:tcPr>
            <w:tcW w:type="dxa" w:w="688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Consulting Engineers of South Africa (CESA)</w:t>
            </w:r>
          </w:p>
        </w:tc>
      </w:tr>
      <w:tr>
        <w:tc>
          <w:tcPr>
            <w:tcW w:type="dxa" w:w="32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Co-Founder &amp; fmr. Vice-Chairperson</w:t>
            </w:r>
          </w:p>
        </w:tc>
        <w:tc>
          <w:tcPr>
            <w:tcW w:type="dxa" w:w="688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Engineers Without Borders (EWB) – University of Pretoria Chapter</w:t>
            </w:r>
          </w:p>
        </w:tc>
      </w:tr>
      <w:tr>
        <w:tc>
          <w:tcPr>
            <w:tcW w:type="dxa" w:w="32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Mentor</w:t>
            </w:r>
          </w:p>
        </w:tc>
        <w:tc>
          <w:tcPr>
            <w:tcW w:type="dxa" w:w="688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University of Pretoria Alumni Mentorship Programme</w:t>
            </w:r>
          </w:p>
        </w:tc>
      </w:tr>
    </w:tbl>
    <w:p>
      <w:pPr>
        <w:spacing w:after="0" w:before="160"/>
      </w:pPr>
    </w:p>
    <w:p>
      <w:pPr>
        <w:shd w:fill="1F3864" w:val="clear"/>
        <w:spacing w:after="0" w:before="0"/>
        <w:ind w:left="0"/>
      </w:pPr>
      <w:r>
        <w:rPr>
          <w:rFonts w:ascii="Arial" w:cs="Arial" w:eastAsia="Arial" w:hAnsi="Arial"/>
          <w:b/>
          <w:bCs/>
          <w:color w:val="FFFFFF"/>
          <w:sz w:val="22"/>
          <w:szCs w:val="22"/>
        </w:rPr>
        <w:t xml:space="preserve">  OTHER SKILLS &amp; TECHNICAL COMPETENCIES</w:t>
      </w:r>
    </w:p>
    <w:p>
      <w:pPr>
        <w:spacing w:after="6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B8C9DE" w:sz="4"/>
              <w:left w:val="single" w:color="B8C9DE" w:sz="4"/>
              <w:bottom w:val="single" w:color="B8C9DE" w:sz="4"/>
              <w:right w:val="single" w:color="B8C9DE"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7580"/>
            <w:tcBorders>
              <w:top w:val="single" w:color="B8C9DE" w:sz="4"/>
              <w:left w:val="single" w:color="B8C9DE" w:sz="4"/>
              <w:bottom w:val="single" w:color="B8C9DE" w:sz="4"/>
              <w:right w:val="single" w:color="B8C9DE"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5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Software – Advanced</w:t>
            </w:r>
          </w:p>
        </w:tc>
        <w:tc>
          <w:tcPr>
            <w:tcW w:type="dxa" w:w="758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PSS/E (Transmission Planning &amp; Analysis), DIgSILENT PowerFactory, PVSyst (Solar Design &amp; Analysis), AutoCAD, Figma (UI/UX), Flutter (Mobile App Development)</w:t>
            </w:r>
          </w:p>
        </w:tc>
      </w:tr>
      <w:tr>
        <w:tc>
          <w:tcPr>
            <w:tcW w:type="dxa" w:w="25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Software – Intermediate</w:t>
            </w:r>
          </w:p>
        </w:tc>
        <w:tc>
          <w:tcPr>
            <w:tcW w:type="dxa" w:w="758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Python, C / C# / C++, LISP, MS Office Suite (including SharePoint and MS Projects)</w:t>
            </w:r>
          </w:p>
        </w:tc>
      </w:tr>
      <w:tr>
        <w:tc>
          <w:tcPr>
            <w:tcW w:type="dxa" w:w="25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Software – Learning</w:t>
            </w:r>
          </w:p>
        </w:tc>
        <w:tc>
          <w:tcPr>
            <w:tcW w:type="dxa" w:w="758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PLEXOS (capacity expansion &amp; dispatch modelling), OSeMOSYS (energy systems modelling)</w:t>
            </w:r>
          </w:p>
        </w:tc>
      </w:tr>
      <w:tr>
        <w:tc>
          <w:tcPr>
            <w:tcW w:type="dxa" w:w="25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Engineering</w:t>
            </w:r>
          </w:p>
        </w:tc>
        <w:tc>
          <w:tcPr>
            <w:tcW w:type="dxa" w:w="758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Transmission grid planning, power systems studies (load flow, contingency, stability, short-circuit), grid code development, renewable energy integration, BESS design, energy yield modelling, protection co-ordination</w:t>
            </w:r>
          </w:p>
        </w:tc>
      </w:tr>
      <w:tr>
        <w:tc>
          <w:tcPr>
            <w:tcW w:type="dxa" w:w="25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Management</w:t>
            </w:r>
          </w:p>
        </w:tc>
        <w:tc>
          <w:tcPr>
            <w:tcW w:type="dxa" w:w="758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Project Management (PMP® certified), risk management and mitigation strategies, programme monitoring &amp; evaluation, stakeholder engagement, team leadership, knowledge management</w:t>
            </w:r>
          </w:p>
        </w:tc>
      </w:tr>
      <w:tr>
        <w:tc>
          <w:tcPr>
            <w:tcW w:type="dxa" w:w="25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Finance &amp; Advisory</w:t>
            </w:r>
          </w:p>
        </w:tc>
        <w:tc>
          <w:tcPr>
            <w:tcW w:type="dxa" w:w="758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Transmission infrastructure financing, financial modelling for transmission and renewable projects, transaction advisory, project preparation and procurement, IPP bid evaluation</w:t>
            </w:r>
          </w:p>
        </w:tc>
      </w:tr>
      <w:tr>
        <w:tc>
          <w:tcPr>
            <w:tcW w:type="dxa" w:w="25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Policy &amp; Regulatory</w:t>
            </w:r>
          </w:p>
        </w:tc>
        <w:tc>
          <w:tcPr>
            <w:tcW w:type="dxa" w:w="758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Power sector reform advisory, legislative analysis, regulatory framework design, electricity market design, Eskom unbundling advisory, distribution industry reform, grid access policy</w:t>
            </w:r>
          </w:p>
        </w:tc>
      </w:tr>
      <w:tr>
        <w:tc>
          <w:tcPr>
            <w:tcW w:type="dxa" w:w="25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Communication</w:t>
            </w:r>
          </w:p>
        </w:tc>
        <w:tc>
          <w:tcPr>
            <w:tcW w:type="dxa" w:w="758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Excellent written and verbal communication; extensive experience preparing technical reports, policy briefs, conference papers, and presentations for government, donor, and C-suite audiences</w:t>
            </w:r>
          </w:p>
        </w:tc>
      </w:tr>
    </w:tbl>
    <w:p>
      <w:pPr>
        <w:spacing w:after="0" w:before="160"/>
      </w:pPr>
    </w:p>
    <w:p>
      <w:pPr>
        <w:shd w:fill="1F3864" w:val="clear"/>
        <w:spacing w:after="0" w:before="0"/>
        <w:ind w:left="0"/>
      </w:pPr>
      <w:r>
        <w:rPr>
          <w:rFonts w:ascii="Arial" w:cs="Arial" w:eastAsia="Arial" w:hAnsi="Arial"/>
          <w:b/>
          <w:bCs/>
          <w:color w:val="FFFFFF"/>
          <w:sz w:val="22"/>
          <w:szCs w:val="22"/>
        </w:rPr>
        <w:t xml:space="preserve">  SPECIFIC EXPERIENCE IN THE REGION</w:t>
      </w:r>
    </w:p>
    <w:p>
      <w:pPr>
        <w:spacing w:after="6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880"/>
      </w:tblGrid>
      <w:tr>
        <w:tc>
          <w:tcPr>
            <w:tcW w:type="dxa" w:w="4000"/>
            <w:tcBorders>
              <w:top w:val="single" w:color="B8C9DE" w:sz="4"/>
              <w:left w:val="single" w:color="B8C9DE" w:sz="4"/>
              <w:bottom w:val="single" w:color="B8C9DE" w:sz="4"/>
              <w:right w:val="single" w:color="B8C9DE"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Country / Region</w:t>
            </w:r>
          </w:p>
        </w:tc>
        <w:tc>
          <w:tcPr>
            <w:tcW w:type="dxa" w:w="2200"/>
            <w:tcBorders>
              <w:top w:val="single" w:color="B8C9DE" w:sz="4"/>
              <w:left w:val="single" w:color="B8C9DE" w:sz="4"/>
              <w:bottom w:val="single" w:color="B8C9DE" w:sz="4"/>
              <w:right w:val="single" w:color="B8C9DE"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Period</w:t>
            </w:r>
          </w:p>
        </w:tc>
        <w:tc>
          <w:tcPr>
            <w:tcW w:type="dxa" w:w="3880"/>
            <w:tcBorders>
              <w:top w:val="single" w:color="B8C9DE" w:sz="4"/>
              <w:left w:val="single" w:color="B8C9DE" w:sz="4"/>
              <w:bottom w:val="single" w:color="B8C9DE" w:sz="4"/>
              <w:right w:val="single" w:color="B8C9DE"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Nature of Engagement</w:t>
            </w:r>
          </w:p>
        </w:tc>
      </w:tr>
      <w:tr>
        <w:tc>
          <w:tcPr>
            <w:tcW w:type="dxa" w:w="40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Southern Africa (South Africa, Zimbabwe, Botswana, Mozambique, Zambia, Namibia, eSwatini, Lesotho, Malawi, Tanzania, Angola, DRC)</w:t>
            </w:r>
          </w:p>
        </w:tc>
        <w:tc>
          <w:tcPr>
            <w:tcW w:type="dxa" w:w="22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2017 – Present</w:t>
            </w:r>
          </w:p>
        </w:tc>
        <w:tc>
          <w:tcPr>
            <w:tcW w:type="dxa" w:w="388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Transmission grid advisory, renewable energy engineering, power sector reform, SAPP market advisory, SADC regional grid code</w:t>
            </w:r>
          </w:p>
        </w:tc>
      </w:tr>
      <w:tr>
        <w:tc>
          <w:tcPr>
            <w:tcW w:type="dxa" w:w="40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West Africa (Senegal, Ghana, Nigeria – regional)</w:t>
            </w:r>
          </w:p>
        </w:tc>
        <w:tc>
          <w:tcPr>
            <w:tcW w:type="dxa" w:w="22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2023</w:t>
            </w:r>
          </w:p>
        </w:tc>
        <w:tc>
          <w:tcPr>
            <w:tcW w:type="dxa" w:w="388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USAID WAEP energy advisor; Government of Senegal, Senelec &amp; Lekela Power transaction advisory</w:t>
            </w:r>
          </w:p>
        </w:tc>
      </w:tr>
      <w:tr>
        <w:tc>
          <w:tcPr>
            <w:tcW w:type="dxa" w:w="40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East Africa (Kenya)</w:t>
            </w:r>
          </w:p>
        </w:tc>
        <w:tc>
          <w:tcPr>
            <w:tcW w:type="dxa" w:w="22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2018 – 2019</w:t>
            </w:r>
          </w:p>
        </w:tc>
        <w:tc>
          <w:tcPr>
            <w:tcW w:type="dxa" w:w="388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Aurecon – Power systems studies and solar PV engineering for Kenyan utilities</w:t>
            </w:r>
          </w:p>
        </w:tc>
      </w:tr>
      <w:tr>
        <w:tc>
          <w:tcPr>
            <w:tcW w:type="dxa" w:w="40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Australia</w:t>
            </w:r>
          </w:p>
        </w:tc>
        <w:tc>
          <w:tcPr>
            <w:tcW w:type="dxa" w:w="22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2018</w:t>
            </w:r>
          </w:p>
        </w:tc>
        <w:tc>
          <w:tcPr>
            <w:tcW w:type="dxa" w:w="388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Aurecon – Renewable energy integration studies; exposure to NEM (National Electricity Market) regulatory framework</w:t>
            </w:r>
          </w:p>
        </w:tc>
      </w:tr>
    </w:tbl>
    <w:p>
      <w:pPr>
        <w:spacing w:after="0" w:before="160"/>
      </w:pPr>
    </w:p>
    <w:p>
      <w:pPr>
        <w:shd w:fill="1F3864" w:val="clear"/>
        <w:spacing w:after="0" w:before="0"/>
        <w:ind w:left="0"/>
      </w:pPr>
      <w:r>
        <w:rPr>
          <w:rFonts w:ascii="Arial" w:cs="Arial" w:eastAsia="Arial" w:hAnsi="Arial"/>
          <w:b/>
          <w:bCs/>
          <w:color w:val="FFFFFF"/>
          <w:sz w:val="22"/>
          <w:szCs w:val="22"/>
        </w:rPr>
        <w:t xml:space="preserve">  PROFESSIONAL EXPERIENCE</w:t>
      </w:r>
    </w:p>
    <w:p>
      <w:pPr>
        <w:spacing w:after="60" w:before="80"/>
      </w:pPr>
    </w:p>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8C9DE" w:sz="4"/>
              <w:left w:val="single" w:color="B8C9DE" w:sz="4"/>
              <w:bottom w:val="single" w:color="B8C9DE" w:sz="4"/>
              <w:right w:val="single" w:color="B8C9DE" w:sz="4"/>
            </w:tcBorders>
            <w:shd w:fill="E8EFF8" w:val="clear"/>
            <w:tcMar>
              <w:top w:type="dxa" w:w="100"/>
              <w:left w:type="dxa" w:w="140"/>
              <w:bottom w:type="dxa" w:w="80"/>
              <w:right w:type="dxa" w:w="140"/>
            </w:tcMar>
          </w:tcPr>
          <w:p>
            <w:r>
              <w:rPr>
                <w:rFonts w:ascii="Arial" w:cs="Arial" w:eastAsia="Arial" w:hAnsi="Arial"/>
                <w:b/>
                <w:bCs/>
                <w:color w:val="1F3864"/>
                <w:sz w:val="21"/>
                <w:szCs w:val="21"/>
              </w:rPr>
              <w:t xml:space="preserve">Position: Transmission Grid &amp; Energy Advisor</w:t>
            </w:r>
          </w:p>
          <w:p>
            <w:r>
              <w:rPr>
                <w:rFonts w:ascii="Arial" w:cs="Arial" w:eastAsia="Arial" w:hAnsi="Arial"/>
                <w:color w:val="4D4D4D"/>
                <w:sz w:val="19"/>
                <w:szCs w:val="19"/>
              </w:rPr>
              <w:t xml:space="preserve">Organisation: USAID Power Africa – Southern Africa Energy Program (SAEP)</w:t>
            </w:r>
          </w:p>
          <w:p>
            <w:r>
              <w:rPr>
                <w:rFonts w:ascii="Arial" w:cs="Arial" w:eastAsia="Arial" w:hAnsi="Arial"/>
                <w:i/>
                <w:iCs/>
                <w:color w:val="4D4D4D"/>
                <w:sz w:val="18"/>
                <w:szCs w:val="18"/>
              </w:rPr>
              <w:t xml:space="preserve">Period: November 2022 – Present  |  Location: Southern Africa (12 SADC Member States)  |  Client: USAID Power Africa</w:t>
            </w:r>
          </w:p>
        </w:tc>
      </w:tr>
    </w:tbl>
    <w:p>
      <w:pPr>
        <w:spacing w:after="20" w:before="40"/>
      </w:pPr>
    </w:p>
    <w:p>
      <w:pPr>
        <w:spacing w:after="40" w:before="40"/>
      </w:pPr>
      <w:r>
        <w:rPr>
          <w:rFonts w:ascii="Arial" w:cs="Arial" w:eastAsia="Arial" w:hAnsi="Arial"/>
          <w:color w:val="4D4D4D"/>
          <w:sz w:val="19"/>
          <w:szCs w:val="19"/>
        </w:rPr>
        <w:t xml:space="preserve">In this ongoing senior advisory role, Mr. Katyora serves as the primary technical expert maintaining relationships with regional counterparts across the SAPP footprint and providing transmission and generation project advisory. Key responsibilities and achievements include:</w:t>
      </w:r>
    </w:p>
    <w:p>
      <w:pPr>
        <w:pStyle w:val="ListParagraph"/>
        <w:numPr>
          <w:ilvl w:val="0"/>
          <w:numId w:val="2"/>
        </w:numPr>
        <w:spacing w:after="30" w:before="30"/>
      </w:pPr>
      <w:r>
        <w:rPr>
          <w:rFonts w:ascii="Arial" w:cs="Arial" w:eastAsia="Arial" w:hAnsi="Arial"/>
          <w:color w:val="4D4D4D"/>
          <w:sz w:val="19"/>
          <w:szCs w:val="19"/>
        </w:rPr>
        <w:t xml:space="preserve">Maintaining strategic relationships with SADC utilities, regulators, and government counterparts who participated in or benefited from SAEP Outcome 3 transmission grid interventions, including ZESA (Zimbabwe), EDM (Mozambique), BPC (Botswana), SNEL (DRC), TANESCO (Tanzania), and the SAPP Coordination Centre.</w:t>
      </w:r>
    </w:p>
    <w:p>
      <w:pPr>
        <w:pStyle w:val="ListParagraph"/>
        <w:numPr>
          <w:ilvl w:val="0"/>
          <w:numId w:val="2"/>
        </w:numPr>
        <w:spacing w:after="30" w:before="30"/>
      </w:pPr>
      <w:r>
        <w:rPr>
          <w:rFonts w:ascii="Arial" w:cs="Arial" w:eastAsia="Arial" w:hAnsi="Arial"/>
          <w:color w:val="4D4D4D"/>
          <w:sz w:val="19"/>
          <w:szCs w:val="19"/>
        </w:rPr>
        <w:t xml:space="preserve">Providing ad hoc technical advisory on transmission project preparation, grid code compliance, cross-border interconnection agreements, and power purchase agreement (PPA) structuring to SAEP-aligned utilities.</w:t>
      </w:r>
    </w:p>
    <w:p>
      <w:pPr>
        <w:pStyle w:val="ListParagraph"/>
        <w:numPr>
          <w:ilvl w:val="0"/>
          <w:numId w:val="2"/>
        </w:numPr>
        <w:spacing w:after="30" w:before="30"/>
      </w:pPr>
      <w:r>
        <w:rPr>
          <w:rFonts w:ascii="Arial" w:cs="Arial" w:eastAsia="Arial" w:hAnsi="Arial"/>
          <w:color w:val="4D4D4D"/>
          <w:sz w:val="19"/>
          <w:szCs w:val="19"/>
        </w:rPr>
        <w:t xml:space="preserve">Advising the SAEP team on the technical feasibility and regulatory implications of new generation interconnection requests submitted to SAPP under the SAPP Open Transmission Access (OTA) framework.</w:t>
      </w:r>
    </w:p>
    <w:p>
      <w:pPr>
        <w:pStyle w:val="ListParagraph"/>
        <w:numPr>
          <w:ilvl w:val="0"/>
          <w:numId w:val="2"/>
        </w:numPr>
        <w:spacing w:after="30" w:before="30"/>
      </w:pPr>
      <w:r>
        <w:rPr>
          <w:rFonts w:ascii="Arial" w:cs="Arial" w:eastAsia="Arial" w:hAnsi="Arial"/>
          <w:color w:val="4D4D4D"/>
          <w:sz w:val="19"/>
          <w:szCs w:val="19"/>
        </w:rPr>
        <w:t xml:space="preserve">Preparing technical reports and briefing notes for USAID Washington on the status of SAPP transmission investments and the outlook for private sector participation in regional grid infrastructure.</w:t>
      </w:r>
    </w:p>
    <w:p>
      <w:pPr>
        <w:pStyle w:val="ListParagraph"/>
        <w:numPr>
          <w:ilvl w:val="0"/>
          <w:numId w:val="2"/>
        </w:numPr>
        <w:spacing w:after="30" w:before="30"/>
      </w:pPr>
      <w:r>
        <w:rPr>
          <w:rFonts w:ascii="Arial" w:cs="Arial" w:eastAsia="Arial" w:hAnsi="Arial"/>
          <w:color w:val="4D4D4D"/>
          <w:sz w:val="19"/>
          <w:szCs w:val="19"/>
        </w:rPr>
        <w:t xml:space="preserve">Supporting due diligence on new transmission projects identified by SAEP country teams, including grid capacity assessments, cost-benefit analysis, and alignment with national IRP/energy plans.</w:t>
      </w:r>
    </w:p>
    <w:p>
      <w:pPr>
        <w:pStyle w:val="ListParagraph"/>
        <w:numPr>
          <w:ilvl w:val="0"/>
          <w:numId w:val="2"/>
        </w:numPr>
        <w:spacing w:after="30" w:before="30"/>
      </w:pPr>
      <w:r>
        <w:rPr>
          <w:rFonts w:ascii="Arial" w:cs="Arial" w:eastAsia="Arial" w:hAnsi="Arial"/>
          <w:color w:val="4D4D4D"/>
          <w:sz w:val="19"/>
          <w:szCs w:val="19"/>
        </w:rPr>
        <w:t xml:space="preserve">Conducting stakeholder engagement workshops in Harare, Gaborone, Maputo, and Lusaka to facilitate knowledge transfer and sustainability of technical capacity built under SAEP Outcome 3.</w:t>
      </w:r>
    </w:p>
    <w:p>
      <w:pPr>
        <w:spacing w:after="4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8C9DE" w:sz="4"/>
              <w:left w:val="single" w:color="B8C9DE" w:sz="4"/>
              <w:bottom w:val="single" w:color="B8C9DE" w:sz="4"/>
              <w:right w:val="single" w:color="B8C9DE" w:sz="4"/>
            </w:tcBorders>
            <w:shd w:fill="E8EFF8" w:val="clear"/>
            <w:tcMar>
              <w:top w:type="dxa" w:w="100"/>
              <w:left w:type="dxa" w:w="140"/>
              <w:bottom w:type="dxa" w:w="80"/>
              <w:right w:type="dxa" w:w="140"/>
            </w:tcMar>
          </w:tcPr>
          <w:p>
            <w:r>
              <w:rPr>
                <w:rFonts w:ascii="Arial" w:cs="Arial" w:eastAsia="Arial" w:hAnsi="Arial"/>
                <w:b/>
                <w:bCs/>
                <w:color w:val="1F3864"/>
                <w:sz w:val="21"/>
                <w:szCs w:val="21"/>
              </w:rPr>
              <w:t xml:space="preserve">Position: Engineering &amp; Project Manager</w:t>
            </w:r>
          </w:p>
          <w:p>
            <w:r>
              <w:rPr>
                <w:rFonts w:ascii="Arial" w:cs="Arial" w:eastAsia="Arial" w:hAnsi="Arial"/>
                <w:color w:val="4D4D4D"/>
                <w:sz w:val="19"/>
                <w:szCs w:val="19"/>
              </w:rPr>
              <w:t xml:space="preserve">Organisation: Sunelex Energy (Pty) Ltd</w:t>
            </w:r>
          </w:p>
          <w:p>
            <w:r>
              <w:rPr>
                <w:rFonts w:ascii="Arial" w:cs="Arial" w:eastAsia="Arial" w:hAnsi="Arial"/>
                <w:i/>
                <w:iCs/>
                <w:color w:val="4D4D4D"/>
                <w:sz w:val="18"/>
                <w:szCs w:val="18"/>
              </w:rPr>
              <w:t xml:space="preserve">Period: November 2022 – April 2023  |  Location: South Africa  |  Days Worked: 40</w:t>
            </w:r>
          </w:p>
        </w:tc>
      </w:tr>
    </w:tbl>
    <w:p>
      <w:pPr>
        <w:spacing w:after="20" w:before="40"/>
      </w:pPr>
    </w:p>
    <w:p>
      <w:pPr>
        <w:spacing w:after="40" w:before="40"/>
      </w:pPr>
      <w:r>
        <w:rPr>
          <w:rFonts w:ascii="Arial" w:cs="Arial" w:eastAsia="Arial" w:hAnsi="Arial"/>
          <w:color w:val="4D4D4D"/>
          <w:sz w:val="19"/>
          <w:szCs w:val="19"/>
        </w:rPr>
        <w:t xml:space="preserve">Sunelex Energy is a South African clean energy developer and advisory firm focused on medium to large-scale renewable energy projects. Mr. Katyora served as Engineering and Project Manager responsible for the full development pipeline. Key responsibilities:</w:t>
      </w:r>
    </w:p>
    <w:p>
      <w:pPr>
        <w:pStyle w:val="ListParagraph"/>
        <w:numPr>
          <w:ilvl w:val="0"/>
          <w:numId w:val="2"/>
        </w:numPr>
        <w:spacing w:after="30" w:before="30"/>
      </w:pPr>
      <w:r>
        <w:rPr>
          <w:rFonts w:ascii="Arial" w:cs="Arial" w:eastAsia="Arial" w:hAnsi="Arial"/>
          <w:color w:val="4D4D4D"/>
          <w:sz w:val="19"/>
          <w:szCs w:val="19"/>
        </w:rPr>
        <w:t xml:space="preserve">Led the engineering and project management function for a portfolio of 14 green energy projects — comprising 11 Solar PV, 2 Wind, and 1 Green Hydrogen plant — aggregating 6.4 GW of generation capacity to be developed over a ten-year period across South Africa.</w:t>
      </w:r>
    </w:p>
    <w:p>
      <w:pPr>
        <w:pStyle w:val="ListParagraph"/>
        <w:numPr>
          <w:ilvl w:val="0"/>
          <w:numId w:val="2"/>
        </w:numPr>
        <w:spacing w:after="30" w:before="30"/>
      </w:pPr>
      <w:r>
        <w:rPr>
          <w:rFonts w:ascii="Arial" w:cs="Arial" w:eastAsia="Arial" w:hAnsi="Arial"/>
          <w:color w:val="4D4D4D"/>
          <w:sz w:val="19"/>
          <w:szCs w:val="19"/>
        </w:rPr>
        <w:t xml:space="preserve">Prepared and reviewed all pre-financial close project documentation including technical pre-feasibility assessments, energy yield reports, grid connection applications, environmental scoping reports, and financial model inputs.</w:t>
      </w:r>
    </w:p>
    <w:p>
      <w:pPr>
        <w:pStyle w:val="ListParagraph"/>
        <w:numPr>
          <w:ilvl w:val="0"/>
          <w:numId w:val="2"/>
        </w:numPr>
        <w:spacing w:after="30" w:before="30"/>
      </w:pPr>
      <w:r>
        <w:rPr>
          <w:rFonts w:ascii="Arial" w:cs="Arial" w:eastAsia="Arial" w:hAnsi="Arial"/>
          <w:color w:val="4D4D4D"/>
          <w:sz w:val="19"/>
          <w:szCs w:val="19"/>
        </w:rPr>
        <w:t xml:space="preserve">Conducted site-specific solar resource assessments using NASA POWER, Solargis, and PVSyst, evaluating insolation, wind shear, and degradation profiles to optimise PV plant capacity factors.</w:t>
      </w:r>
    </w:p>
    <w:p>
      <w:pPr>
        <w:pStyle w:val="ListParagraph"/>
        <w:numPr>
          <w:ilvl w:val="0"/>
          <w:numId w:val="2"/>
        </w:numPr>
        <w:spacing w:after="30" w:before="30"/>
      </w:pPr>
      <w:r>
        <w:rPr>
          <w:rFonts w:ascii="Arial" w:cs="Arial" w:eastAsia="Arial" w:hAnsi="Arial"/>
          <w:color w:val="4D4D4D"/>
          <w:sz w:val="19"/>
          <w:szCs w:val="19"/>
        </w:rPr>
        <w:t xml:space="preserve">Designed the green hydrogen production facility concept, integrating 250 MW of dedicated solar PV generation with a 60 MW electrolyser stack, and prepared the preliminary CAPEX/OPEX model and off-take term sheet.</w:t>
      </w:r>
    </w:p>
    <w:p>
      <w:pPr>
        <w:pStyle w:val="ListParagraph"/>
        <w:numPr>
          <w:ilvl w:val="0"/>
          <w:numId w:val="2"/>
        </w:numPr>
        <w:spacing w:after="30" w:before="30"/>
      </w:pPr>
      <w:r>
        <w:rPr>
          <w:rFonts w:ascii="Arial" w:cs="Arial" w:eastAsia="Arial" w:hAnsi="Arial"/>
          <w:color w:val="4D4D4D"/>
          <w:sz w:val="19"/>
          <w:szCs w:val="19"/>
        </w:rPr>
        <w:t xml:space="preserve">Coordinated with Eskom and NERSA on grid connection capacity applications under the NERSA Grid Connection Code, including submissions for dedicated grid connection agreements (DGCAs) and wheeling arrangements.</w:t>
      </w:r>
    </w:p>
    <w:p>
      <w:pPr>
        <w:pStyle w:val="ListParagraph"/>
        <w:numPr>
          <w:ilvl w:val="0"/>
          <w:numId w:val="2"/>
        </w:numPr>
        <w:spacing w:after="30" w:before="30"/>
      </w:pPr>
      <w:r>
        <w:rPr>
          <w:rFonts w:ascii="Arial" w:cs="Arial" w:eastAsia="Arial" w:hAnsi="Arial"/>
          <w:color w:val="4D4D4D"/>
          <w:sz w:val="19"/>
          <w:szCs w:val="19"/>
        </w:rPr>
        <w:t xml:space="preserve">Managed relationships with project investors, EPC contractors, legal advisors, and environmental consultants, tracking milestones and reporting progress to the Sunelex Energy board.</w:t>
      </w:r>
    </w:p>
    <w:p>
      <w:pPr>
        <w:spacing w:after="4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8C9DE" w:sz="4"/>
              <w:left w:val="single" w:color="B8C9DE" w:sz="4"/>
              <w:bottom w:val="single" w:color="B8C9DE" w:sz="4"/>
              <w:right w:val="single" w:color="B8C9DE" w:sz="4"/>
            </w:tcBorders>
            <w:shd w:fill="E8EFF8" w:val="clear"/>
            <w:tcMar>
              <w:top w:type="dxa" w:w="100"/>
              <w:left w:type="dxa" w:w="140"/>
              <w:bottom w:type="dxa" w:w="80"/>
              <w:right w:type="dxa" w:w="140"/>
            </w:tcMar>
          </w:tcPr>
          <w:p>
            <w:r>
              <w:rPr>
                <w:rFonts w:ascii="Arial" w:cs="Arial" w:eastAsia="Arial" w:hAnsi="Arial"/>
                <w:b/>
                <w:bCs/>
                <w:color w:val="1F3864"/>
                <w:sz w:val="21"/>
                <w:szCs w:val="21"/>
              </w:rPr>
              <w:t xml:space="preserve">Position: Energy Advisor</w:t>
            </w:r>
          </w:p>
          <w:p>
            <w:r>
              <w:rPr>
                <w:rFonts w:ascii="Arial" w:cs="Arial" w:eastAsia="Arial" w:hAnsi="Arial"/>
                <w:color w:val="4D4D4D"/>
                <w:sz w:val="19"/>
                <w:szCs w:val="19"/>
              </w:rPr>
              <w:t xml:space="preserve">Organisation: USAID Power Africa – West Africa Energy Program (WAEP)</w:t>
            </w:r>
          </w:p>
          <w:p>
            <w:r>
              <w:rPr>
                <w:rFonts w:ascii="Arial" w:cs="Arial" w:eastAsia="Arial" w:hAnsi="Arial"/>
                <w:i/>
                <w:iCs/>
                <w:color w:val="4D4D4D"/>
                <w:sz w:val="18"/>
                <w:szCs w:val="18"/>
              </w:rPr>
              <w:t xml:space="preserve">Period: January 2023 – March 2023  |  Location: West Africa (Senegal, Regional)  |  Days Worked: 20  |  Donor: USAID</w:t>
            </w:r>
          </w:p>
        </w:tc>
      </w:tr>
    </w:tbl>
    <w:p>
      <w:pPr>
        <w:spacing w:after="20" w:before="40"/>
      </w:pPr>
    </w:p>
    <w:p>
      <w:pPr>
        <w:spacing w:after="40" w:before="40"/>
      </w:pPr>
      <w:r>
        <w:rPr>
          <w:rFonts w:ascii="Arial" w:cs="Arial" w:eastAsia="Arial" w:hAnsi="Arial"/>
          <w:color w:val="4D4D4D"/>
          <w:sz w:val="19"/>
          <w:szCs w:val="19"/>
        </w:rPr>
        <w:t xml:space="preserve">WAEP tackles long-standing constraints to energy access in West Africa through technical assistance, transaction advisory services, and targeted grant funding. Mr. Katyora served as a Short-Term Expert Energy Advisor, focussed on Senegal. Key activities:</w:t>
      </w:r>
    </w:p>
    <w:p>
      <w:pPr>
        <w:pStyle w:val="ListParagraph"/>
        <w:numPr>
          <w:ilvl w:val="0"/>
          <w:numId w:val="2"/>
        </w:numPr>
        <w:spacing w:after="30" w:before="30"/>
      </w:pPr>
      <w:r>
        <w:rPr>
          <w:rFonts w:ascii="Arial" w:cs="Arial" w:eastAsia="Arial" w:hAnsi="Arial"/>
          <w:color w:val="4D4D4D"/>
          <w:sz w:val="19"/>
          <w:szCs w:val="19"/>
        </w:rPr>
        <w:t xml:space="preserve">Provided technical advisory to the Government of Senegal's Ministry of Energy and Petroleum on the restructuring of the national utility Senelec, including unbundling scenarios, tariff reform pathways, and introduction of competitive IPP procurement frameworks aligned with West African Power Pool (WAPP) regulations.</w:t>
      </w:r>
    </w:p>
    <w:p>
      <w:pPr>
        <w:pStyle w:val="ListParagraph"/>
        <w:numPr>
          <w:ilvl w:val="0"/>
          <w:numId w:val="2"/>
        </w:numPr>
        <w:spacing w:after="30" w:before="30"/>
      </w:pPr>
      <w:r>
        <w:rPr>
          <w:rFonts w:ascii="Arial" w:cs="Arial" w:eastAsia="Arial" w:hAnsi="Arial"/>
          <w:color w:val="4D4D4D"/>
          <w:sz w:val="19"/>
          <w:szCs w:val="19"/>
        </w:rPr>
        <w:t xml:space="preserve">Advised Lekela Power on the commissioning and operational integration of the 158.7 MW Taiba N'Diaye wind farm — Sub-Saharan Africa's largest wind facility at the time — into the Senelec grid, reviewing grid code compliance and SCADA system interfaces.</w:t>
      </w:r>
    </w:p>
    <w:p>
      <w:pPr>
        <w:pStyle w:val="ListParagraph"/>
        <w:numPr>
          <w:ilvl w:val="0"/>
          <w:numId w:val="2"/>
        </w:numPr>
        <w:spacing w:after="30" w:before="30"/>
      </w:pPr>
      <w:r>
        <w:rPr>
          <w:rFonts w:ascii="Arial" w:cs="Arial" w:eastAsia="Arial" w:hAnsi="Arial"/>
          <w:color w:val="4D4D4D"/>
          <w:sz w:val="19"/>
          <w:szCs w:val="19"/>
        </w:rPr>
        <w:t xml:space="preserve">Supported WAEP country team in preparing technical briefings for USAID Washington and the Senegalese Ministry on expanding embedded generation capacity under the new electricity law (Loi sur l'Electricite).</w:t>
      </w:r>
    </w:p>
    <w:p>
      <w:pPr>
        <w:pStyle w:val="ListParagraph"/>
        <w:numPr>
          <w:ilvl w:val="0"/>
          <w:numId w:val="2"/>
        </w:numPr>
        <w:spacing w:after="30" w:before="30"/>
      </w:pPr>
      <w:r>
        <w:rPr>
          <w:rFonts w:ascii="Arial" w:cs="Arial" w:eastAsia="Arial" w:hAnsi="Arial"/>
          <w:color w:val="4D4D4D"/>
          <w:sz w:val="19"/>
          <w:szCs w:val="19"/>
        </w:rPr>
        <w:t xml:space="preserve">Assessed Senelec's generation expansion plan (Plan de Developpement) against WAPP's OMVG/CLSG interconnection investments, identifying opportunities for regional power trade that could reduce Senegal's dependence on expensive liquid fuel generation.</w:t>
      </w:r>
    </w:p>
    <w:p>
      <w:pPr>
        <w:spacing w:after="4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8C9DE" w:sz="4"/>
              <w:left w:val="single" w:color="B8C9DE" w:sz="4"/>
              <w:bottom w:val="single" w:color="B8C9DE" w:sz="4"/>
              <w:right w:val="single" w:color="B8C9DE" w:sz="4"/>
            </w:tcBorders>
            <w:shd w:fill="E8EFF8" w:val="clear"/>
            <w:tcMar>
              <w:top w:type="dxa" w:w="100"/>
              <w:left w:type="dxa" w:w="140"/>
              <w:bottom w:type="dxa" w:w="80"/>
              <w:right w:type="dxa" w:w="140"/>
            </w:tcMar>
          </w:tcPr>
          <w:p>
            <w:r>
              <w:rPr>
                <w:rFonts w:ascii="Arial" w:cs="Arial" w:eastAsia="Arial" w:hAnsi="Arial"/>
                <w:b/>
                <w:bCs/>
                <w:color w:val="1F3864"/>
                <w:sz w:val="21"/>
                <w:szCs w:val="21"/>
              </w:rPr>
              <w:t xml:space="preserve">Position: Outcome 3 Deputy Lead &amp; Engineering Team Leader</w:t>
            </w:r>
          </w:p>
          <w:p>
            <w:r>
              <w:rPr>
                <w:rFonts w:ascii="Arial" w:cs="Arial" w:eastAsia="Arial" w:hAnsi="Arial"/>
                <w:color w:val="4D4D4D"/>
                <w:sz w:val="19"/>
                <w:szCs w:val="19"/>
              </w:rPr>
              <w:t xml:space="preserve">Organisation: USAID Power Africa – Southern Africa Energy Program (SAEP) / Tetra Tech | Paladin Consulting</w:t>
            </w:r>
          </w:p>
          <w:p>
            <w:r>
              <w:rPr>
                <w:rFonts w:ascii="Arial" w:cs="Arial" w:eastAsia="Arial" w:hAnsi="Arial"/>
                <w:i/>
                <w:iCs/>
                <w:color w:val="4D4D4D"/>
                <w:sz w:val="18"/>
                <w:szCs w:val="18"/>
              </w:rPr>
              <w:t xml:space="preserve">Period: November 2019 – October 2022  |  Location: Southern Africa (SADC Region)  |  Mode: Full-Time  |  Donor: USAID</w:t>
            </w:r>
          </w:p>
        </w:tc>
      </w:tr>
    </w:tbl>
    <w:p>
      <w:pPr>
        <w:spacing w:after="20" w:before="40"/>
      </w:pPr>
    </w:p>
    <w:p>
      <w:pPr>
        <w:spacing w:after="40" w:before="40"/>
      </w:pPr>
      <w:r>
        <w:rPr>
          <w:rFonts w:ascii="Arial" w:cs="Arial" w:eastAsia="Arial" w:hAnsi="Arial"/>
          <w:color w:val="4D4D4D"/>
          <w:sz w:val="19"/>
          <w:szCs w:val="19"/>
        </w:rPr>
        <w:t xml:space="preserve">The SAEP Outcome 3 programme objective was to improve regional harmonisation and cross-border power trade across the Southern African Power Pool (SAPP). Mr. Katyora served as the Deputy Outcome Leader and Engineering Team Lead — the most senior technical role within the Outcome 3 team. This was a full-time, three-year engagement. Detailed responsibilities and achievements:</w:t>
      </w:r>
    </w:p>
    <w:p>
      <w:pPr>
        <w:spacing w:after="40" w:before="100"/>
      </w:pPr>
      <w:r>
        <w:rPr>
          <w:rFonts w:ascii="Arial" w:cs="Arial" w:eastAsia="Arial" w:hAnsi="Arial"/>
          <w:b/>
          <w:bCs/>
          <w:color w:val="4D4D4D"/>
          <w:sz w:val="21"/>
          <w:szCs w:val="21"/>
          <w:u w:val="single" w:color="4D4D4D"/>
        </w:rPr>
        <w:t xml:space="preserve">Transmission Infrastructure &amp; Financial Close Advisory</w:t>
      </w:r>
    </w:p>
    <w:p>
      <w:pPr>
        <w:pStyle w:val="ListParagraph"/>
        <w:numPr>
          <w:ilvl w:val="0"/>
          <w:numId w:val="2"/>
        </w:numPr>
        <w:spacing w:after="30" w:before="30"/>
      </w:pPr>
      <w:r>
        <w:rPr>
          <w:rFonts w:ascii="Arial" w:cs="Arial" w:eastAsia="Arial" w:hAnsi="Arial"/>
          <w:color w:val="4D4D4D"/>
          <w:sz w:val="19"/>
          <w:szCs w:val="19"/>
        </w:rPr>
        <w:t xml:space="preserve">Led technical due diligence and transaction advisory for three SADC utilities seeking to reach Financial Close on cross-border transmission projects, with a combined investment and development cost exceeding USD 2 billion. The three projects were: (i) the Zimbabwe–Zambia–Botswana–Namibia (ZIZABONA) 400 kV Interconnector; (ii) the Mozambique–Malawi 400 kV Interconnector (MOZAM); and (iii) the Botswana Power Corporation (BPC) 400 kV Northern Transmission Corridor.</w:t>
      </w:r>
    </w:p>
    <w:p>
      <w:pPr>
        <w:pStyle w:val="ListParagraph"/>
        <w:numPr>
          <w:ilvl w:val="0"/>
          <w:numId w:val="2"/>
        </w:numPr>
        <w:spacing w:after="30" w:before="30"/>
      </w:pPr>
      <w:r>
        <w:rPr>
          <w:rFonts w:ascii="Arial" w:cs="Arial" w:eastAsia="Arial" w:hAnsi="Arial"/>
          <w:color w:val="4D4D4D"/>
          <w:sz w:val="19"/>
          <w:szCs w:val="19"/>
        </w:rPr>
        <w:t xml:space="preserve">Prepared and reviewed technical feasibility reports, power flow study results (PSS/E), financial models, risk matrices, and investor-ready project information memoranda (PIMs) for each project.</w:t>
      </w:r>
    </w:p>
    <w:p>
      <w:pPr>
        <w:pStyle w:val="ListParagraph"/>
        <w:numPr>
          <w:ilvl w:val="0"/>
          <w:numId w:val="2"/>
        </w:numPr>
        <w:spacing w:after="30" w:before="30"/>
      </w:pPr>
      <w:r>
        <w:rPr>
          <w:rFonts w:ascii="Arial" w:cs="Arial" w:eastAsia="Arial" w:hAnsi="Arial"/>
          <w:color w:val="4D4D4D"/>
          <w:sz w:val="19"/>
          <w:szCs w:val="19"/>
        </w:rPr>
        <w:t xml:space="preserve">Engaged multilateral development banks (African Development Bank, World Bank, DBSA, PTA Bank, Development Finance Corporation) and export credit agencies on behalf of SAEP, facilitating technical and financial dialogue that contributed directly to Financial Close for the ZIZABONA and BPC projects.</w:t>
      </w:r>
    </w:p>
    <w:p>
      <w:pPr>
        <w:pStyle w:val="ListParagraph"/>
        <w:numPr>
          <w:ilvl w:val="0"/>
          <w:numId w:val="2"/>
        </w:numPr>
        <w:spacing w:after="30" w:before="30"/>
      </w:pPr>
      <w:r>
        <w:rPr>
          <w:rFonts w:ascii="Arial" w:cs="Arial" w:eastAsia="Arial" w:hAnsi="Arial"/>
          <w:color w:val="4D4D4D"/>
          <w:sz w:val="19"/>
          <w:szCs w:val="19"/>
        </w:rPr>
        <w:t xml:space="preserve">Exceeded SAEP Outcome 3 programme transmission capacity target by 260%, unlocking 2,500 MW of new interconnection capacity within the SAPP system.</w:t>
      </w:r>
    </w:p>
    <w:p>
      <w:pPr>
        <w:pStyle w:val="ListParagraph"/>
        <w:numPr>
          <w:ilvl w:val="0"/>
          <w:numId w:val="2"/>
        </w:numPr>
        <w:spacing w:after="30" w:before="30"/>
      </w:pPr>
      <w:r>
        <w:rPr>
          <w:rFonts w:ascii="Arial" w:cs="Arial" w:eastAsia="Arial" w:hAnsi="Arial"/>
          <w:color w:val="4D4D4D"/>
          <w:sz w:val="19"/>
          <w:szCs w:val="19"/>
        </w:rPr>
        <w:t xml:space="preserve">Designed the SAPP Regional Transmission Infrastructure Financing Facility (RTIFF) — a first-of-its-kind pooled regional financing vehicle — and presented the concept to SAPP CEO and Board, SADC Secretariat, and the African Union Development Agency (AUDA-NEPAD).</w:t>
      </w:r>
    </w:p>
    <w:p>
      <w:pPr>
        <w:spacing w:after="40" w:before="100"/>
      </w:pPr>
      <w:r>
        <w:rPr>
          <w:rFonts w:ascii="Arial" w:cs="Arial" w:eastAsia="Arial" w:hAnsi="Arial"/>
          <w:b/>
          <w:bCs/>
          <w:color w:val="4D4D4D"/>
          <w:sz w:val="21"/>
          <w:szCs w:val="21"/>
          <w:u w:val="single" w:color="4D4D4D"/>
        </w:rPr>
        <w:t xml:space="preserve">SADC Regional Grid Code Development</w:t>
      </w:r>
    </w:p>
    <w:p>
      <w:pPr>
        <w:pStyle w:val="ListParagraph"/>
        <w:numPr>
          <w:ilvl w:val="0"/>
          <w:numId w:val="2"/>
        </w:numPr>
        <w:spacing w:after="30" w:before="30"/>
      </w:pPr>
      <w:r>
        <w:rPr>
          <w:rFonts w:ascii="Arial" w:cs="Arial" w:eastAsia="Arial" w:hAnsi="Arial"/>
          <w:color w:val="4D4D4D"/>
          <w:sz w:val="19"/>
          <w:szCs w:val="19"/>
        </w:rPr>
        <w:t xml:space="preserve">Served as the lead technical expert (on behalf of SAEP) to the SADC Grid Code Technical Committee, providing expert input on balancing and settlement, frequency control, voltage control, and renewable energy grid connection standards.</w:t>
      </w:r>
    </w:p>
    <w:p>
      <w:pPr>
        <w:pStyle w:val="ListParagraph"/>
        <w:numPr>
          <w:ilvl w:val="0"/>
          <w:numId w:val="2"/>
        </w:numPr>
        <w:spacing w:after="30" w:before="30"/>
      </w:pPr>
      <w:r>
        <w:rPr>
          <w:rFonts w:ascii="Arial" w:cs="Arial" w:eastAsia="Arial" w:hAnsi="Arial"/>
          <w:color w:val="4D4D4D"/>
          <w:sz w:val="19"/>
          <w:szCs w:val="19"/>
        </w:rPr>
        <w:t xml:space="preserve">Conducted gap analysis comparing the existing SAPP Grid Code (2015) against the Southern African Power Pool Master Plan (SAPP-MP 2030) requirements, EU ENTSO-E Network Codes, and best-practice regulatory frameworks from Latin America (CAMMESA, ONS-Brazil).</w:t>
      </w:r>
    </w:p>
    <w:p>
      <w:pPr>
        <w:pStyle w:val="ListParagraph"/>
        <w:numPr>
          <w:ilvl w:val="0"/>
          <w:numId w:val="2"/>
        </w:numPr>
        <w:spacing w:after="30" w:before="30"/>
      </w:pPr>
      <w:r>
        <w:rPr>
          <w:rFonts w:ascii="Arial" w:cs="Arial" w:eastAsia="Arial" w:hAnsi="Arial"/>
          <w:color w:val="4D4D4D"/>
          <w:sz w:val="19"/>
          <w:szCs w:val="19"/>
        </w:rPr>
        <w:t xml:space="preserve">Drafted and reviewed key chapters of the revised SADC Regional Grid Code, which was adopted by SADC Energy Ministers in 2022 — a landmark regulatory milestone for regional power trade.</w:t>
      </w:r>
    </w:p>
    <w:p>
      <w:pPr>
        <w:pStyle w:val="ListParagraph"/>
        <w:numPr>
          <w:ilvl w:val="0"/>
          <w:numId w:val="2"/>
        </w:numPr>
        <w:spacing w:after="30" w:before="30"/>
      </w:pPr>
      <w:r>
        <w:rPr>
          <w:rFonts w:ascii="Arial" w:cs="Arial" w:eastAsia="Arial" w:hAnsi="Arial"/>
          <w:color w:val="4D4D4D"/>
          <w:sz w:val="19"/>
          <w:szCs w:val="19"/>
        </w:rPr>
        <w:t xml:space="preserve">Prepared stakeholder consultation materials, facilitated national consultation workshops in seven SADC member states, and compiled consolidated feedback reports for the SADC Secretariat.</w:t>
      </w:r>
    </w:p>
    <w:p>
      <w:pPr>
        <w:spacing w:after="40" w:before="100"/>
      </w:pPr>
      <w:r>
        <w:rPr>
          <w:rFonts w:ascii="Arial" w:cs="Arial" w:eastAsia="Arial" w:hAnsi="Arial"/>
          <w:b/>
          <w:bCs/>
          <w:color w:val="4D4D4D"/>
          <w:sz w:val="21"/>
          <w:szCs w:val="21"/>
          <w:u w:val="single" w:color="4D4D4D"/>
        </w:rPr>
        <w:t xml:space="preserve">Power Market Optimisation &amp; Advisory</w:t>
      </w:r>
    </w:p>
    <w:p>
      <w:pPr>
        <w:pStyle w:val="ListParagraph"/>
        <w:numPr>
          <w:ilvl w:val="0"/>
          <w:numId w:val="2"/>
        </w:numPr>
        <w:spacing w:after="30" w:before="30"/>
      </w:pPr>
      <w:r>
        <w:rPr>
          <w:rFonts w:ascii="Arial" w:cs="Arial" w:eastAsia="Arial" w:hAnsi="Arial"/>
          <w:color w:val="4D4D4D"/>
          <w:sz w:val="19"/>
          <w:szCs w:val="19"/>
        </w:rPr>
        <w:t xml:space="preserve">Provided advisory to the SAPP Market Operator on market design reform, including the transition from the competitive short-term energy market (STEM) to a more transparent and efficient day-ahead market (DAM) and real-time balancing mechanism.</w:t>
      </w:r>
    </w:p>
    <w:p>
      <w:pPr>
        <w:pStyle w:val="ListParagraph"/>
        <w:numPr>
          <w:ilvl w:val="0"/>
          <w:numId w:val="2"/>
        </w:numPr>
        <w:spacing w:after="30" w:before="30"/>
      </w:pPr>
      <w:r>
        <w:rPr>
          <w:rFonts w:ascii="Arial" w:cs="Arial" w:eastAsia="Arial" w:hAnsi="Arial"/>
          <w:color w:val="4D4D4D"/>
          <w:sz w:val="19"/>
          <w:szCs w:val="19"/>
        </w:rPr>
        <w:t xml:space="preserve">Modelled SAPP generation dispatch scenarios using PLEXOS and OSeMOSYS to quantify the economic benefit of increased interconnection capacity on regional electricity costs, renewable energy penetration, and carbon intensity.</w:t>
      </w:r>
    </w:p>
    <w:p>
      <w:pPr>
        <w:pStyle w:val="ListParagraph"/>
        <w:numPr>
          <w:ilvl w:val="0"/>
          <w:numId w:val="2"/>
        </w:numPr>
        <w:spacing w:after="30" w:before="30"/>
      </w:pPr>
      <w:r>
        <w:rPr>
          <w:rFonts w:ascii="Arial" w:cs="Arial" w:eastAsia="Arial" w:hAnsi="Arial"/>
          <w:color w:val="4D4D4D"/>
          <w:sz w:val="19"/>
          <w:szCs w:val="19"/>
        </w:rPr>
        <w:t xml:space="preserve">Assessed the commercial viability of the SAPP Coordination Centre's proposed Central Receiving &amp; Issuing Authority (CRIA) model for cross-border settlement, proposing enhancements aligned with international best practice from ENTSO-E.</w:t>
      </w:r>
    </w:p>
    <w:p>
      <w:pPr>
        <w:spacing w:after="40" w:before="100"/>
      </w:pPr>
      <w:r>
        <w:rPr>
          <w:rFonts w:ascii="Arial" w:cs="Arial" w:eastAsia="Arial" w:hAnsi="Arial"/>
          <w:b/>
          <w:bCs/>
          <w:color w:val="4D4D4D"/>
          <w:sz w:val="21"/>
          <w:szCs w:val="21"/>
          <w:u w:val="single" w:color="4D4D4D"/>
        </w:rPr>
        <w:t xml:space="preserve">Team Leadership &amp; Programme Management</w:t>
      </w:r>
    </w:p>
    <w:p>
      <w:pPr>
        <w:pStyle w:val="ListParagraph"/>
        <w:numPr>
          <w:ilvl w:val="0"/>
          <w:numId w:val="2"/>
        </w:numPr>
        <w:spacing w:after="30" w:before="30"/>
      </w:pPr>
      <w:r>
        <w:rPr>
          <w:rFonts w:ascii="Arial" w:cs="Arial" w:eastAsia="Arial" w:hAnsi="Arial"/>
          <w:color w:val="4D4D4D"/>
          <w:sz w:val="19"/>
          <w:szCs w:val="19"/>
        </w:rPr>
        <w:t xml:space="preserve">Managed a team of 12 local and international short-term experts covering transmission engineering, power market economics, legal and regulatory advisory, financial modelling, and environmental and social governance.</w:t>
      </w:r>
    </w:p>
    <w:p>
      <w:pPr>
        <w:pStyle w:val="ListParagraph"/>
        <w:numPr>
          <w:ilvl w:val="0"/>
          <w:numId w:val="2"/>
        </w:numPr>
        <w:spacing w:after="30" w:before="30"/>
      </w:pPr>
      <w:r>
        <w:rPr>
          <w:rFonts w:ascii="Arial" w:cs="Arial" w:eastAsia="Arial" w:hAnsi="Arial"/>
          <w:color w:val="4D4D4D"/>
          <w:sz w:val="19"/>
          <w:szCs w:val="19"/>
        </w:rPr>
        <w:t xml:space="preserve">Responsible for assignment planning, STE contracting, budget oversight, quality assurance of all technical deliverables, and bi-weekly reporting to the USAID SAEP Contracting Officer's Representative (COR).</w:t>
      </w:r>
    </w:p>
    <w:p>
      <w:pPr>
        <w:pStyle w:val="ListParagraph"/>
        <w:numPr>
          <w:ilvl w:val="0"/>
          <w:numId w:val="2"/>
        </w:numPr>
        <w:spacing w:after="30" w:before="30"/>
      </w:pPr>
      <w:r>
        <w:rPr>
          <w:rFonts w:ascii="Arial" w:cs="Arial" w:eastAsia="Arial" w:hAnsi="Arial"/>
          <w:color w:val="4D4D4D"/>
          <w:sz w:val="19"/>
          <w:szCs w:val="19"/>
        </w:rPr>
        <w:t xml:space="preserve">Coordinated closely with SAEP Outcome 1 (generation) and Outcome 2 (policy and regulation) teams to ensure complementarity and prevent duplication in technical advisory provided to national counterparts.</w:t>
      </w:r>
    </w:p>
    <w:p>
      <w:pPr>
        <w:pStyle w:val="ListParagraph"/>
        <w:numPr>
          <w:ilvl w:val="0"/>
          <w:numId w:val="2"/>
        </w:numPr>
        <w:spacing w:after="30" w:before="30"/>
      </w:pPr>
      <w:r>
        <w:rPr>
          <w:rFonts w:ascii="Arial" w:cs="Arial" w:eastAsia="Arial" w:hAnsi="Arial"/>
          <w:color w:val="4D4D4D"/>
          <w:sz w:val="19"/>
          <w:szCs w:val="19"/>
        </w:rPr>
        <w:t xml:space="preserve">Facilitated six regional stakeholder workshops and two high-level investment forums, including the SAPP Investment Forum 2021 (virtual) attended by over 350 energy sector participants from 19 countries.</w:t>
      </w:r>
    </w:p>
    <w:p>
      <w:pPr>
        <w:spacing w:after="40" w:before="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8C9DE" w:sz="4"/>
              <w:left w:val="single" w:color="B8C9DE" w:sz="4"/>
              <w:bottom w:val="single" w:color="B8C9DE" w:sz="4"/>
              <w:right w:val="single" w:color="B8C9DE" w:sz="4"/>
            </w:tcBorders>
            <w:shd w:fill="E8EFF8" w:val="clear"/>
            <w:tcMar>
              <w:top w:type="dxa" w:w="100"/>
              <w:left w:type="dxa" w:w="140"/>
              <w:bottom w:type="dxa" w:w="80"/>
              <w:right w:type="dxa" w:w="140"/>
            </w:tcMar>
          </w:tcPr>
          <w:p>
            <w:r>
              <w:rPr>
                <w:rFonts w:ascii="Arial" w:cs="Arial" w:eastAsia="Arial" w:hAnsi="Arial"/>
                <w:b/>
                <w:bCs/>
                <w:color w:val="1F3864"/>
                <w:sz w:val="21"/>
                <w:szCs w:val="21"/>
              </w:rPr>
              <w:t xml:space="preserve">Position: Graduate to Senior Electrical Engineer</w:t>
            </w:r>
          </w:p>
          <w:p>
            <w:r>
              <w:rPr>
                <w:rFonts w:ascii="Arial" w:cs="Arial" w:eastAsia="Arial" w:hAnsi="Arial"/>
                <w:color w:val="4D4D4D"/>
                <w:sz w:val="19"/>
                <w:szCs w:val="19"/>
              </w:rPr>
              <w:t xml:space="preserve">Organisation: Aurecon Group – Energy Unit (Sub-Saharan Africa &amp; Australia)</w:t>
            </w:r>
          </w:p>
          <w:p>
            <w:r>
              <w:rPr>
                <w:rFonts w:ascii="Arial" w:cs="Arial" w:eastAsia="Arial" w:hAnsi="Arial"/>
                <w:i/>
                <w:iCs/>
                <w:color w:val="4D4D4D"/>
                <w:sz w:val="18"/>
                <w:szCs w:val="18"/>
              </w:rPr>
              <w:t xml:space="preserve">Period: January 2017 – October 2019  |  Location: South Africa, Kenya, Zimbabwe, Botswana, Angola, Egypt, Mozambique, Australia  |  Mode: Full-Time</w:t>
            </w:r>
          </w:p>
        </w:tc>
      </w:tr>
    </w:tbl>
    <w:p>
      <w:pPr>
        <w:spacing w:after="20" w:before="40"/>
      </w:pPr>
    </w:p>
    <w:p>
      <w:pPr>
        <w:spacing w:after="40" w:before="40"/>
      </w:pPr>
      <w:r>
        <w:rPr>
          <w:rFonts w:ascii="Arial" w:cs="Arial" w:eastAsia="Arial" w:hAnsi="Arial"/>
          <w:color w:val="4D4D4D"/>
          <w:sz w:val="19"/>
          <w:szCs w:val="19"/>
        </w:rPr>
        <w:t xml:space="preserve">Aurecon is one of Africa's leading engineering consulting firms. Keith joined the Energy Unit as a graduate engineer and was rapidly promoted through graduate, junior, and senior engineer grades. He was named Top Engineering Graduate of 2017 across the entire Aurecon Africa business. His responsibilities spanned power systems studies, renewable energy design, and utility advisory across seven African countries and Australia.</w:t>
      </w:r>
    </w:p>
    <w:p>
      <w:pPr>
        <w:spacing w:after="40" w:before="100"/>
      </w:pPr>
      <w:r>
        <w:rPr>
          <w:rFonts w:ascii="Arial" w:cs="Arial" w:eastAsia="Arial" w:hAnsi="Arial"/>
          <w:b/>
          <w:bCs/>
          <w:color w:val="4D4D4D"/>
          <w:sz w:val="21"/>
          <w:szCs w:val="21"/>
          <w:u w:val="single" w:color="4D4D4D"/>
        </w:rPr>
        <w:t xml:space="preserve">Power Systems Engineering</w:t>
      </w:r>
    </w:p>
    <w:p>
      <w:pPr>
        <w:pStyle w:val="ListParagraph"/>
        <w:numPr>
          <w:ilvl w:val="0"/>
          <w:numId w:val="2"/>
        </w:numPr>
        <w:spacing w:after="30" w:before="30"/>
      </w:pPr>
      <w:r>
        <w:rPr>
          <w:rFonts w:ascii="Arial" w:cs="Arial" w:eastAsia="Arial" w:hAnsi="Arial"/>
          <w:color w:val="4D4D4D"/>
          <w:sz w:val="19"/>
          <w:szCs w:val="19"/>
        </w:rPr>
        <w:t xml:space="preserve">Executed transmission and distribution network studies for utility clients including Eskom (South Africa), ZESA (Zimbabwe), BPC (Botswana), ENE (Angola), EDM (Mozambique), Kenya Power, and Western Power (Australia) using PSS/E for load flow, short-circuit, contingency, and stability analysis.</w:t>
      </w:r>
    </w:p>
    <w:p>
      <w:pPr>
        <w:pStyle w:val="ListParagraph"/>
        <w:numPr>
          <w:ilvl w:val="0"/>
          <w:numId w:val="2"/>
        </w:numPr>
        <w:spacing w:after="30" w:before="30"/>
      </w:pPr>
      <w:r>
        <w:rPr>
          <w:rFonts w:ascii="Arial" w:cs="Arial" w:eastAsia="Arial" w:hAnsi="Arial"/>
          <w:color w:val="4D4D4D"/>
          <w:sz w:val="19"/>
          <w:szCs w:val="19"/>
        </w:rPr>
        <w:t xml:space="preserve">Prepared grid impact assessments for proposed large-scale renewable energy IPPs seeking connection to the Eskom 132 kV and 275 kV networks under the NERSA Grid Connection Code, including fault level studies and protection relay setting calculations.</w:t>
      </w:r>
    </w:p>
    <w:p>
      <w:pPr>
        <w:pStyle w:val="ListParagraph"/>
        <w:numPr>
          <w:ilvl w:val="0"/>
          <w:numId w:val="2"/>
        </w:numPr>
        <w:spacing w:after="30" w:before="30"/>
      </w:pPr>
      <w:r>
        <w:rPr>
          <w:rFonts w:ascii="Arial" w:cs="Arial" w:eastAsia="Arial" w:hAnsi="Arial"/>
          <w:color w:val="4D4D4D"/>
          <w:sz w:val="19"/>
          <w:szCs w:val="19"/>
        </w:rPr>
        <w:t xml:space="preserve">Designed 11 kV to 400 kV substation schematics, protection and control (P&amp;C) systems, and SCADA communication architectures for greenfield and brownfield substation projects across the region.</w:t>
      </w:r>
    </w:p>
    <w:p>
      <w:pPr>
        <w:pStyle w:val="ListParagraph"/>
        <w:numPr>
          <w:ilvl w:val="0"/>
          <w:numId w:val="2"/>
        </w:numPr>
        <w:spacing w:after="30" w:before="30"/>
      </w:pPr>
      <w:r>
        <w:rPr>
          <w:rFonts w:ascii="Arial" w:cs="Arial" w:eastAsia="Arial" w:hAnsi="Arial"/>
          <w:color w:val="4D4D4D"/>
          <w:sz w:val="19"/>
          <w:szCs w:val="19"/>
        </w:rPr>
        <w:t xml:space="preserve">Contributed to the design and commissioning of a 220/132/11 kV substation extension in Zimbabwe for ZESA Holdings, including HV circuit breaker and transformer protection schemes.</w:t>
      </w:r>
    </w:p>
    <w:p>
      <w:pPr>
        <w:spacing w:after="40" w:before="100"/>
      </w:pPr>
      <w:r>
        <w:rPr>
          <w:rFonts w:ascii="Arial" w:cs="Arial" w:eastAsia="Arial" w:hAnsi="Arial"/>
          <w:b/>
          <w:bCs/>
          <w:color w:val="4D4D4D"/>
          <w:sz w:val="21"/>
          <w:szCs w:val="21"/>
          <w:u w:val="single" w:color="4D4D4D"/>
        </w:rPr>
        <w:t xml:space="preserve">Renewable Energy – Solar PV &amp; Battery Storage Design</w:t>
      </w:r>
    </w:p>
    <w:p>
      <w:pPr>
        <w:pStyle w:val="ListParagraph"/>
        <w:numPr>
          <w:ilvl w:val="0"/>
          <w:numId w:val="2"/>
        </w:numPr>
        <w:spacing w:after="30" w:before="30"/>
      </w:pPr>
      <w:r>
        <w:rPr>
          <w:rFonts w:ascii="Arial" w:cs="Arial" w:eastAsia="Arial" w:hAnsi="Arial"/>
          <w:color w:val="4D4D4D"/>
          <w:sz w:val="19"/>
          <w:szCs w:val="19"/>
        </w:rPr>
        <w:t xml:space="preserve">Performed solar resource assessment, energy yield modelling (PVSyst), and electrical balance-of-plant (BoP) design on 1.2 GW of utility-scale Solar PV projects across Africa, including projects in South Africa's REIPPP Rounds 4, 4.5, and 5 bid rounds.</w:t>
      </w:r>
    </w:p>
    <w:p>
      <w:pPr>
        <w:pStyle w:val="ListParagraph"/>
        <w:numPr>
          <w:ilvl w:val="0"/>
          <w:numId w:val="2"/>
        </w:numPr>
        <w:spacing w:after="30" w:before="30"/>
      </w:pPr>
      <w:r>
        <w:rPr>
          <w:rFonts w:ascii="Arial" w:cs="Arial" w:eastAsia="Arial" w:hAnsi="Arial"/>
          <w:color w:val="4D4D4D"/>
          <w:sz w:val="19"/>
          <w:szCs w:val="19"/>
        </w:rPr>
        <w:t xml:space="preserve">Designed battery energy storage system (BESS) integration for four Solar PV plants in South Africa (aggregating 120 MWh of storage), including battery management system (BMS) specifications, inverter selection, and AC/DC protection co-ordination.</w:t>
      </w:r>
    </w:p>
    <w:p>
      <w:pPr>
        <w:pStyle w:val="ListParagraph"/>
        <w:numPr>
          <w:ilvl w:val="0"/>
          <w:numId w:val="2"/>
        </w:numPr>
        <w:spacing w:after="30" w:before="30"/>
      </w:pPr>
      <w:r>
        <w:rPr>
          <w:rFonts w:ascii="Arial" w:cs="Arial" w:eastAsia="Arial" w:hAnsi="Arial"/>
          <w:color w:val="4D4D4D"/>
          <w:sz w:val="19"/>
          <w:szCs w:val="19"/>
        </w:rPr>
        <w:t xml:space="preserve">Supported the development and commissioning of a 75 MW Solar PV plant in Botswana (one of the largest in the SADC region at the time), covering site survey, layout optimisation, transformer sizing, and DC cabling design.</w:t>
      </w:r>
    </w:p>
    <w:p>
      <w:pPr>
        <w:pStyle w:val="ListParagraph"/>
        <w:numPr>
          <w:ilvl w:val="0"/>
          <w:numId w:val="2"/>
        </w:numPr>
        <w:spacing w:after="30" w:before="30"/>
      </w:pPr>
      <w:r>
        <w:rPr>
          <w:rFonts w:ascii="Arial" w:cs="Arial" w:eastAsia="Arial" w:hAnsi="Arial"/>
          <w:color w:val="4D4D4D"/>
          <w:sz w:val="19"/>
          <w:szCs w:val="19"/>
        </w:rPr>
        <w:t xml:space="preserve">Delivered renewable energy integration studies for Australian clients on the National Electricity Market (NEM), covering frequency control ancillary services (FCAS), minimum dispatchable generation constraints, and inertia requirements under the Australian Energy Market Operator (AEMO) framework.</w:t>
      </w:r>
    </w:p>
    <w:p>
      <w:pPr>
        <w:spacing w:after="40" w:before="100"/>
      </w:pPr>
      <w:r>
        <w:rPr>
          <w:rFonts w:ascii="Arial" w:cs="Arial" w:eastAsia="Arial" w:hAnsi="Arial"/>
          <w:b/>
          <w:bCs/>
          <w:color w:val="4D4D4D"/>
          <w:sz w:val="21"/>
          <w:szCs w:val="21"/>
          <w:u w:val="single" w:color="4D4D4D"/>
        </w:rPr>
        <w:t xml:space="preserve">Innovation &amp; Research (at Aurecon)</w:t>
      </w:r>
    </w:p>
    <w:p>
      <w:pPr>
        <w:pStyle w:val="ListParagraph"/>
        <w:numPr>
          <w:ilvl w:val="0"/>
          <w:numId w:val="2"/>
        </w:numPr>
        <w:spacing w:after="30" w:before="30"/>
      </w:pPr>
      <w:r>
        <w:rPr>
          <w:rFonts w:ascii="Arial" w:cs="Arial" w:eastAsia="Arial" w:hAnsi="Arial"/>
          <w:color w:val="4D4D4D"/>
          <w:sz w:val="19"/>
          <w:szCs w:val="19"/>
        </w:rPr>
        <w:t xml:space="preserve">Designed and tested a machine learning model for electricity and cable theft detection tailored to South African municipalities — using Irish smart meter data as a training dataset — presented at the PIESA IERE International Conference 2019.</w:t>
      </w:r>
    </w:p>
    <w:p>
      <w:pPr>
        <w:pStyle w:val="ListParagraph"/>
        <w:numPr>
          <w:ilvl w:val="0"/>
          <w:numId w:val="2"/>
        </w:numPr>
        <w:spacing w:after="30" w:before="30"/>
      </w:pPr>
      <w:r>
        <w:rPr>
          <w:rFonts w:ascii="Arial" w:cs="Arial" w:eastAsia="Arial" w:hAnsi="Arial"/>
          <w:color w:val="4D4D4D"/>
          <w:sz w:val="19"/>
          <w:szCs w:val="19"/>
        </w:rPr>
        <w:t xml:space="preserve">Researched IoT applications in the power sector and presented findings at PowerGen Africa's Gen-X Theatre (Awarded 3rd Best Paper Prize).</w:t>
      </w:r>
    </w:p>
    <w:p>
      <w:pPr>
        <w:pStyle w:val="ListParagraph"/>
        <w:numPr>
          <w:ilvl w:val="0"/>
          <w:numId w:val="2"/>
        </w:numPr>
        <w:spacing w:after="30" w:before="30"/>
      </w:pPr>
      <w:r>
        <w:rPr>
          <w:rFonts w:ascii="Arial" w:cs="Arial" w:eastAsia="Arial" w:hAnsi="Arial"/>
          <w:color w:val="4D4D4D"/>
          <w:sz w:val="19"/>
          <w:szCs w:val="19"/>
        </w:rPr>
        <w:t xml:space="preserve">Developed a concept for a Hydrogen Co-generation Plant, winning 3rd Place in the African Union / Bright Spark Innovative Energy Case Study Competition 2015.</w:t>
      </w:r>
    </w:p>
    <w:p>
      <w:pPr>
        <w:pStyle w:val="ListParagraph"/>
        <w:numPr>
          <w:ilvl w:val="0"/>
          <w:numId w:val="2"/>
        </w:numPr>
        <w:spacing w:after="30" w:before="30"/>
      </w:pPr>
      <w:r>
        <w:rPr>
          <w:rFonts w:ascii="Arial" w:cs="Arial" w:eastAsia="Arial" w:hAnsi="Arial"/>
          <w:color w:val="4D4D4D"/>
          <w:sz w:val="19"/>
          <w:szCs w:val="19"/>
        </w:rPr>
        <w:t xml:space="preserve">Named Top 3 Most Innovative Young Professional Award at Aurecon (category: all Young Professionals under age 35 across the Africa business).</w:t>
      </w:r>
    </w:p>
    <w:p>
      <w:pPr>
        <w:spacing w:after="0" w:before="160"/>
      </w:pPr>
    </w:p>
    <w:p>
      <w:pPr>
        <w:shd w:fill="1F3864" w:val="clear"/>
        <w:spacing w:after="0" w:before="0"/>
        <w:ind w:left="0"/>
      </w:pPr>
      <w:r>
        <w:rPr>
          <w:rFonts w:ascii="Arial" w:cs="Arial" w:eastAsia="Arial" w:hAnsi="Arial"/>
          <w:b/>
          <w:bCs/>
          <w:color w:val="FFFFFF"/>
          <w:sz w:val="22"/>
          <w:szCs w:val="22"/>
        </w:rPr>
        <w:t xml:space="preserve">  PUBLICATIONS &amp; CONFERENCE PAPERS</w:t>
      </w:r>
    </w:p>
    <w:p>
      <w:pPr>
        <w:spacing w:after="6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280"/>
        <w:gridCol w:w="2600"/>
      </w:tblGrid>
      <w:tr>
        <w:tc>
          <w:tcPr>
            <w:tcW w:type="dxa" w:w="800"/>
            <w:tcBorders>
              <w:top w:val="single" w:color="B8C9DE" w:sz="4"/>
              <w:left w:val="single" w:color="B8C9DE" w:sz="4"/>
              <w:bottom w:val="single" w:color="B8C9DE" w:sz="4"/>
              <w:right w:val="single" w:color="B8C9DE"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Year</w:t>
            </w:r>
          </w:p>
        </w:tc>
        <w:tc>
          <w:tcPr>
            <w:tcW w:type="dxa" w:w="2400"/>
            <w:tcBorders>
              <w:top w:val="single" w:color="B8C9DE" w:sz="4"/>
              <w:left w:val="single" w:color="B8C9DE" w:sz="4"/>
              <w:bottom w:val="single" w:color="B8C9DE" w:sz="4"/>
              <w:right w:val="single" w:color="B8C9DE"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Title</w:t>
            </w:r>
          </w:p>
        </w:tc>
        <w:tc>
          <w:tcPr>
            <w:tcW w:type="dxa" w:w="4280"/>
            <w:tcBorders>
              <w:top w:val="single" w:color="B8C9DE" w:sz="4"/>
              <w:left w:val="single" w:color="B8C9DE" w:sz="4"/>
              <w:bottom w:val="single" w:color="B8C9DE" w:sz="4"/>
              <w:right w:val="single" w:color="B8C9DE"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Venue / Journal</w:t>
            </w:r>
          </w:p>
        </w:tc>
        <w:tc>
          <w:tcPr>
            <w:tcW w:type="dxa" w:w="2600"/>
            <w:tcBorders>
              <w:top w:val="single" w:color="B8C9DE" w:sz="4"/>
              <w:left w:val="single" w:color="B8C9DE" w:sz="4"/>
              <w:bottom w:val="single" w:color="B8C9DE" w:sz="4"/>
              <w:right w:val="single" w:color="B8C9DE"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Role / Note</w:t>
            </w:r>
          </w:p>
        </w:tc>
      </w:tr>
      <w:tr>
        <w:tc>
          <w:tcPr>
            <w:tcW w:type="dxa" w:w="8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2023</w:t>
            </w:r>
          </w:p>
        </w:tc>
        <w:tc>
          <w:tcPr>
            <w:tcW w:type="dxa" w:w="24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Uptake of Solar Rooftop PV in South Africa</w:t>
            </w:r>
          </w:p>
        </w:tc>
        <w:tc>
          <w:tcPr>
            <w:tcW w:type="dxa" w:w="428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Enlit Africa Conference, Cape Town, South Africa</w:t>
            </w:r>
          </w:p>
        </w:tc>
        <w:tc>
          <w:tcPr>
            <w:tcW w:type="dxa" w:w="26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Presenter</w:t>
            </w:r>
          </w:p>
        </w:tc>
      </w:tr>
      <w:tr>
        <w:tc>
          <w:tcPr>
            <w:tcW w:type="dxa" w:w="8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2022</w:t>
            </w:r>
          </w:p>
        </w:tc>
        <w:tc>
          <w:tcPr>
            <w:tcW w:type="dxa" w:w="24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How can the consulting industry leverage the new energy transition? Redefining our existing business models and services</w:t>
            </w:r>
          </w:p>
        </w:tc>
        <w:tc>
          <w:tcPr>
            <w:tcW w:type="dxa" w:w="428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Consulting Engineers of South Africa (CESA) Infrastructure Indaba</w:t>
            </w:r>
          </w:p>
        </w:tc>
        <w:tc>
          <w:tcPr>
            <w:tcW w:type="dxa" w:w="26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Presenter</w:t>
            </w:r>
          </w:p>
        </w:tc>
      </w:tr>
      <w:tr>
        <w:tc>
          <w:tcPr>
            <w:tcW w:type="dxa" w:w="8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2019</w:t>
            </w:r>
          </w:p>
        </w:tc>
        <w:tc>
          <w:tcPr>
            <w:tcW w:type="dxa" w:w="24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Electricity and Cable Theft Detection using Machine Learning for Municipalities</w:t>
            </w:r>
          </w:p>
        </w:tc>
        <w:tc>
          <w:tcPr>
            <w:tcW w:type="dxa" w:w="428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PIESA IERE International Conference (model designed and tested using Irish utility data)</w:t>
            </w:r>
          </w:p>
        </w:tc>
        <w:tc>
          <w:tcPr>
            <w:tcW w:type="dxa" w:w="26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Author &amp; Presenter</w:t>
            </w:r>
          </w:p>
        </w:tc>
      </w:tr>
      <w:tr>
        <w:tc>
          <w:tcPr>
            <w:tcW w:type="dxa" w:w="8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2018</w:t>
            </w:r>
          </w:p>
        </w:tc>
        <w:tc>
          <w:tcPr>
            <w:tcW w:type="dxa" w:w="24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The Role of Young Professionals in the 4th Industrial Revolution</w:t>
            </w:r>
          </w:p>
        </w:tc>
        <w:tc>
          <w:tcPr>
            <w:tcW w:type="dxa" w:w="428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UNESCO Engineering 2018 Conference, United Nations Educational, Scientific and Cultural Organization</w:t>
            </w:r>
          </w:p>
        </w:tc>
        <w:tc>
          <w:tcPr>
            <w:tcW w:type="dxa" w:w="26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Author &amp; Presenter</w:t>
            </w:r>
          </w:p>
        </w:tc>
      </w:tr>
      <w:tr>
        <w:tc>
          <w:tcPr>
            <w:tcW w:type="dxa" w:w="8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2018</w:t>
            </w:r>
          </w:p>
        </w:tc>
        <w:tc>
          <w:tcPr>
            <w:tcW w:type="dxa" w:w="24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Integrating Energy Storage for South African Municipalities</w:t>
            </w:r>
          </w:p>
        </w:tc>
        <w:tc>
          <w:tcPr>
            <w:tcW w:type="dxa" w:w="428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AMEU 2018 Publication and Conference</w:t>
            </w:r>
          </w:p>
        </w:tc>
        <w:tc>
          <w:tcPr>
            <w:tcW w:type="dxa" w:w="26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Co-Author &amp; Presenter; Youngest Author and Presenter at the Conference</w:t>
            </w:r>
          </w:p>
        </w:tc>
      </w:tr>
      <w:tr>
        <w:tc>
          <w:tcPr>
            <w:tcW w:type="dxa" w:w="8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2017</w:t>
            </w:r>
          </w:p>
        </w:tc>
        <w:tc>
          <w:tcPr>
            <w:tcW w:type="dxa" w:w="24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Internet-of-Things and Its Impact on the Power Sector</w:t>
            </w:r>
          </w:p>
        </w:tc>
        <w:tc>
          <w:tcPr>
            <w:tcW w:type="dxa" w:w="428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PowerGen Africa – Gen-X Theatre</w:t>
            </w:r>
          </w:p>
        </w:tc>
        <w:tc>
          <w:tcPr>
            <w:tcW w:type="dxa" w:w="26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Author &amp; Presenter; Awarded 3rd Best Paper Prize</w:t>
            </w:r>
          </w:p>
        </w:tc>
      </w:tr>
    </w:tbl>
    <w:p>
      <w:pPr>
        <w:spacing w:after="0" w:before="160"/>
      </w:pPr>
    </w:p>
    <w:p>
      <w:pPr>
        <w:shd w:fill="1F3864" w:val="clear"/>
        <w:spacing w:after="0" w:before="0"/>
        <w:ind w:left="0"/>
      </w:pPr>
      <w:r>
        <w:rPr>
          <w:rFonts w:ascii="Arial" w:cs="Arial" w:eastAsia="Arial" w:hAnsi="Arial"/>
          <w:b/>
          <w:bCs/>
          <w:color w:val="FFFFFF"/>
          <w:sz w:val="22"/>
          <w:szCs w:val="22"/>
        </w:rPr>
        <w:t xml:space="preserve">  AWARDS, RECOGNITION &amp; LEADERSHIP ACHIEVEMENTS</w:t>
      </w:r>
    </w:p>
    <w:p>
      <w:pPr>
        <w:spacing w:after="6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5120"/>
      </w:tblGrid>
      <w:tr>
        <w:tc>
          <w:tcPr>
            <w:tcW w:type="dxa" w:w="900"/>
            <w:tcBorders>
              <w:top w:val="single" w:color="B8C9DE" w:sz="4"/>
              <w:left w:val="single" w:color="B8C9DE" w:sz="4"/>
              <w:bottom w:val="single" w:color="B8C9DE" w:sz="4"/>
              <w:right w:val="single" w:color="B8C9DE"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Year</w:t>
            </w:r>
          </w:p>
        </w:tc>
        <w:tc>
          <w:tcPr>
            <w:tcW w:type="dxa" w:w="4060"/>
            <w:tcBorders>
              <w:top w:val="single" w:color="B8C9DE" w:sz="4"/>
              <w:left w:val="single" w:color="B8C9DE" w:sz="4"/>
              <w:bottom w:val="single" w:color="B8C9DE" w:sz="4"/>
              <w:right w:val="single" w:color="B8C9DE"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Award / Achievement</w:t>
            </w:r>
          </w:p>
        </w:tc>
        <w:tc>
          <w:tcPr>
            <w:tcW w:type="dxa" w:w="5120"/>
            <w:tcBorders>
              <w:top w:val="single" w:color="B8C9DE" w:sz="4"/>
              <w:left w:val="single" w:color="B8C9DE" w:sz="4"/>
              <w:bottom w:val="single" w:color="B8C9DE" w:sz="4"/>
              <w:right w:val="single" w:color="B8C9DE"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Awarding Body / Notes</w:t>
            </w:r>
          </w:p>
        </w:tc>
      </w:tr>
      <w:tr>
        <w:tc>
          <w:tcPr>
            <w:tcW w:type="dxa" w:w="9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2020/21</w:t>
            </w:r>
          </w:p>
        </w:tc>
        <w:tc>
          <w:tcPr>
            <w:tcW w:type="dxa" w:w="406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Young Engineer of the Year</w:t>
            </w:r>
          </w:p>
        </w:tc>
        <w:tc>
          <w:tcPr>
            <w:tcW w:type="dxa" w:w="512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South African National Energy Association (SANEA)</w:t>
            </w:r>
          </w:p>
        </w:tc>
      </w:tr>
      <w:tr>
        <w:tc>
          <w:tcPr>
            <w:tcW w:type="dxa" w:w="9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2019/20</w:t>
            </w:r>
          </w:p>
        </w:tc>
        <w:tc>
          <w:tcPr>
            <w:tcW w:type="dxa" w:w="406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SADC Top 100 Most Influential Young People</w:t>
            </w:r>
          </w:p>
        </w:tc>
        <w:tc>
          <w:tcPr>
            <w:tcW w:type="dxa" w:w="512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Young Independent's Annual List</w:t>
            </w:r>
          </w:p>
        </w:tc>
      </w:tr>
      <w:tr>
        <w:tc>
          <w:tcPr>
            <w:tcW w:type="dxa" w:w="9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2019</w:t>
            </w:r>
          </w:p>
        </w:tc>
        <w:tc>
          <w:tcPr>
            <w:tcW w:type="dxa" w:w="406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Mail &amp; Guardian Top 200 Young South Africans – Science &amp; Technology Category</w:t>
            </w:r>
          </w:p>
        </w:tc>
        <w:tc>
          <w:tcPr>
            <w:tcW w:type="dxa" w:w="512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Mail &amp; Guardian Media</w:t>
            </w:r>
          </w:p>
        </w:tc>
      </w:tr>
      <w:tr>
        <w:tc>
          <w:tcPr>
            <w:tcW w:type="dxa" w:w="9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2019</w:t>
            </w:r>
          </w:p>
        </w:tc>
        <w:tc>
          <w:tcPr>
            <w:tcW w:type="dxa" w:w="406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Top 3 Most Innovative Young Professional Award</w:t>
            </w:r>
          </w:p>
        </w:tc>
        <w:tc>
          <w:tcPr>
            <w:tcW w:type="dxa" w:w="512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Aurecon Africa (Category: under 35)</w:t>
            </w:r>
          </w:p>
        </w:tc>
      </w:tr>
      <w:tr>
        <w:tc>
          <w:tcPr>
            <w:tcW w:type="dxa" w:w="9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2019/20</w:t>
            </w:r>
          </w:p>
        </w:tc>
        <w:tc>
          <w:tcPr>
            <w:tcW w:type="dxa" w:w="406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Chairperson – Innovation &amp; Technology Forum</w:t>
            </w:r>
          </w:p>
        </w:tc>
        <w:tc>
          <w:tcPr>
            <w:tcW w:type="dxa" w:w="512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Consulting Engineers of South Africa (CESA)</w:t>
            </w:r>
          </w:p>
        </w:tc>
      </w:tr>
      <w:tr>
        <w:tc>
          <w:tcPr>
            <w:tcW w:type="dxa" w:w="9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2017/19</w:t>
            </w:r>
          </w:p>
        </w:tc>
        <w:tc>
          <w:tcPr>
            <w:tcW w:type="dxa" w:w="406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Chairperson – Young Professionals Forum (Gauteng North)</w:t>
            </w:r>
          </w:p>
        </w:tc>
        <w:tc>
          <w:tcPr>
            <w:tcW w:type="dxa" w:w="512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Consulting Engineers of South Africa (CESA)</w:t>
            </w:r>
          </w:p>
        </w:tc>
      </w:tr>
      <w:tr>
        <w:tc>
          <w:tcPr>
            <w:tcW w:type="dxa" w:w="9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2017</w:t>
            </w:r>
          </w:p>
        </w:tc>
        <w:tc>
          <w:tcPr>
            <w:tcW w:type="dxa" w:w="406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Top Engineering Graduate of the Year</w:t>
            </w:r>
          </w:p>
        </w:tc>
        <w:tc>
          <w:tcPr>
            <w:tcW w:type="dxa" w:w="512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Aurecon Africa Business</w:t>
            </w:r>
          </w:p>
        </w:tc>
      </w:tr>
      <w:tr>
        <w:tc>
          <w:tcPr>
            <w:tcW w:type="dxa" w:w="9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2015</w:t>
            </w:r>
          </w:p>
        </w:tc>
        <w:tc>
          <w:tcPr>
            <w:tcW w:type="dxa" w:w="406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INISA International Scholarship (2013-2014)</w:t>
            </w:r>
          </w:p>
        </w:tc>
        <w:tc>
          <w:tcPr>
            <w:tcW w:type="dxa" w:w="512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INISA – One recipient annually across SADC in Engineering, Medicine, Commerce or Science</w:t>
            </w:r>
          </w:p>
        </w:tc>
      </w:tr>
      <w:tr>
        <w:tc>
          <w:tcPr>
            <w:tcW w:type="dxa" w:w="9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2015</w:t>
            </w:r>
          </w:p>
        </w:tc>
        <w:tc>
          <w:tcPr>
            <w:tcW w:type="dxa" w:w="406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African Union / Bright Spark Innovative Energy Case Study Competition – 3rd Place</w:t>
            </w:r>
          </w:p>
        </w:tc>
        <w:tc>
          <w:tcPr>
            <w:tcW w:type="dxa" w:w="512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African Union &amp; Bright Spark (Designed a Hydrogen Co-generation Plant)</w:t>
            </w:r>
          </w:p>
        </w:tc>
      </w:tr>
      <w:tr>
        <w:tc>
          <w:tcPr>
            <w:tcW w:type="dxa" w:w="9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2015–16</w:t>
            </w:r>
          </w:p>
        </w:tc>
        <w:tc>
          <w:tcPr>
            <w:tcW w:type="dxa" w:w="406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Best Community Engagement Portfolio Award</w:t>
            </w:r>
          </w:p>
        </w:tc>
        <w:tc>
          <w:tcPr>
            <w:tcW w:type="dxa" w:w="512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Department of Student Affairs, University of Pretoria (for SRC service)</w:t>
            </w:r>
          </w:p>
        </w:tc>
      </w:tr>
      <w:tr>
        <w:tc>
          <w:tcPr>
            <w:tcW w:type="dxa" w:w="9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2019</w:t>
            </w:r>
          </w:p>
        </w:tc>
        <w:tc>
          <w:tcPr>
            <w:tcW w:type="dxa" w:w="406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Member – National STI Foresight Initiative</w:t>
            </w:r>
          </w:p>
        </w:tc>
        <w:tc>
          <w:tcPr>
            <w:tcW w:type="dxa" w:w="512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National Advisory Council on Innovation (NACI) to the Ministry of Science &amp; Technology</w:t>
            </w:r>
          </w:p>
        </w:tc>
      </w:tr>
      <w:tr>
        <w:tc>
          <w:tcPr>
            <w:tcW w:type="dxa" w:w="9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2022/23</w:t>
            </w:r>
          </w:p>
        </w:tc>
        <w:tc>
          <w:tcPr>
            <w:tcW w:type="dxa" w:w="406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Finalist – Young Energy Professional Award</w:t>
            </w:r>
          </w:p>
        </w:tc>
        <w:tc>
          <w:tcPr>
            <w:tcW w:type="dxa" w:w="512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Southern Africa Energy Efficiency Confederation (SAEEC)</w:t>
            </w:r>
          </w:p>
        </w:tc>
      </w:tr>
    </w:tbl>
    <w:p>
      <w:pPr>
        <w:spacing w:after="0" w:before="160"/>
      </w:pPr>
    </w:p>
    <w:p>
      <w:pPr>
        <w:shd w:fill="1F3864" w:val="clear"/>
        <w:spacing w:after="0" w:before="0"/>
        <w:ind w:left="0"/>
      </w:pPr>
      <w:r>
        <w:rPr>
          <w:rFonts w:ascii="Arial" w:cs="Arial" w:eastAsia="Arial" w:hAnsi="Arial"/>
          <w:b/>
          <w:bCs/>
          <w:color w:val="FFFFFF"/>
          <w:sz w:val="22"/>
          <w:szCs w:val="22"/>
        </w:rPr>
        <w:t xml:space="preserve">  PROFESSIONAL CERTIFICATIONS</w:t>
      </w:r>
    </w:p>
    <w:p>
      <w:pPr>
        <w:spacing w:after="60"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000"/>
        <w:gridCol w:w="1680"/>
      </w:tblGrid>
      <w:tr>
        <w:tc>
          <w:tcPr>
            <w:tcW w:type="dxa" w:w="1200"/>
            <w:tcBorders>
              <w:top w:val="single" w:color="B8C9DE" w:sz="4"/>
              <w:left w:val="single" w:color="B8C9DE" w:sz="4"/>
              <w:bottom w:val="single" w:color="B8C9DE" w:sz="4"/>
              <w:right w:val="single" w:color="B8C9DE"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3200"/>
            <w:tcBorders>
              <w:top w:val="single" w:color="B8C9DE" w:sz="4"/>
              <w:left w:val="single" w:color="B8C9DE" w:sz="4"/>
              <w:bottom w:val="single" w:color="B8C9DE" w:sz="4"/>
              <w:right w:val="single" w:color="B8C9DE"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Certification</w:t>
            </w:r>
          </w:p>
        </w:tc>
        <w:tc>
          <w:tcPr>
            <w:tcW w:type="dxa" w:w="3000"/>
            <w:tcBorders>
              <w:top w:val="single" w:color="B8C9DE" w:sz="4"/>
              <w:left w:val="single" w:color="B8C9DE" w:sz="4"/>
              <w:bottom w:val="single" w:color="B8C9DE" w:sz="4"/>
              <w:right w:val="single" w:color="B8C9DE"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Issuing Body</w:t>
            </w:r>
          </w:p>
        </w:tc>
        <w:tc>
          <w:tcPr>
            <w:tcW w:type="dxa" w:w="1680"/>
            <w:tcBorders>
              <w:top w:val="single" w:color="B8C9DE" w:sz="4"/>
              <w:left w:val="single" w:color="B8C9DE" w:sz="4"/>
              <w:bottom w:val="single" w:color="B8C9DE" w:sz="4"/>
              <w:right w:val="single" w:color="B8C9DE" w:sz="4"/>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Reference / Date</w:t>
            </w:r>
          </w:p>
        </w:tc>
      </w:tr>
      <w:tr>
        <w:tc>
          <w:tcPr>
            <w:tcW w:type="dxa" w:w="12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Active</w:t>
            </w:r>
          </w:p>
        </w:tc>
        <w:tc>
          <w:tcPr>
            <w:tcW w:type="dxa" w:w="32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Project Management Professional (PMP®)</w:t>
            </w:r>
          </w:p>
        </w:tc>
        <w:tc>
          <w:tcPr>
            <w:tcW w:type="dxa" w:w="30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Project Management Institute (PMI)</w:t>
            </w:r>
          </w:p>
        </w:tc>
        <w:tc>
          <w:tcPr>
            <w:tcW w:type="dxa" w:w="168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PMP® #3307219</w:t>
            </w:r>
          </w:p>
        </w:tc>
      </w:tr>
      <w:tr>
        <w:tc>
          <w:tcPr>
            <w:tcW w:type="dxa" w:w="12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Active</w:t>
            </w:r>
          </w:p>
        </w:tc>
        <w:tc>
          <w:tcPr>
            <w:tcW w:type="dxa" w:w="32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Certified Energy Manager (CEM®)</w:t>
            </w:r>
          </w:p>
        </w:tc>
        <w:tc>
          <w:tcPr>
            <w:tcW w:type="dxa" w:w="30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Association of Energy Engineers (AEE)</w:t>
            </w:r>
          </w:p>
        </w:tc>
        <w:tc>
          <w:tcPr>
            <w:tcW w:type="dxa" w:w="168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CEM® #98875</w:t>
            </w:r>
          </w:p>
        </w:tc>
      </w:tr>
      <w:tr>
        <w:tc>
          <w:tcPr>
            <w:tcW w:type="dxa" w:w="12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Completed</w:t>
            </w:r>
          </w:p>
        </w:tc>
        <w:tc>
          <w:tcPr>
            <w:tcW w:type="dxa" w:w="32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Solar PV – Detailed Design Course</w:t>
            </w:r>
          </w:p>
        </w:tc>
        <w:tc>
          <w:tcPr>
            <w:tcW w:type="dxa" w:w="300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Aurecon Academy</w:t>
            </w:r>
          </w:p>
        </w:tc>
        <w:tc>
          <w:tcPr>
            <w:tcW w:type="dxa" w:w="1680"/>
            <w:tcBorders>
              <w:top w:val="single" w:color="B8C9DE" w:sz="4"/>
              <w:left w:val="single" w:color="B8C9DE" w:sz="4"/>
              <w:bottom w:val="single" w:color="B8C9DE" w:sz="4"/>
              <w:right w:val="single" w:color="B8C9DE" w:sz="4"/>
            </w:tcBorders>
            <w:shd w:fill="F2F5F9" w:val="clear"/>
            <w:tcMar>
              <w:top w:type="dxa" w:w="80"/>
              <w:left w:type="dxa" w:w="120"/>
              <w:bottom w:type="dxa" w:w="80"/>
              <w:right w:type="dxa" w:w="120"/>
            </w:tcMar>
          </w:tcPr>
          <w:p>
            <w:r>
              <w:rPr>
                <w:rFonts w:ascii="Arial" w:cs="Arial" w:eastAsia="Arial" w:hAnsi="Arial"/>
                <w:color w:val="4D4D4D"/>
                <w:sz w:val="19"/>
                <w:szCs w:val="19"/>
              </w:rPr>
              <w:t xml:space="preserve">November 2019</w:t>
            </w:r>
          </w:p>
        </w:tc>
      </w:tr>
      <w:tr>
        <w:tc>
          <w:tcPr>
            <w:tcW w:type="dxa" w:w="12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Completed</w:t>
            </w:r>
          </w:p>
        </w:tc>
        <w:tc>
          <w:tcPr>
            <w:tcW w:type="dxa" w:w="32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SANS 50050 Photovoltaic Systems Training &amp; Certification</w:t>
            </w:r>
          </w:p>
        </w:tc>
        <w:tc>
          <w:tcPr>
            <w:tcW w:type="dxa" w:w="300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University of Pretoria</w:t>
            </w:r>
          </w:p>
        </w:tc>
        <w:tc>
          <w:tcPr>
            <w:tcW w:type="dxa" w:w="1680"/>
            <w:tcBorders>
              <w:top w:val="single" w:color="B8C9DE" w:sz="4"/>
              <w:left w:val="single" w:color="B8C9DE" w:sz="4"/>
              <w:bottom w:val="single" w:color="B8C9DE" w:sz="4"/>
              <w:right w:val="single" w:color="B8C9DE" w:sz="4"/>
            </w:tcBorders>
            <w:tcMar>
              <w:top w:type="dxa" w:w="80"/>
              <w:left w:type="dxa" w:w="120"/>
              <w:bottom w:type="dxa" w:w="80"/>
              <w:right w:type="dxa" w:w="120"/>
            </w:tcMar>
          </w:tcPr>
          <w:p>
            <w:r>
              <w:rPr>
                <w:rFonts w:ascii="Arial" w:cs="Arial" w:eastAsia="Arial" w:hAnsi="Arial"/>
                <w:color w:val="4D4D4D"/>
                <w:sz w:val="19"/>
                <w:szCs w:val="19"/>
              </w:rPr>
              <w:t xml:space="preserve">August 2015</w:t>
            </w:r>
          </w:p>
        </w:tc>
      </w:tr>
    </w:tbl>
    <w:p>
      <w:pPr>
        <w:spacing w:after="0" w:before="160"/>
      </w:pPr>
    </w:p>
    <w:p>
      <w:pPr>
        <w:shd w:fill="1F3864" w:val="clear"/>
        <w:spacing w:after="0" w:before="0"/>
        <w:ind w:left="0"/>
      </w:pPr>
      <w:r>
        <w:rPr>
          <w:rFonts w:ascii="Arial" w:cs="Arial" w:eastAsia="Arial" w:hAnsi="Arial"/>
          <w:b/>
          <w:bCs/>
          <w:color w:val="FFFFFF"/>
          <w:sz w:val="22"/>
          <w:szCs w:val="22"/>
        </w:rPr>
        <w:t xml:space="preserve">  OTHER RELEVANT INFORMATION</w:t>
      </w:r>
    </w:p>
    <w:p>
      <w:pPr>
        <w:spacing w:after="60" w:before="80"/>
      </w:pPr>
    </w:p>
    <w:p>
      <w:pPr>
        <w:spacing w:after="40" w:before="100"/>
      </w:pPr>
      <w:r>
        <w:rPr>
          <w:rFonts w:ascii="Arial" w:cs="Arial" w:eastAsia="Arial" w:hAnsi="Arial"/>
          <w:b/>
          <w:bCs/>
          <w:color w:val="2E75B6"/>
          <w:sz w:val="21"/>
          <w:szCs w:val="21"/>
          <w:u w:val="single" w:color="2E75B6"/>
        </w:rPr>
        <w:t xml:space="preserve">Career Professional Highlights</w:t>
      </w:r>
    </w:p>
    <w:p>
      <w:pPr>
        <w:spacing w:after="40" w:before="40"/>
      </w:pPr>
      <w:r>
        <w:rPr>
          <w:rFonts w:ascii="Arial" w:cs="Arial" w:eastAsia="Arial" w:hAnsi="Arial"/>
          <w:color w:val="4D4D4D"/>
          <w:sz w:val="19"/>
          <w:szCs w:val="19"/>
        </w:rPr>
        <w:t xml:space="preserve">Transmission: Was part of the team (as overall deputy lead and engineering team leader) who assisted three utilities on their transmission projects to reach Financial Close (combined investment and development cost of over USD 2 billion); which will result in the creation of jobs for over 10,000 people within the next three years and unlock new generation into the SAPP trading market.</w:t>
      </w:r>
    </w:p>
    <w:p>
      <w:pPr>
        <w:spacing w:after="40" w:before="40"/>
      </w:pPr>
      <w:r>
        <w:rPr>
          <w:rFonts w:ascii="Arial" w:cs="Arial" w:eastAsia="Arial" w:hAnsi="Arial"/>
          <w:color w:val="4D4D4D"/>
          <w:sz w:val="19"/>
          <w:szCs w:val="19"/>
        </w:rPr>
        <w:t xml:space="preserve">Generation: To date has performed design work (energy yield, PVSyst solar and battery designs) on 1.2 GW worth of solar projects across the continent, spanning South Africa, Kenya, Zimbabwe, Botswana, Angola, Egypt, Mozambique, and Australia.</w:t>
      </w:r>
    </w:p>
    <w:p>
      <w:pPr>
        <w:spacing w:after="40" w:before="40"/>
      </w:pPr>
      <w:r>
        <w:rPr>
          <w:rFonts w:ascii="Arial" w:cs="Arial" w:eastAsia="Arial" w:hAnsi="Arial"/>
          <w:color w:val="4D4D4D"/>
          <w:sz w:val="19"/>
          <w:szCs w:val="19"/>
        </w:rPr>
        <w:t xml:space="preserve">Management: Under SAEP and on Outcome 3, the team exceeded the programme target by 260%, unlocking 2,500 MW worth of transmission capacity in the region. Also made key contributions to regional work as official advisor to SAPP and SADC, including the SADC Regional Grid Code and the SAPP Regional Transmission Infrastructure Financing Facility.</w:t>
      </w:r>
    </w:p>
    <w:p>
      <w:pPr>
        <w:spacing w:after="40" w:before="100"/>
      </w:pPr>
      <w:r>
        <w:rPr>
          <w:rFonts w:ascii="Arial" w:cs="Arial" w:eastAsia="Arial" w:hAnsi="Arial"/>
          <w:b/>
          <w:bCs/>
          <w:color w:val="2E75B6"/>
          <w:sz w:val="21"/>
          <w:szCs w:val="21"/>
          <w:u w:val="single" w:color="2E75B6"/>
        </w:rPr>
        <w:t xml:space="preserve">Early Career &amp; Academic Leadership</w:t>
      </w:r>
    </w:p>
    <w:p>
      <w:pPr>
        <w:spacing w:after="40" w:before="40"/>
      </w:pPr>
      <w:r>
        <w:rPr>
          <w:rFonts w:ascii="Arial" w:cs="Arial" w:eastAsia="Arial" w:hAnsi="Arial"/>
          <w:color w:val="4D4D4D"/>
          <w:sz w:val="19"/>
          <w:szCs w:val="19"/>
        </w:rPr>
        <w:t xml:space="preserve">Keith's exceptional potential was evident from his student days. He was awarded the INISA International Scholarship for 2013-2014 — one awarded annually to a single student across the entire SADC region in the fields of Engineering, Medicine, Commerce, or Science. He co-founded the Engineers Without Borders University of Pretoria Chapter and served as its Vice-Chairperson. He served on the Student Representative Council (SRC) for the Engineering Faculty from 2014 to 2016, earning the Best Community Engagement Portfolio Award from the Department of Student Affairs.</w:t>
      </w:r>
    </w:p>
    <w:p>
      <w:pPr>
        <w:spacing w:after="40" w:before="100"/>
      </w:pPr>
      <w:r>
        <w:rPr>
          <w:rFonts w:ascii="Arial" w:cs="Arial" w:eastAsia="Arial" w:hAnsi="Arial"/>
          <w:b/>
          <w:bCs/>
          <w:color w:val="2E75B6"/>
          <w:sz w:val="21"/>
          <w:szCs w:val="21"/>
          <w:u w:val="single" w:color="2E75B6"/>
        </w:rPr>
        <w:t xml:space="preserve">Relevance to GIZ-SAGEN 4 – Technical Team Leader</w:t>
      </w:r>
    </w:p>
    <w:p>
      <w:pPr>
        <w:spacing w:after="40" w:before="40"/>
      </w:pPr>
      <w:r>
        <w:rPr>
          <w:rFonts w:ascii="Arial" w:cs="Arial" w:eastAsia="Arial" w:hAnsi="Arial"/>
          <w:color w:val="4D4D4D"/>
          <w:sz w:val="19"/>
          <w:szCs w:val="19"/>
        </w:rPr>
        <w:t xml:space="preserve">Mr. Katyora's profile maps directly to the GIZ-SAGEN 4 Technical Team Leader requirements: he holds a Master's-equivalent combination of a B.Eng (Electrical), PMP®, and CEM® with over 8 years of demonstrated senior experience in power sector reform advisory across the SADC region and beyond. He has extensive experience working with and advising NERSA, SAPP, SADC, Eskom counterparts, and private sector IPP developers — precisely the stakeholder landscape of SAGEN 4. His track record of delivering complex multi-stakeholder programmes, leading expert teams, and producing high-quality knowledge products under donor-funded programmes makes him exceptionally well-suited to drive the coherence, complementarity, and quality of SAGEN 4's advisory services.</w:t>
      </w:r>
    </w:p>
    <w:p>
      <w:pPr>
        <w:spacing w:after="40" w:before="100"/>
      </w:pPr>
    </w:p>
    <w:p>
      <w:pPr>
        <w:pBdr>
          <w:bottom w:val="single" w:color="1F3864" w:sz="12"/>
        </w:pBdr>
        <w:spacing w:after="60" w:before="60"/>
      </w:pPr>
    </w:p>
    <w:p>
      <w:pPr>
        <w:spacing w:after="40" w:before="80"/>
        <w:jc w:val="center"/>
      </w:pPr>
      <w:r>
        <w:rPr>
          <w:rFonts w:ascii="Arial" w:cs="Arial" w:eastAsia="Arial" w:hAnsi="Arial"/>
          <w:i/>
          <w:iCs/>
          <w:color w:val="4D4D4D"/>
          <w:sz w:val="17"/>
          <w:szCs w:val="17"/>
        </w:rPr>
        <w:t xml:space="preserve">I, the undersigned, certify that to the best of my knowledge and belief, the information provided in this CV correctly describes me, my qualifications and my experience.</w:t>
      </w:r>
    </w:p>
    <w:p>
      <w:pPr>
        <w:spacing w:after="40" w:before="40"/>
        <w:jc w:val="center"/>
      </w:pPr>
      <w:r>
        <w:rPr>
          <w:rFonts w:ascii="Arial" w:cs="Arial" w:eastAsia="Arial" w:hAnsi="Arial"/>
          <w:color w:val="4D4D4D"/>
          <w:sz w:val="17"/>
          <w:szCs w:val="17"/>
        </w:rPr>
        <w:t xml:space="preserve">Signature: _______________________________     Date: ___________________</w:t>
      </w:r>
    </w:p>
    <w:p>
      <w:pPr>
        <w:spacing w:after="60" w:before="20"/>
        <w:jc w:val="center"/>
      </w:pPr>
      <w:r>
        <w:rPr>
          <w:rFonts w:ascii="Arial" w:cs="Arial" w:eastAsia="Arial" w:hAnsi="Arial"/>
          <w:b/>
          <w:bCs/>
          <w:color w:val="1F3864"/>
          <w:sz w:val="17"/>
          <w:szCs w:val="17"/>
        </w:rPr>
        <w:t xml:space="preserve">Mr. Keith Tinashe Katyora  |  Johannesburg, South Africa  |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8" w:space="1"/>
      </w:pBdr>
      <w:spacing w:after="0" w:before="80"/>
      <w:jc w:val="center"/>
    </w:pPr>
    <w:r>
      <w:rPr>
        <w:rFonts w:ascii="Arial" w:cs="Arial" w:eastAsia="Arial" w:hAnsi="Arial"/>
        <w:i/>
        <w:iCs/>
        <w:color w:val="4D4D4D"/>
        <w:sz w:val="14"/>
        <w:szCs w:val="14"/>
      </w:rPr>
      <w:t xml:space="preserve">CONFIDENTIAL – Prepared for GIZ Tender 81296132  |  Keith Tinashe Katyora  |  Johannesburg, South Africa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8" w:space="1"/>
      </w:pBdr>
      <w:spacing w:after="80" w:before="0"/>
    </w:pPr>
    <w:r>
      <w:rPr>
        <w:rFonts w:ascii="Arial" w:cs="Arial" w:eastAsia="Arial" w:hAnsi="Arial"/>
        <w:b/>
        <w:bCs/>
        <w:color w:val="1F3864"/>
        <w:sz w:val="16"/>
        <w:szCs w:val="16"/>
      </w:rPr>
      <w:t xml:space="preserve">GIZ – South African-German Energy Program 4  |  </w:t>
    </w:r>
    <w:r>
      <w:rPr>
        <w:rFonts w:ascii="Arial" w:cs="Arial" w:eastAsia="Arial" w:hAnsi="Arial"/>
        <w:color w:val="4D4D4D"/>
        <w:sz w:val="16"/>
        <w:szCs w:val="16"/>
      </w:rPr>
      <w:t xml:space="preserve">CV: Mr. Keith Tinashe Katyora – Technical Team Leader</w:t>
    </w:r>
    <w:r>
      <w:rPr>
        <w:rFonts w:ascii="Arial" w:cs="Arial" w:eastAsia="Arial" w:hAnsi="Arial"/>
        <w:color w:val="4D4D4D"/>
        <w:sz w:val="16"/>
        <w:szCs w:val="16"/>
      </w:rPr>
      <w:t xml:space="preserve">   |  Page </w:t>
    </w:r>
    <w:fldSimple w:instr="[object Objec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D4D4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2026-05-04T17:00:18.724Z</dcterms:created>
  <dcterms:modified xsi:type="dcterms:W3CDTF">2026-05-04T17:00:18.738Z</dcterms:modified>
</cp:coreProperties>
</file>

<file path=docProps/custom.xml><?xml version="1.0" encoding="utf-8"?>
<Properties xmlns="http://schemas.openxmlformats.org/officeDocument/2006/custom-properties" xmlns:vt="http://schemas.openxmlformats.org/officeDocument/2006/docPropsVTypes"/>
</file>