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t xml:space="preserve"/>
      </w:r>
    </w:p>
    <w:p>
      <w:pPr>
        <w:spacing w:after="60" w:before="0"/>
        <w:jc w:val="center"/>
      </w:pPr>
      <w:r>
        <w:rPr>
          <w:rFonts w:ascii="Arial" w:cs="Arial" w:eastAsia="Arial" w:hAnsi="Arial"/>
          <w:b/>
          <w:bCs/>
          <w:i w:val="false"/>
          <w:iCs w:val="false"/>
          <w:color w:val="1A6B5A"/>
          <w:sz w:val="28"/>
          <w:szCs w:val="28"/>
        </w:rPr>
        <w:t xml:space="preserve">بِسْمِ اللهِ الرَّحْمٰنِ الرَّحِيْمِ</w:t>
      </w:r>
    </w:p>
    <w:p>
      <w:pPr>
        <w:spacing w:after="40" w:before="60"/>
        <w:jc w:val="center"/>
      </w:pPr>
      <w:r>
        <w:rPr>
          <w:rFonts w:ascii="Arial" w:cs="Arial" w:eastAsia="Arial" w:hAnsi="Arial"/>
          <w:b/>
          <w:bCs/>
          <w:i w:val="false"/>
          <w:iCs w:val="false"/>
          <w:color w:val="1A6B5A"/>
          <w:sz w:val="36"/>
          <w:szCs w:val="36"/>
        </w:rPr>
        <w:t xml:space="preserve">KETENTUAN KERJA SAMA</w:t>
      </w:r>
    </w:p>
    <w:p>
      <w:pPr>
        <w:spacing w:after="120" w:before="0"/>
        <w:jc w:val="center"/>
      </w:pPr>
      <w:r>
        <w:rPr>
          <w:rFonts w:ascii="Arial" w:cs="Arial" w:eastAsia="Arial" w:hAnsi="Arial"/>
          <w:b/>
          <w:bCs/>
          <w:i w:val="false"/>
          <w:iCs w:val="false"/>
          <w:color w:val="374151"/>
          <w:sz w:val="26"/>
          <w:szCs w:val="26"/>
        </w:rPr>
        <w:t xml:space="preserve">PEMBUATAN WEBSITE PPDB PESANTREN</w:t>
      </w:r>
    </w:p>
    <w:tbl>
      <w:tblPr>
        <w:tblW w:type="dxa" w:w="9638"/>
        <w:tblBorders>
          <w:top w:val="none" w:sz="0"/>
          <w:left w:val="none" w:sz="0"/>
          <w:bottom w:val="none" w:sz="0"/>
          <w:right w:val="none" w:sz="0"/>
          <w:insideH w:val="single" w:color="auto" w:sz="4"/>
          <w:insideV w:val="single" w:color="auto" w:sz="4"/>
        </w:tblBorders>
      </w:tblPr>
      <w:tblGrid>
        <w:gridCol w:w="2800"/>
        <w:gridCol w:w="6838"/>
      </w:tblGrid>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Nomor</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........../KKS/........../2025</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Tanggal</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bl>
    <w:p>
      <w:pPr>
        <w:spacing w:after="60" w:before="100"/>
      </w:pPr>
      <w:r>
        <w:t xml:space="preserve"/>
      </w:r>
    </w:p>
    <w:p>
      <w:pPr>
        <w:spacing w:after="60" w:before="0"/>
      </w:pPr>
      <w:r>
        <w:rPr>
          <w:rFonts w:ascii="Arial" w:cs="Arial" w:eastAsia="Arial" w:hAnsi="Arial"/>
          <w:b/>
          <w:bCs/>
          <w:i w:val="false"/>
          <w:iCs w:val="false"/>
          <w:color w:val="1A6B5A"/>
          <w:sz w:val="22"/>
          <w:szCs w:val="22"/>
        </w:rPr>
        <w:t xml:space="preserve">Assalamu'alaikum Warahmatullahi Wabarakatuh</w:t>
      </w:r>
    </w:p>
    <w:p>
      <w:pPr>
        <w:spacing w:after="60" w:before="0"/>
      </w:pPr>
      <w:r>
        <w:rPr>
          <w:rFonts w:ascii="Arial" w:cs="Arial" w:eastAsia="Arial" w:hAnsi="Arial"/>
          <w:b w:val="false"/>
          <w:bCs w:val="false"/>
          <w:i w:val="false"/>
          <w:iCs w:val="false"/>
          <w:color w:val="374151"/>
          <w:sz w:val="22"/>
          <w:szCs w:val="22"/>
        </w:rPr>
        <w:t xml:space="preserve">Dengan menyebut nama Allah Yang Maha Pengasih lagi Maha Penyayang, dokumen ini disusun sebagai wujud itikad baik, amanah, dan transparansi dalam menjalin kerja sama yang insyaAllah penuh berkah bagi pendidikan Islam.</w:t>
      </w:r>
    </w:p>
    <w:p>
      <w:pPr>
        <w:spacing w:after="0" w:before="0"/>
      </w:pPr>
      <w:r>
        <w:rPr>
          <w:rFonts w:ascii="Arial" w:cs="Arial" w:eastAsia="Arial" w:hAnsi="Arial"/>
          <w:b w:val="false"/>
          <w:bCs w:val="false"/>
          <w:i w:val="false"/>
          <w:iCs w:val="false"/>
          <w:color w:val="374151"/>
          <w:sz w:val="22"/>
          <w:szCs w:val="22"/>
        </w:rPr>
        <w:t xml:space="preserve">Dokumen ini menjadi acuan resmi bersama antara Pihak Pengembang dan Pihak Pesantren (Klien) dalam pembuatan Website Penerimaan Peserta Didik Baru (PPDB).</w:t>
      </w:r>
    </w:p>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1 — IDENTITAS PARA PIHAK</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1.1  Pihak Pertama (Pengembang)</w:t>
      </w:r>
    </w:p>
    <w:tbl>
      <w:tblPr>
        <w:tblW w:type="dxa" w:w="9638"/>
        <w:tblBorders>
          <w:top w:val="none" w:sz="0"/>
          <w:left w:val="none" w:sz="0"/>
          <w:bottom w:val="none" w:sz="0"/>
          <w:right w:val="none" w:sz="0"/>
          <w:insideH w:val="single" w:color="auto" w:sz="4"/>
          <w:insideV w:val="single" w:color="auto" w:sz="4"/>
        </w:tblBorders>
      </w:tblPr>
      <w:tblGrid>
        <w:gridCol w:w="2800"/>
        <w:gridCol w:w="6838"/>
      </w:tblGrid>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Nama</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Rieza</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Profesi</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Fullstack Web Developer</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Kontak</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bl>
    <w:p>
      <w:pPr>
        <w:spacing w:after="40" w:before="80"/>
      </w:pPr>
      <w:r>
        <w:t xml:space="preserve"/>
      </w:r>
    </w:p>
    <w:p>
      <w:pPr>
        <w:spacing w:after="60" w:before="160"/>
      </w:pPr>
      <w:r>
        <w:rPr>
          <w:rFonts w:ascii="Arial" w:cs="Arial" w:eastAsia="Arial" w:hAnsi="Arial"/>
          <w:b/>
          <w:bCs/>
          <w:i w:val="false"/>
          <w:iCs w:val="false"/>
          <w:color w:val="1A6B5A"/>
          <w:sz w:val="22"/>
          <w:szCs w:val="22"/>
        </w:rPr>
        <w:t xml:space="preserve">1.2  Pihak Kedua (Klien / Pesantren)</w:t>
      </w:r>
    </w:p>
    <w:tbl>
      <w:tblPr>
        <w:tblW w:type="dxa" w:w="9638"/>
        <w:tblBorders>
          <w:top w:val="none" w:sz="0"/>
          <w:left w:val="none" w:sz="0"/>
          <w:bottom w:val="none" w:sz="0"/>
          <w:right w:val="none" w:sz="0"/>
          <w:insideH w:val="single" w:color="auto" w:sz="4"/>
          <w:insideV w:val="single" w:color="auto" w:sz="4"/>
        </w:tblBorders>
      </w:tblPr>
      <w:tblGrid>
        <w:gridCol w:w="2800"/>
        <w:gridCol w:w="6838"/>
      </w:tblGrid>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Nama Pesantren</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Penanggung Jawab</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Jabatan</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Alamat</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r>
        <w:tc>
          <w:tcPr>
            <w:tcW w:type="dxa" w:w="2800"/>
            <w:tcBorders>
              <w:top w:val="none" w:color="auto" w:sz="0"/>
              <w:left w:val="none" w:color="auto" w:sz="0"/>
              <w:bottom w:val="none" w:color="auto" w:sz="0"/>
              <w:right w:val="none" w:color="auto" w:sz="0"/>
            </w:tcBorders>
            <w:tcMar>
              <w:top w:type="dxa" w:w="40"/>
              <w:left w:type="dxa" w:w="0"/>
              <w:bottom w:type="dxa" w:w="40"/>
              <w:right w:type="dxa" w:w="80"/>
            </w:tcMar>
          </w:tcPr>
          <w:p>
            <w:pPr>
              <w:spacing w:after="0" w:before="0"/>
            </w:pPr>
            <w:r>
              <w:rPr>
                <w:rFonts w:ascii="Arial" w:cs="Arial" w:eastAsia="Arial" w:hAnsi="Arial"/>
                <w:b/>
                <w:bCs/>
                <w:i w:val="false"/>
                <w:iCs w:val="false"/>
                <w:color w:val="374151"/>
                <w:sz w:val="22"/>
                <w:szCs w:val="22"/>
              </w:rPr>
              <w:t xml:space="preserve">No. Telp / WhatsApp</w:t>
            </w:r>
          </w:p>
        </w:tc>
        <w:tc>
          <w:tcPr>
            <w:tcW w:type="dxa" w:w="6838"/>
            <w:tcBorders>
              <w:top w:val="none" w:color="auto" w:sz="0"/>
              <w:left w:val="none" w:color="auto" w:sz="0"/>
              <w:bottom w:val="none" w:color="auto" w:sz="0"/>
              <w:right w:val="none" w:color="auto" w:sz="0"/>
            </w:tcBorders>
            <w:tcMar>
              <w:top w:type="dxa" w:w="40"/>
              <w:left w:type="dxa" w:w="0"/>
              <w:bottom w:type="dxa" w:w="40"/>
              <w:right w:type="dxa" w:w="0"/>
            </w:tcMar>
          </w:tcPr>
          <w:p>
            <w:pPr>
              <w:spacing w:after="0" w:before="0"/>
            </w:pPr>
            <w:r>
              <w:rPr>
                <w:rFonts w:ascii="Arial" w:cs="Arial" w:eastAsia="Arial" w:hAnsi="Arial"/>
                <w:b w:val="false"/>
                <w:bCs w:val="false"/>
                <w:i w:val="false"/>
                <w:iCs w:val="false"/>
                <w:color w:val="374151"/>
                <w:sz w:val="22"/>
                <w:szCs w:val="22"/>
              </w:rPr>
              <w:t xml:space="preserve">: ................................................................</w:t>
            </w:r>
          </w:p>
        </w:tc>
      </w:tr>
    </w:tbl>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2 — PAKET &amp; HARGA</w:t>
            </w:r>
          </w:p>
        </w:tc>
      </w:tr>
    </w:tbl>
    <w:p>
      <w:pPr>
        <w:spacing w:after="40" w:before="60"/>
      </w:pPr>
      <w:r>
        <w:t xml:space="preserve"/>
      </w:r>
    </w:p>
    <w:tbl>
      <w:tblPr>
        <w:tblW w:type="dxa" w:w="9638"/>
        <w:tblBorders>
          <w:top w:val="none" w:sz="0"/>
          <w:left w:val="none" w:sz="0"/>
          <w:bottom w:val="none" w:sz="0"/>
          <w:right w:val="none" w:sz="0"/>
          <w:insideH w:val="single" w:color="auto" w:sz="4"/>
          <w:insideV w:val="single" w:color="auto" w:sz="4"/>
        </w:tblBorders>
      </w:tblPr>
      <w:tblGrid>
        <w:gridCol w:w="4400"/>
        <w:gridCol w:w="5238"/>
      </w:tblGrid>
      <w:tr>
        <w:tc>
          <w:tcPr>
            <w:tcW w:type="dxa" w:w="44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Komponen Biaya</w:t>
            </w:r>
          </w:p>
        </w:tc>
        <w:tc>
          <w:tcPr>
            <w:tcW w:type="dxa" w:w="5238"/>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Estimasi Biaya</w:t>
            </w:r>
          </w:p>
        </w:tc>
      </w:tr>
      <w:tr>
        <w:tc>
          <w:tcPr>
            <w:tcW w:type="dxa" w:w="4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Jasa Pembuatan Website PPDB</w:t>
            </w:r>
          </w:p>
        </w:tc>
        <w:tc>
          <w:tcPr>
            <w:tcW w:type="dxa" w:w="52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Rp 5.000.000</w:t>
            </w:r>
          </w:p>
        </w:tc>
      </w:tr>
      <w:tr>
        <w:tc>
          <w:tcPr>
            <w:tcW w:type="dxa" w:w="4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Biaya Pihak Ketiga (Domain .com &amp; Notifikasi Wablas)</w:t>
            </w:r>
          </w:p>
          <w:p>
            <w:pPr>
              <w:spacing w:after="0" w:before="30"/>
              <w:jc w:val="left"/>
            </w:pPr>
            <w:r>
              <w:rPr>
                <w:rFonts w:ascii="Arial" w:cs="Arial" w:eastAsia="Arial" w:hAnsi="Arial"/>
                <w:b w:val="false"/>
                <w:bCs w:val="false"/>
                <w:i w:val="false"/>
                <w:iCs w:val="false"/>
                <w:color w:val="374151"/>
                <w:sz w:val="20"/>
                <w:szCs w:val="20"/>
              </w:rPr>
              <w:t xml:space="preserve"/>
            </w:r>
          </w:p>
        </w:tc>
        <w:tc>
          <w:tcPr>
            <w:tcW w:type="dxa" w:w="52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 Rp 1.100.000 / tahun</w:t>
            </w:r>
          </w:p>
        </w:tc>
      </w:tr>
      <w:tr>
        <w:tc>
          <w:tcPr>
            <w:tcW w:type="dxa" w:w="4362"/>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Biaya Sewa Cloud Hosting &amp; Maintenance Sistem</w:t>
            </w:r>
          </w:p>
        </w:tc>
        <w:tc>
          <w:tcPr>
            <w:tcW w:type="dxa" w:w="52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Rp 1.000.000 / tahun</w:t>
            </w:r>
          </w:p>
        </w:tc>
      </w:tr>
      <w:tr>
        <w:tc>
          <w:tcPr>
            <w:tcW w:type="dxa" w:w="4400"/>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TOTAL INVESTASI TAHUN PERTAMA</w:t>
            </w:r>
          </w:p>
        </w:tc>
        <w:tc>
          <w:tcPr>
            <w:tcW w:type="dxa" w:w="5238"/>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6B5A"/>
                <w:sz w:val="20"/>
                <w:szCs w:val="20"/>
              </w:rPr>
              <w:t xml:space="preserve">Rp 7.100.000</w:t>
            </w:r>
          </w:p>
        </w:tc>
      </w:tr>
    </w:tbl>
    <w:p>
      <w:pPr>
        <w:spacing w:after="40" w:before="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single" w:color="1A6B5A" w:sz="4"/>
              <w:left w:val="single" w:color="1A6B5A" w:sz="12"/>
              <w:bottom w:val="single" w:color="1A6B5A" w:sz="4"/>
              <w:right w:val="none" w:color="auto" w:sz="0"/>
            </w:tcBorders>
            <w:shd w:fill="E8F5F1" w:val="clear"/>
            <w:tcMar>
              <w:top w:type="dxa" w:w="100"/>
              <w:left w:type="dxa" w:w="160"/>
              <w:bottom w:type="dxa" w:w="100"/>
              <w:right w:type="dxa" w:w="120"/>
            </w:tcMar>
          </w:tcPr>
          <w:p>
            <w:pPr>
              <w:spacing w:after="0" w:before="0"/>
            </w:pPr>
            <w:r>
              <w:rPr>
                <w:rFonts w:ascii="Arial" w:cs="Arial" w:eastAsia="Arial" w:hAnsi="Arial"/>
                <w:b/>
                <w:bCs/>
                <w:i w:val="false"/>
                <w:iCs w:val="false"/>
                <w:color w:val="1A6B5A"/>
                <w:sz w:val="20"/>
                <w:szCs w:val="20"/>
              </w:rPr>
              <w:t xml:space="preserve">Catatan: </w:t>
            </w:r>
            <w:r>
              <w:rPr>
                <w:rFonts w:ascii="Arial" w:cs="Arial" w:eastAsia="Arial" w:hAnsi="Arial"/>
                <w:b w:val="false"/>
                <w:bCs w:val="false"/>
                <w:i w:val="false"/>
                <w:iCs w:val="false"/>
                <w:color w:val="374151"/>
                <w:sz w:val="20"/>
                <w:szCs w:val="20"/>
              </w:rPr>
              <w:t xml:space="preserve">Biaya Pihak Ketiga (domain, Wablas) dapat dibayarkan langsung ke penyedia atas nama klien. Biaya Cloud Hosting &amp; Maintenance dibayarkan kepada Pengembang sebagai biaya sewa ruang server dan pemeliharaan rutin. Tidak ada biaya tersembunyi. Mekanisme diatur di Pasal 3.3.</w:t>
            </w:r>
          </w:p>
        </w:tc>
      </w:tr>
    </w:tbl>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3 — RINCIAN BIAYA INFRASTRUKTUR</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3.1  Tabel Komponen Infrastruktur</w:t>
      </w:r>
    </w:p>
    <w:p>
      <w:pPr>
        <w:spacing w:after="20" w:before="40"/>
      </w:pPr>
      <w:r>
        <w:t xml:space="preserve"/>
      </w:r>
    </w:p>
    <w:tbl>
      <w:tblPr>
        <w:tblW w:type="dxa" w:w="9638"/>
        <w:tblBorders>
          <w:top w:val="none" w:sz="0"/>
          <w:left w:val="none" w:sz="0"/>
          <w:bottom w:val="none" w:sz="0"/>
          <w:right w:val="none" w:sz="0"/>
          <w:insideH w:val="single" w:color="auto" w:sz="4"/>
          <w:insideV w:val="single" w:color="auto" w:sz="4"/>
        </w:tblBorders>
      </w:tblPr>
      <w:tblGrid>
        <w:gridCol w:w="400"/>
        <w:gridCol w:w="1500"/>
        <w:gridCol w:w="2500"/>
        <w:gridCol w:w="2500"/>
        <w:gridCol w:w="2738"/>
      </w:tblGrid>
      <w:tr>
        <w:tc>
          <w:tcPr>
            <w:tcW w:type="dxa" w:w="4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No</w:t>
            </w:r>
          </w:p>
        </w:tc>
        <w:tc>
          <w:tcPr>
            <w:tcW w:type="dxa" w:w="15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Komponen</w:t>
            </w:r>
          </w:p>
        </w:tc>
        <w:tc>
          <w:tcPr>
            <w:tcW w:type="dxa" w:w="25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Biaya</w:t>
            </w:r>
          </w:p>
        </w:tc>
        <w:tc>
          <w:tcPr>
            <w:tcW w:type="dxa" w:w="25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Keterangan</w:t>
            </w:r>
          </w:p>
        </w:tc>
        <w:tc>
          <w:tcPr>
            <w:tcW w:type="dxa" w:w="2738"/>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Keterangan</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1</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Cloud Hosting Berkinerja Tinggi (Hetzner Cloud)</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Rp 1.000.000 / tahun</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Dikelola penuh oleh Pengembang. Prosesor dedicated AMD, kebal down saat lonjakan traffic PPDB. Database setiap klien diisolasi 100% dengan Docker.</w:t>
            </w:r>
          </w:p>
        </w:tc>
        <w:tc>
          <w:tcPr>
            <w:tcW w:type="dxa" w:w="27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Perpanjangan wajib melalui Pengembang setiap tahun</w:t>
            </w:r>
          </w:p>
        </w:tc>
      </w:tr>
      <w:tr>
        <w:tc>
          <w:tcPr>
            <w:tcW w:type="dxa" w:w="4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2</w:t>
            </w:r>
          </w:p>
        </w:tc>
        <w:tc>
          <w:tcPr>
            <w:tcW w:type="dxa" w:w="1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Domain (.com)</w:t>
            </w:r>
          </w:p>
          <w:p>
            <w:pPr>
              <w:spacing w:after="0" w:before="30"/>
              <w:jc w:val="left"/>
            </w:pPr>
            <w:r>
              <w:rPr>
                <w:rFonts w:ascii="Arial" w:cs="Arial" w:eastAsia="Arial" w:hAnsi="Arial"/>
                <w:b w:val="false"/>
                <w:bCs w:val="false"/>
                <w:i w:val="false"/>
                <w:iCs w:val="false"/>
                <w:color w:val="374151"/>
                <w:sz w:val="20"/>
                <w:szCs w:val="20"/>
              </w:rPr>
              <w:t xml:space="preserve">Hostinger</w:t>
            </w:r>
          </w:p>
        </w:tc>
        <w:tc>
          <w:tcPr>
            <w:tcW w:type="dxa" w:w="2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1 tahun: Rp 170.066</w:t>
            </w:r>
          </w:p>
          <w:p>
            <w:pPr>
              <w:spacing w:after="0" w:before="30"/>
              <w:jc w:val="left"/>
            </w:pPr>
            <w:r>
              <w:rPr>
                <w:rFonts w:ascii="Arial" w:cs="Arial" w:eastAsia="Arial" w:hAnsi="Arial"/>
                <w:b w:val="false"/>
                <w:bCs w:val="false"/>
                <w:i w:val="false"/>
                <w:iCs w:val="false"/>
                <w:color w:val="374151"/>
                <w:sz w:val="20"/>
                <w:szCs w:val="20"/>
              </w:rPr>
              <w:t xml:space="preserve">2 tahun: Rp 384.532</w:t>
            </w:r>
          </w:p>
          <w:p>
            <w:pPr>
              <w:spacing w:after="0" w:before="30"/>
              <w:jc w:val="left"/>
            </w:pPr>
            <w:r>
              <w:rPr>
                <w:rFonts w:ascii="Arial" w:cs="Arial" w:eastAsia="Arial" w:hAnsi="Arial"/>
                <w:b w:val="false"/>
                <w:bCs w:val="false"/>
                <w:i w:val="false"/>
                <w:iCs w:val="false"/>
                <w:color w:val="374151"/>
                <w:sz w:val="20"/>
                <w:szCs w:val="20"/>
              </w:rPr>
              <w:t xml:space="preserve">3 tahun: Rp 484.668</w:t>
            </w:r>
          </w:p>
        </w:tc>
        <w:tc>
          <w:tcPr>
            <w:tcW w:type="dxa" w:w="2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6B7280"/>
                <w:sz w:val="20"/>
                <w:szCs w:val="20"/>
              </w:rPr>
              <w:t xml:space="preserve">Perpanjangan langsung ke penyedia domain atas nama klien</w:t>
            </w:r>
          </w:p>
        </w:tc>
        <w:tc>
          <w:tcPr>
            <w:tcW w:type="dxa" w:w="27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Pilih 2–3 tahun untuk efisiensi biaya</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3</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Wablas WhatsApp</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Rp 912.000 / tahun</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6B7280"/>
                <w:sz w:val="20"/>
                <w:szCs w:val="20"/>
              </w:rPr>
              <w:t xml:space="preserve">Perpanjangan langsung ke Wablas atas nama klien</w:t>
            </w:r>
          </w:p>
        </w:tc>
        <w:tc>
          <w:tcPr>
            <w:tcW w:type="dxa" w:w="27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Notifikasi otomatis ke pendaftar &amp; panitia</w:t>
            </w:r>
          </w:p>
        </w:tc>
      </w:tr>
      <w:tr>
        <w:tc>
          <w:tcPr>
            <w:tcW w:type="dxa" w:w="4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4</w:t>
            </w:r>
          </w:p>
        </w:tc>
        <w:tc>
          <w:tcPr>
            <w:tcW w:type="dxa" w:w="1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SSL / HTTPS</w:t>
            </w:r>
          </w:p>
        </w:tc>
        <w:tc>
          <w:tcPr>
            <w:tcW w:type="dxa" w:w="2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GRATIS</w:t>
            </w:r>
          </w:p>
        </w:tc>
        <w:tc>
          <w:tcPr>
            <w:tcW w:type="dxa" w:w="25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GRATIS</w:t>
            </w:r>
          </w:p>
        </w:tc>
        <w:tc>
          <w:tcPr>
            <w:tcW w:type="dxa" w:w="27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Sudah termasuk dalam paket VPS</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5</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Email Custom Domain</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GRATIS</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GRATIS</w:t>
            </w:r>
          </w:p>
        </w:tc>
        <w:tc>
          <w:tcPr>
            <w:tcW w:type="dxa" w:w="27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Dikonfigurasi oleh pengembang</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3.2  Spesifikasi &amp; Keamanan Server</w:t>
      </w:r>
    </w:p>
    <w:p>
      <w:pPr>
        <w:spacing w:after="60" w:before="0"/>
      </w:pPr>
      <w:r>
        <w:rPr>
          <w:rFonts w:ascii="Arial" w:cs="Arial" w:eastAsia="Arial" w:hAnsi="Arial"/>
          <w:b w:val="false"/>
          <w:bCs w:val="false"/>
          <w:i w:val="false"/>
          <w:iCs w:val="false"/>
          <w:color w:val="374151"/>
          <w:sz w:val="22"/>
          <w:szCs w:val="22"/>
        </w:rPr>
        <w:t xml:space="preserve">Setiap klien mendapatkan </w:t>
      </w:r>
      <w:r>
        <w:rPr>
          <w:rFonts w:ascii="Arial" w:cs="Arial" w:eastAsia="Arial" w:hAnsi="Arial"/>
          <w:b/>
          <w:bCs/>
          <w:i w:val="false"/>
          <w:iCs w:val="false"/>
          <w:color w:val="1A6B5A"/>
          <w:sz w:val="22"/>
          <w:szCs w:val="22"/>
        </w:rPr>
        <w:t xml:space="preserve">VPS pribadi</w:t>
      </w:r>
      <w:r>
        <w:rPr>
          <w:rFonts w:ascii="Arial" w:cs="Arial" w:eastAsia="Arial" w:hAnsi="Arial"/>
          <w:b w:val="false"/>
          <w:bCs w:val="false"/>
          <w:i w:val="false"/>
          <w:iCs w:val="false"/>
          <w:color w:val="374151"/>
          <w:sz w:val="22"/>
          <w:szCs w:val="22"/>
        </w:rPr>
        <w:t xml:space="preserve"> (tidak sharing server) untuk menjamin keamanan data dan privasi penuh.</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Server Hetzner Cloud dikelola terpusat oleh Pengembang menggunakan prosesor dedicated AMD berkinerja tinggi, kebal down saat lonjakan traffic PPDB.</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Teknologi containerization (Docker) menjamin database dan file setiap pesantren diisolasi 100% — tidak akan bocor atau tercampur dengan data klien lain meskipun berbagi server fisik yang sama.</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3.3  Mekanisme Pembayaran Infrastruktur</w:t>
      </w:r>
    </w:p>
    <w:p>
      <w:pPr>
        <w:spacing w:after="60" w:before="0"/>
      </w:pPr>
      <w:r>
        <w:rPr>
          <w:rFonts w:ascii="Arial" w:cs="Arial" w:eastAsia="Arial" w:hAnsi="Arial"/>
          <w:b w:val="false"/>
          <w:bCs w:val="false"/>
          <w:i w:val="false"/>
          <w:iCs w:val="false"/>
          <w:color w:val="374151"/>
          <w:sz w:val="22"/>
          <w:szCs w:val="22"/>
        </w:rPr>
        <w:t xml:space="preserve">Pembayaran biaya infrastruktur dapat dilakukan melalui salah satu dari dua mekanisme berikut, sesuai kesepakatan bersama:</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Domain &amp; Wablas — Klien dapat membayar langsung ke penyedia layanan (Niagahoster/Wablas), atau menitipkan dana kepada Pengembang untuk diproses. Bukti pembayaran dikirimkan kepada klien sebagai dokumentasi.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Cloud Hosting &amp; Maintenance — Pembayaran WAJIB dilakukan melalui Pengembang setiap tahun sebagai biaya perpanjangan ruang server dan pemeliharaan rutin sistem. Pengembang akan mengirimkan tagihan sebelum jatuh tempo perpanjangan.</w:t>
      </w:r>
    </w:p>
    <w:p>
      <w:pPr>
        <w:spacing w:after="0" w:before="60"/>
      </w:pPr>
      <w:r>
        <w:rPr>
          <w:rFonts w:ascii="Arial" w:cs="Arial" w:eastAsia="Arial" w:hAnsi="Arial"/>
          <w:b w:val="false"/>
          <w:bCs w:val="false"/>
          <w:i/>
          <w:iCs/>
          <w:color w:val="6B7280"/>
          <w:sz w:val="22"/>
          <w:szCs w:val="22"/>
        </w:rPr>
        <w:t xml:space="preserve">Domain dan Wablas sepenuhnya atas nama klien. Cloud Hosting dikelola Pengembang demi menjaga performa dan keamanan seluruh klien secara terpadu.</w:t>
      </w:r>
    </w:p>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4 — FITUR EKSKLUSIF YANG TERMASUK DALAM PAKET</w:t>
            </w:r>
          </w:p>
        </w:tc>
      </w:tr>
    </w:tbl>
    <w:p>
      <w:pPr>
        <w:spacing w:after="40" w:before="60"/>
      </w:pPr>
      <w:r>
        <w:t xml:space="preserve"/>
      </w:r>
    </w:p>
    <w:p>
      <w:pPr>
        <w:spacing w:after="80" w:before="0"/>
      </w:pPr>
      <w:r>
        <w:rPr>
          <w:rFonts w:ascii="Arial" w:cs="Arial" w:eastAsia="Arial" w:hAnsi="Arial"/>
          <w:b w:val="false"/>
          <w:bCs w:val="false"/>
          <w:i w:val="false"/>
          <w:iCs w:val="false"/>
          <w:color w:val="374151"/>
          <w:sz w:val="22"/>
          <w:szCs w:val="22"/>
        </w:rPr>
        <w:t xml:space="preserve">Seluruh fitur canggih berikut sudah termasuk dalam biaya jasa pembuatan:</w:t>
      </w:r>
    </w:p>
    <w:p>
      <w:pPr>
        <w:spacing w:after="60" w:before="160"/>
      </w:pPr>
      <w:r>
        <w:rPr>
          <w:rFonts w:ascii="Arial" w:cs="Arial" w:eastAsia="Arial" w:hAnsi="Arial"/>
          <w:b/>
          <w:bCs/>
          <w:i w:val="false"/>
          <w:iCs w:val="false"/>
          <w:color w:val="1A6B5A"/>
          <w:sz w:val="22"/>
          <w:szCs w:val="22"/>
        </w:rPr>
        <w:t xml:space="preserve">4.1  Fitur Pendaftaran &amp; Manajemen Pendaftar</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Halaman pendaftaran online (formulir berjenjang, lengkap, dan responsif)</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Sistem login dashboard mandiri untuk calon santri/wali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Upload dokumen persyaratan (Foto, KK, Akta, Ijazah, dll.)</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Cetak Bukti Pendaftaran otomatis (PDF)</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Status tracking pendaftaran secara real-time</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Manajemen gelombang / periode kuota pendaftaran</w:t>
      </w:r>
    </w:p>
    <w:p>
      <w:pPr>
        <w:spacing w:after="60" w:before="160"/>
      </w:pPr>
      <w:r>
        <w:rPr>
          <w:rFonts w:ascii="Arial" w:cs="Arial" w:eastAsia="Arial" w:hAnsi="Arial"/>
          <w:b/>
          <w:bCs/>
          <w:i w:val="false"/>
          <w:iCs w:val="false"/>
          <w:color w:val="1A6B5A"/>
          <w:sz w:val="22"/>
          <w:szCs w:val="22"/>
        </w:rPr>
        <w:t xml:space="preserve">4.2  Sistem Seleksi &amp; Ujian (CBT Terintegrasi)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Sistem Ujian CBT (Computer Based Test) Terintegrasi langsung di website (Soal Pilihan Ganda &amp; Likert)</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Cetak Kartu Peserta Ujian / ID Card Seleksi (PDF)</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khusus Penguji (Input nilai ujian offline: Al-Qur’an, Wawancara Santri, Wawancara Ortu)</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Sistem Matriks Kelulusan Otomatis (otomatis merekomendasikan DITERIMA/CADANGAN/DITOLAK berdasarkan pembobotan nilai)</w:t>
      </w:r>
    </w:p>
    <w:p>
      <w:pPr>
        <w:spacing w:after="60" w:before="160"/>
      </w:pPr>
      <w:r>
        <w:rPr>
          <w:rFonts w:ascii="Arial" w:cs="Arial" w:eastAsia="Arial" w:hAnsi="Arial"/>
          <w:b/>
          <w:bCs/>
          <w:i w:val="false"/>
          <w:iCs w:val="false"/>
          <w:color w:val="1A6B5A"/>
          <w:sz w:val="22"/>
          <w:szCs w:val="22"/>
        </w:rPr>
        <w:t xml:space="preserve">4.3  Sistem Manajemen Multi-Peran (Hak Akses Spesifik)</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Admin Super (Akses ke seluruh pengaturan dan statistik)</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Admin Keuangan (Khusus validasi bukti pembayaran)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Admin Berkas (Khusus verifikasi kelengkapan dokumen)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Penguji / Pewawancara (Akses dibatasi hanya untuk input nilai ujian)</w:t>
      </w:r>
    </w:p>
    <w:p>
      <w:pPr>
        <w:spacing w:after="60" w:before="160"/>
      </w:pPr>
      <w:r>
        <w:rPr>
          <w:rFonts w:ascii="Arial" w:cs="Arial" w:eastAsia="Arial" w:hAnsi="Arial"/>
          <w:b/>
          <w:bCs/>
          <w:i w:val="false"/>
          <w:iCs w:val="false"/>
          <w:color w:val="1A6B5A"/>
          <w:sz w:val="22"/>
          <w:szCs w:val="22"/>
        </w:rPr>
        <w:t xml:space="preserve">4.4  Fitur Notifikasi &amp; Komunikasi Cerdas</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Notifikasi WhatsApp otomatis ke pendaftar (Tagihan, Jadwal Ujian, Pengumuman Kelulusan)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Notifikasi WhatsApp ke panitia saat ada pendaftaran/pembayaran baru</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Fitur Broadcast WhatsApp Masal dari Dashboard Admin ke seluruh pendaftar</w:t>
      </w:r>
    </w:p>
    <w:p>
      <w:pPr>
        <w:spacing w:after="60" w:before="160"/>
      </w:pPr>
      <w:r>
        <w:rPr>
          <w:rFonts w:ascii="Arial" w:cs="Arial" w:eastAsia="Arial" w:hAnsi="Arial"/>
          <w:b/>
          <w:bCs/>
          <w:i w:val="false"/>
          <w:iCs w:val="false"/>
          <w:color w:val="1A6B5A"/>
          <w:sz w:val="22"/>
          <w:szCs w:val="22"/>
        </w:rPr>
        <w:t xml:space="preserve">4.5  Fitur Laporan, Analitik &amp; Keuangan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Dashboard rekapitulasi data pendaftar &amp; laporan keuangan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Audit Hasil Seleksi &amp; Ujian secara transparan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Ekspor Laporan Data lengkap ke format Excel (XLSX) / CSV Profesional</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Statistik visual grafik pendaftar berdasarkan asal daerah, jenjang, dll.</w:t>
      </w:r>
    </w:p>
    <w:p>
      <w:pPr>
        <w:spacing w:after="60" w:before="160"/>
      </w:pPr>
      <w:r>
        <w:rPr>
          <w:rFonts w:ascii="Arial" w:cs="Arial" w:eastAsia="Arial" w:hAnsi="Arial"/>
          <w:b/>
          <w:bCs/>
          <w:i w:val="false"/>
          <w:iCs w:val="false"/>
          <w:color w:val="1A6B5A"/>
          <w:sz w:val="22"/>
          <w:szCs w:val="22"/>
        </w:rPr>
        <w:t xml:space="preserve">4.6  Fitur Teknis, Keamanan &amp; Layanan Pendampingan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Hosting di Cloud Server Hetzner berkinerja tinggi — database diisolasi per-pesantren dengan teknologi Docker/Containerization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SSL/HTTPS aktif (koneksi aman terenkripsi) &amp; Domain custom (.com)</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Auto-Backup database berkala</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Tampilan elegan dan responsif (Mobile, Tablet, Desktop)</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Instalasi, konfigurasi server, &amp; pelatihan sistem kepada panitia PPDB</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Pelatihan sistem untuk admin/panitia (via video call)</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Dokumentasi panduan penggunaan (modul tertulis)</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Pendampingan teknis gratis selama masa garansi</w:t>
      </w:r>
    </w:p>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5 — ESTIMASI WAKTU &amp; TERMIN PEMBAYARAN</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5.1  Estimasi Waktu Pengerjaan</w:t>
      </w:r>
    </w:p>
    <w:p>
      <w:pPr>
        <w:spacing w:after="20" w:before="40"/>
      </w:pPr>
      <w:r>
        <w:t xml:space="preserve"/>
      </w:r>
    </w:p>
    <w:tbl>
      <w:tblPr>
        <w:tblW w:type="dxa" w:w="9638"/>
        <w:tblBorders>
          <w:top w:val="none" w:sz="0"/>
          <w:left w:val="none" w:sz="0"/>
          <w:bottom w:val="none" w:sz="0"/>
          <w:right w:val="none" w:sz="0"/>
          <w:insideH w:val="single" w:color="auto" w:sz="4"/>
          <w:insideV w:val="single" w:color="auto" w:sz="4"/>
        </w:tblBorders>
      </w:tblPr>
      <w:tblGrid>
        <w:gridCol w:w="400"/>
        <w:gridCol w:w="1300"/>
        <w:gridCol w:w="3300"/>
        <w:gridCol w:w="4638"/>
      </w:tblGrid>
      <w:tr>
        <w:tc>
          <w:tcPr>
            <w:tcW w:type="dxa" w:w="4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13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Hari</w:t>
            </w:r>
          </w:p>
        </w:tc>
        <w:tc>
          <w:tcPr>
            <w:tcW w:type="dxa" w:w="33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Kegiatan</w:t>
            </w:r>
          </w:p>
        </w:tc>
        <w:tc>
          <w:tcPr>
            <w:tcW w:type="dxa" w:w="4638"/>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Keterangan</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1</w:t>
            </w:r>
          </w:p>
        </w:tc>
        <w:tc>
          <w:tcPr>
            <w:tcW w:type="dxa" w:w="1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Hari 1</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Penandatanganan &amp; Pembayaran DP</w:t>
            </w:r>
          </w:p>
        </w:tc>
        <w:tc>
          <w:tcPr>
            <w:tcW w:type="dxa" w:w="46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Pengerjaan dimulai setelah DP diterima</w:t>
            </w:r>
          </w:p>
        </w:tc>
      </w:tr>
      <w:tr>
        <w:tc>
          <w:tcPr>
            <w:tcW w:type="dxa" w:w="4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2</w:t>
            </w:r>
          </w:p>
        </w:tc>
        <w:tc>
          <w:tcPr>
            <w:tcW w:type="dxa" w:w="13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Hari 1-2</w:t>
            </w:r>
          </w:p>
        </w:tc>
        <w:tc>
          <w:tcPr>
            <w:tcW w:type="dxa" w:w="33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Requirement gathering</w:t>
            </w:r>
          </w:p>
        </w:tc>
        <w:tc>
          <w:tcPr>
            <w:tcW w:type="dxa" w:w="46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Klien mengisi brief &amp; menyiapkan aset</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3</w:t>
            </w:r>
          </w:p>
        </w:tc>
        <w:tc>
          <w:tcPr>
            <w:tcW w:type="dxa" w:w="1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Hari 3-13</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Pengembangan Sistem &amp; Penyesuaian Tema</w:t>
            </w:r>
          </w:p>
        </w:tc>
        <w:tc>
          <w:tcPr>
            <w:tcW w:type="dxa" w:w="46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Tahap coding, integrasi fitur, dan pemasangan identitas pesantren</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4</w:t>
            </w:r>
          </w:p>
        </w:tc>
        <w:tc>
          <w:tcPr>
            <w:tcW w:type="dxa" w:w="1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Hari 14-15</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Testing &amp; Quality Check</w:t>
            </w:r>
          </w:p>
        </w:tc>
        <w:tc>
          <w:tcPr>
            <w:tcW w:type="dxa" w:w="46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Semua fitur dipastikan berjalan dengan baik</w:t>
            </w:r>
          </w:p>
        </w:tc>
      </w:tr>
      <w:tr>
        <w:tc>
          <w:tcPr>
            <w:tcW w:type="dxa" w:w="4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5</w:t>
            </w:r>
          </w:p>
        </w:tc>
        <w:tc>
          <w:tcPr>
            <w:tcW w:type="dxa" w:w="13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Hari 16-17</w:t>
            </w:r>
          </w:p>
        </w:tc>
        <w:tc>
          <w:tcPr>
            <w:tcW w:type="dxa" w:w="33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Demo kepada Klien &amp; Revisi</w:t>
            </w:r>
          </w:p>
        </w:tc>
        <w:tc>
          <w:tcPr>
            <w:tcW w:type="dxa" w:w="46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Maksimal 3 kali revisi gratis</w:t>
            </w:r>
          </w:p>
        </w:tc>
      </w:tr>
      <w:tr>
        <w:tc>
          <w:tcPr>
            <w:tcW w:type="dxa" w:w="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6B7280"/>
                <w:sz w:val="20"/>
                <w:szCs w:val="20"/>
              </w:rPr>
              <w:t xml:space="preserve">6</w:t>
            </w:r>
          </w:p>
        </w:tc>
        <w:tc>
          <w:tcPr>
            <w:tcW w:type="dxa" w:w="1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Hari 18</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Go-Live &amp; Serah Terima</w:t>
            </w:r>
          </w:p>
        </w:tc>
        <w:tc>
          <w:tcPr>
            <w:tcW w:type="dxa" w:w="46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Website aktif dan dikelola klien</w:t>
            </w:r>
          </w:p>
        </w:tc>
      </w:tr>
    </w:tbl>
    <w:p>
      <w:pPr>
        <w:spacing w:after="40" w:before="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single" w:color="1A6B5A" w:sz="4"/>
              <w:left w:val="single" w:color="1A6B5A" w:sz="12"/>
              <w:bottom w:val="single" w:color="1A6B5A" w:sz="4"/>
              <w:right w:val="none" w:color="auto" w:sz="0"/>
            </w:tcBorders>
            <w:shd w:fill="E8F5F1" w:val="clear"/>
            <w:tcMar>
              <w:top w:type="dxa" w:w="100"/>
              <w:left w:type="dxa" w:w="160"/>
              <w:bottom w:type="dxa" w:w="100"/>
              <w:right w:type="dxa" w:w="120"/>
            </w:tcMar>
          </w:tcPr>
          <w:p>
            <w:pPr>
              <w:spacing w:after="0" w:before="0"/>
            </w:pPr>
            <w:r>
              <w:rPr>
                <w:rFonts w:ascii="Arial" w:cs="Arial" w:eastAsia="Arial" w:hAnsi="Arial"/>
                <w:b/>
                <w:bCs/>
                <w:i w:val="false"/>
                <w:iCs w:val="false"/>
                <w:color w:val="1A6B5A"/>
                <w:sz w:val="20"/>
                <w:szCs w:val="20"/>
              </w:rPr>
              <w:t xml:space="preserve">Catatan: </w:t>
            </w:r>
            <w:r>
              <w:rPr>
                <w:rFonts w:ascii="Arial" w:cs="Arial" w:eastAsia="Arial" w:hAnsi="Arial"/>
                <w:b w:val="false"/>
                <w:bCs w:val="false"/>
                <w:i w:val="false"/>
                <w:iCs w:val="false"/>
                <w:color w:val="374151"/>
                <w:sz w:val="20"/>
                <w:szCs w:val="20"/>
              </w:rPr>
              <w:t xml:space="preserve">Total estimasi 12–18 hari kerja sejak DP diterima. Durasi dapat menyesuaikan apabila ada keterlambatan penyampaian aset dari klien.</w:t>
            </w:r>
          </w:p>
        </w:tc>
      </w:tr>
    </w:tbl>
    <w:p>
      <w:pPr>
        <w:spacing w:after="40" w:before="80"/>
      </w:pPr>
      <w:r>
        <w:t xml:space="preserve"/>
      </w:r>
    </w:p>
    <w:p>
      <w:pPr>
        <w:spacing w:after="60" w:before="160"/>
      </w:pPr>
      <w:r>
        <w:rPr>
          <w:rFonts w:ascii="Arial" w:cs="Arial" w:eastAsia="Arial" w:hAnsi="Arial"/>
          <w:b/>
          <w:bCs/>
          <w:i w:val="false"/>
          <w:iCs w:val="false"/>
          <w:color w:val="1A6B5A"/>
          <w:sz w:val="22"/>
          <w:szCs w:val="22"/>
        </w:rPr>
        <w:t xml:space="preserve">5.2  Termin Pembayaran</w:t>
      </w:r>
    </w:p>
    <w:p>
      <w:pPr>
        <w:spacing w:after="20" w:before="40"/>
      </w:pPr>
      <w:r>
        <w:t xml:space="preserve"/>
      </w:r>
    </w:p>
    <w:tbl>
      <w:tblPr>
        <w:tblW w:type="dxa" w:w="9638"/>
        <w:tblBorders>
          <w:top w:val="none" w:sz="0"/>
          <w:left w:val="none" w:sz="0"/>
          <w:bottom w:val="none" w:sz="0"/>
          <w:right w:val="none" w:sz="0"/>
          <w:insideH w:val="single" w:color="auto" w:sz="4"/>
          <w:insideV w:val="single" w:color="auto" w:sz="4"/>
        </w:tblBorders>
      </w:tblPr>
      <w:tblGrid>
        <w:gridCol w:w="1800"/>
        <w:gridCol w:w="1300"/>
        <w:gridCol w:w="2200"/>
        <w:gridCol w:w="4338"/>
      </w:tblGrid>
      <w:tr>
        <w:tc>
          <w:tcPr>
            <w:tcW w:type="dxa" w:w="18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Termin</w:t>
            </w:r>
          </w:p>
        </w:tc>
        <w:tc>
          <w:tcPr>
            <w:tcW w:type="dxa" w:w="13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20"/>
                <w:szCs w:val="20"/>
              </w:rPr>
              <w:t xml:space="preserve">%</w:t>
            </w:r>
          </w:p>
        </w:tc>
        <w:tc>
          <w:tcPr>
            <w:tcW w:type="dxa" w:w="22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Nominal</w:t>
            </w:r>
          </w:p>
        </w:tc>
        <w:tc>
          <w:tcPr>
            <w:tcW w:type="dxa" w:w="4338"/>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Waktu Pembayaran</w:t>
            </w:r>
          </w:p>
        </w:tc>
      </w:tr>
      <w:tr>
        <w:tc>
          <w:tcPr>
            <w:tcW w:type="dxa" w:w="1800"/>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DP (Uang Muka)</w:t>
            </w:r>
          </w:p>
        </w:tc>
        <w:tc>
          <w:tcPr>
            <w:tcW w:type="dxa" w:w="1300"/>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1A6B5A"/>
                <w:sz w:val="20"/>
                <w:szCs w:val="20"/>
              </w:rPr>
              <w:t xml:space="preserve">50%</w:t>
            </w:r>
          </w:p>
        </w:tc>
        <w:tc>
          <w:tcPr>
            <w:tcW w:type="dxa" w:w="2200"/>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Rp 2.500.000</w:t>
            </w:r>
          </w:p>
        </w:tc>
        <w:tc>
          <w:tcPr>
            <w:tcW w:type="dxa" w:w="4338"/>
            <w:tcBorders>
              <w:top w:val="single" w:color="D1D5DB" w:sz="4"/>
              <w:left w:val="single" w:color="D1D5DB" w:sz="4"/>
              <w:bottom w:val="single" w:color="D1D5DB" w:sz="4"/>
              <w:right w:val="single" w:color="D1D5DB" w:sz="4"/>
            </w:tcBorders>
            <w:shd w:fill="F0FDF4"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Sebelum pengerjaan dimulai</w:t>
            </w:r>
          </w:p>
        </w:tc>
      </w:tr>
      <w:tr>
        <w:tc>
          <w:tcPr>
            <w:tcW w:type="dxa" w:w="1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Pembayaran Kedua</w:t>
            </w:r>
          </w:p>
        </w:tc>
        <w:tc>
          <w:tcPr>
            <w:tcW w:type="dxa" w:w="1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30%</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Rp 1.500.000</w:t>
            </w:r>
          </w:p>
        </w:tc>
        <w:tc>
          <w:tcPr>
            <w:tcW w:type="dxa" w:w="43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Setelah demo sistem disetujui klien</w:t>
            </w:r>
          </w:p>
        </w:tc>
      </w:tr>
      <w:tr>
        <w:tc>
          <w:tcPr>
            <w:tcW w:type="dxa" w:w="18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Pelunasan</w:t>
            </w:r>
          </w:p>
        </w:tc>
        <w:tc>
          <w:tcPr>
            <w:tcW w:type="dxa" w:w="13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74151"/>
                <w:sz w:val="20"/>
                <w:szCs w:val="20"/>
              </w:rPr>
              <w:t xml:space="preserve">20%</w:t>
            </w:r>
          </w:p>
        </w:tc>
        <w:tc>
          <w:tcPr>
            <w:tcW w:type="dxa" w:w="22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Rp 1.000.000</w:t>
            </w:r>
          </w:p>
        </w:tc>
        <w:tc>
          <w:tcPr>
            <w:tcW w:type="dxa" w:w="43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Sebelum website Go-Live</w:t>
            </w:r>
          </w:p>
        </w:tc>
      </w:tr>
    </w:tbl>
    <w:p>
      <w:pPr>
        <w:spacing w:after="40" w:before="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single" w:color="1A6B5A" w:sz="4"/>
              <w:left w:val="single" w:color="1A6B5A" w:sz="12"/>
              <w:bottom w:val="single" w:color="1A6B5A" w:sz="4"/>
              <w:right w:val="none" w:color="auto" w:sz="0"/>
            </w:tcBorders>
            <w:shd w:fill="E8F5F1" w:val="clear"/>
            <w:tcMar>
              <w:top w:type="dxa" w:w="100"/>
              <w:left w:type="dxa" w:w="160"/>
              <w:bottom w:type="dxa" w:w="100"/>
              <w:right w:type="dxa" w:w="120"/>
            </w:tcMar>
          </w:tcPr>
          <w:p>
            <w:pPr>
              <w:spacing w:after="0" w:before="0"/>
            </w:pPr>
            <w:r>
              <w:rPr>
                <w:rFonts w:ascii="Arial" w:cs="Arial" w:eastAsia="Arial" w:hAnsi="Arial"/>
                <w:b/>
                <w:bCs/>
                <w:i w:val="false"/>
                <w:iCs w:val="false"/>
                <w:color w:val="1A6B5A"/>
                <w:sz w:val="20"/>
                <w:szCs w:val="20"/>
              </w:rPr>
              <w:t xml:space="preserve">Catatan: </w:t>
            </w:r>
            <w:r>
              <w:rPr>
                <w:rFonts w:ascii="Arial" w:cs="Arial" w:eastAsia="Arial" w:hAnsi="Arial"/>
                <w:b w:val="false"/>
                <w:bCs w:val="false"/>
                <w:i w:val="false"/>
                <w:iCs w:val="false"/>
                <w:color w:val="374151"/>
                <w:sz w:val="20"/>
                <w:szCs w:val="20"/>
              </w:rPr>
              <w:t xml:space="preserve">Biaya infrastruktur (Cloud Hosting, domain, Wablas) dibayarkan terpisah dari biaya jasa, sesuai mekanisme yang disepakati di Pasal 3.3.</w:t>
            </w:r>
          </w:p>
        </w:tc>
      </w:tr>
    </w:tbl>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6 — REVISI &amp; GARANSI</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6.1  Revisi Selama Pengerjaan</w:t>
      </w:r>
    </w:p>
    <w:p>
      <w:pPr>
        <w:spacing w:after="40" w:before="0"/>
      </w:pPr>
      <w:r>
        <w:rPr>
          <w:rFonts w:ascii="Arial" w:cs="Arial" w:eastAsia="Arial" w:hAnsi="Arial"/>
          <w:b w:val="false"/>
          <w:bCs w:val="false"/>
          <w:i w:val="false"/>
          <w:iCs w:val="false"/>
          <w:color w:val="374151"/>
          <w:sz w:val="22"/>
          <w:szCs w:val="22"/>
        </w:rPr>
        <w:t xml:space="preserve">Klien berhak atas </w:t>
      </w:r>
      <w:r>
        <w:rPr>
          <w:rFonts w:ascii="Arial" w:cs="Arial" w:eastAsia="Arial" w:hAnsi="Arial"/>
          <w:b/>
          <w:bCs/>
          <w:i w:val="false"/>
          <w:iCs w:val="false"/>
          <w:color w:val="1A6B5A"/>
          <w:sz w:val="22"/>
          <w:szCs w:val="22"/>
        </w:rPr>
        <w:t xml:space="preserve">3 (tiga) kali revisi gratis</w:t>
      </w:r>
      <w:r>
        <w:rPr>
          <w:rFonts w:ascii="Arial" w:cs="Arial" w:eastAsia="Arial" w:hAnsi="Arial"/>
          <w:b w:val="false"/>
          <w:bCs w:val="false"/>
          <w:i w:val="false"/>
          <w:iCs w:val="false"/>
          <w:color w:val="374151"/>
          <w:sz w:val="22"/>
          <w:szCs w:val="22"/>
        </w:rPr>
        <w:t xml:space="preserve"> selama masa pengerjaan.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Revisi gratis mencakup penyesuaian tampilan, teks, warna, dan fitur minor sesuai brief awal.</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Permintaan fitur baru atau perubahan di luar brief awal dikenakan biaya tambahan.</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6.2  Garansi Pascapeluncuran (30 Hari)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Garansi teknis diberikan selama 30 (tiga puluh) hari sejak tanggal peluncuran resmi.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Bug atau error akibat kesalahan pengembang diperbaiki tanpa biaya tambahan.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Garansi tidak berlaku untuk kerusakan akibat kesalahan pengguna, perubahan konfigurasi oleh klien, atau serangan siber.</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6.3  Layanan di Luar Masa Garansi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Biaya revisi atau perbaikan besar ditetapkan Rp 400.000 per sesi.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Revisi kecil (teks, gambar, konten) dapat didiskusikan secara kekeluargaan.</w:t>
      </w:r>
    </w:p>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7 — HAK KEKAYAAN INTELEKTUAL (HKI)</w:t>
            </w:r>
          </w:p>
        </w:tc>
      </w:tr>
    </w:tbl>
    <w:p>
      <w:pPr>
        <w:spacing w:after="40" w:before="60"/>
      </w:pPr>
      <w:r>
        <w:t xml:space="preserve"/>
      </w:r>
    </w:p>
    <w:p>
      <w:pPr>
        <w:spacing w:after="60" w:before="0"/>
      </w:pPr>
      <w:r>
        <w:rPr>
          <w:rFonts w:ascii="Arial" w:cs="Arial" w:eastAsia="Arial" w:hAnsi="Arial"/>
          <w:b w:val="false"/>
          <w:bCs w:val="false"/>
          <w:i w:val="false"/>
          <w:iCs w:val="false"/>
          <w:color w:val="374151"/>
          <w:sz w:val="22"/>
          <w:szCs w:val="22"/>
        </w:rPr>
        <w:t xml:space="preserve">Seluruh kode program (source code), desain, dan sistem yang dikembangkan oleh pengembang </w:t>
      </w:r>
      <w:r>
        <w:rPr>
          <w:rFonts w:ascii="Arial" w:cs="Arial" w:eastAsia="Arial" w:hAnsi="Arial"/>
          <w:b/>
          <w:bCs/>
          <w:i w:val="false"/>
          <w:iCs w:val="false"/>
          <w:color w:val="374151"/>
          <w:sz w:val="22"/>
          <w:szCs w:val="22"/>
        </w:rPr>
        <w:t xml:space="preserve">tetap menjadi hak milik penuh pengembang</w:t>
      </w:r>
      <w:r>
        <w:rPr>
          <w:rFonts w:ascii="Arial" w:cs="Arial" w:eastAsia="Arial" w:hAnsi="Arial"/>
          <w:b w:val="false"/>
          <w:bCs w:val="false"/>
          <w:i w:val="false"/>
          <w:iCs w:val="false"/>
          <w:color w:val="374151"/>
          <w:sz w:val="22"/>
          <w:szCs w:val="22"/>
        </w:rPr>
        <w:t xml:space="preserve">. Pesantren diberikan </w:t>
      </w:r>
      <w:r>
        <w:rPr>
          <w:rFonts w:ascii="Arial" w:cs="Arial" w:eastAsia="Arial" w:hAnsi="Arial"/>
          <w:b/>
          <w:bCs/>
          <w:i w:val="false"/>
          <w:iCs w:val="false"/>
          <w:color w:val="1A6B5A"/>
          <w:sz w:val="22"/>
          <w:szCs w:val="22"/>
        </w:rPr>
        <w:t xml:space="preserve">hak pakai (lisensi) seumur hidup</w:t>
      </w:r>
      <w:r>
        <w:rPr>
          <w:rFonts w:ascii="Arial" w:cs="Arial" w:eastAsia="Arial" w:hAnsi="Arial"/>
          <w:b w:val="false"/>
          <w:bCs w:val="false"/>
          <w:i w:val="false"/>
          <w:iCs w:val="false"/>
          <w:color w:val="374151"/>
          <w:sz w:val="22"/>
          <w:szCs w:val="22"/>
        </w:rPr>
        <w:t xml:space="preserve"> yang mencakup hak untuk melihat, memodifikasi, dan menggunakan source code untuk kebutuhan internal pesantren saja.</w:t>
      </w:r>
    </w:p>
    <w:p>
      <w:pPr>
        <w:spacing w:after="60" w:before="0"/>
      </w:pPr>
      <w:r>
        <w:rPr>
          <w:rFonts w:ascii="Arial" w:cs="Arial" w:eastAsia="Arial" w:hAnsi="Arial"/>
          <w:b w:val="false"/>
          <w:bCs w:val="false"/>
          <w:i w:val="false"/>
          <w:iCs w:val="false"/>
          <w:color w:val="374151"/>
          <w:sz w:val="22"/>
          <w:szCs w:val="22"/>
        </w:rPr>
        <w:t xml:space="preserve">Pesantren diperbolehkan melakukan modifikasi internal tanpa izin tertulis tambahan, namun </w:t>
      </w:r>
      <w:r>
        <w:rPr>
          <w:rFonts w:ascii="Arial" w:cs="Arial" w:eastAsia="Arial" w:hAnsi="Arial"/>
          <w:b/>
          <w:bCs/>
          <w:i w:val="false"/>
          <w:iCs w:val="false"/>
          <w:color w:val="991B1B"/>
          <w:sz w:val="22"/>
          <w:szCs w:val="22"/>
        </w:rPr>
        <w:t xml:space="preserve">tidak diperbolehkan</w:t>
      </w:r>
      <w:r>
        <w:rPr>
          <w:rFonts w:ascii="Arial" w:cs="Arial" w:eastAsia="Arial" w:hAnsi="Arial"/>
          <w:b w:val="false"/>
          <w:bCs w:val="false"/>
          <w:i w:val="false"/>
          <w:iCs w:val="false"/>
          <w:color w:val="374151"/>
          <w:sz w:val="22"/>
          <w:szCs w:val="22"/>
        </w:rPr>
        <w:t xml:space="preserve"> mendistribusikan atau menggunakan source code untuk pesantren/institusi lain. Apabila ingin hak milik penuh, dapat dibahas secara terpisah dengan biaya tambahan.</w:t>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single" w:color="1A6B5A" w:sz="4"/>
              <w:left w:val="single" w:color="1A6B5A" w:sz="12"/>
              <w:bottom w:val="single" w:color="1A6B5A" w:sz="4"/>
              <w:right w:val="none" w:color="auto" w:sz="0"/>
            </w:tcBorders>
            <w:shd w:fill="E8F5F1" w:val="clear"/>
            <w:tcMar>
              <w:top w:type="dxa" w:w="100"/>
              <w:left w:type="dxa" w:w="160"/>
              <w:bottom w:type="dxa" w:w="100"/>
              <w:right w:type="dxa" w:w="120"/>
            </w:tcMar>
          </w:tcPr>
          <w:p>
            <w:pPr>
              <w:spacing w:after="0" w:before="0"/>
            </w:pPr>
            <w:r>
              <w:rPr>
                <w:rFonts w:ascii="Arial" w:cs="Arial" w:eastAsia="Arial" w:hAnsi="Arial"/>
                <w:b/>
                <w:bCs/>
                <w:i w:val="false"/>
                <w:iCs w:val="false"/>
                <w:color w:val="1A6B5A"/>
                <w:sz w:val="20"/>
                <w:szCs w:val="20"/>
              </w:rPr>
              <w:t xml:space="preserve">Catatan: </w:t>
            </w:r>
            <w:r>
              <w:rPr>
                <w:rFonts w:ascii="Arial" w:cs="Arial" w:eastAsia="Arial" w:hAnsi="Arial"/>
                <w:b w:val="false"/>
                <w:bCs w:val="false"/>
                <w:i w:val="false"/>
                <w:iCs w:val="false"/>
                <w:color w:val="374151"/>
                <w:sz w:val="20"/>
                <w:szCs w:val="20"/>
              </w:rPr>
              <w:t xml:space="preserve">Library, framework, dan komponen open-source yang digunakan tetap mengikuti lisensi masing-masing penyedianya.</w:t>
            </w:r>
          </w:p>
        </w:tc>
      </w:tr>
    </w:tbl>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PASAL 8 — KERAHASIAAN DATA &amp; KETENTUAN LAIN</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8.1  Kerahasiaan Data</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Kedua pihak sepakat menjaga kerahasiaan seluruh informasi dan dokumen dalam kerja sama ini.</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Data pendaftar santri bersifat rahasia dan tidak akan diakses atau disebarkan pengembang kepada pihak manapun.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Pengembang hanya mengakses sistem untuk keperluan teknis atas seizin klien.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Kewajiban kerahasiaan ini tetap berlaku setelah kerja sama berakhir.</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8.2  Ketentuan Pembatalan</w:t>
      </w:r>
    </w:p>
    <w:p>
      <w:pPr>
        <w:spacing w:after="20" w:before="40"/>
      </w:pPr>
      <w:r>
        <w:t xml:space="preserve"/>
      </w:r>
    </w:p>
    <w:tbl>
      <w:tblPr>
        <w:tblW w:type="dxa" w:w="9638"/>
        <w:tblBorders>
          <w:top w:val="none" w:sz="0"/>
          <w:left w:val="none" w:sz="0"/>
          <w:bottom w:val="none" w:sz="0"/>
          <w:right w:val="none" w:sz="0"/>
          <w:insideH w:val="single" w:color="auto" w:sz="4"/>
          <w:insideV w:val="single" w:color="auto" w:sz="4"/>
        </w:tblBorders>
      </w:tblPr>
      <w:tblGrid>
        <w:gridCol w:w="3800"/>
        <w:gridCol w:w="5838"/>
      </w:tblGrid>
      <w:tr>
        <w:tc>
          <w:tcPr>
            <w:tcW w:type="dxa" w:w="3800"/>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Kondisi Pembatalan</w:t>
            </w:r>
          </w:p>
        </w:tc>
        <w:tc>
          <w:tcPr>
            <w:tcW w:type="dxa" w:w="5838"/>
            <w:tcBorders>
              <w:top w:val="single" w:color="D1D5DB" w:sz="4"/>
              <w:left w:val="single" w:color="D1D5DB" w:sz="4"/>
              <w:bottom w:val="single" w:color="D1D5DB" w:sz="4"/>
              <w:right w:val="single" w:color="D1D5DB" w:sz="4"/>
            </w:tcBorders>
            <w:shd w:fill="1A6B5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20"/>
                <w:szCs w:val="20"/>
              </w:rPr>
              <w:t xml:space="preserve">Ketentuan</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Dibatalkan klien dalam 1×24 jam setelah penandatanganan</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DP dikembalikan 75%</w:t>
            </w:r>
          </w:p>
        </w:tc>
      </w:tr>
      <w:tr>
        <w:tc>
          <w:tcPr>
            <w:tcW w:type="dxa" w:w="38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Dibatalkan klien setelah 1×24 jam, sebelum pengerjaan dimulai</w:t>
            </w:r>
          </w:p>
        </w:tc>
        <w:tc>
          <w:tcPr>
            <w:tcW w:type="dxa" w:w="58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374151"/>
                <w:sz w:val="20"/>
                <w:szCs w:val="20"/>
              </w:rPr>
              <w:t xml:space="preserve">DP dikembalikan 50%</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Dibatalkan klien setelah pengerjaan dimulai</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991B1B"/>
                <w:sz w:val="20"/>
                <w:szCs w:val="20"/>
              </w:rPr>
              <w:t xml:space="preserve">DP tidak dapat dikembalikan</w:t>
            </w:r>
          </w:p>
        </w:tc>
      </w:tr>
      <w:tr>
        <w:tc>
          <w:tcPr>
            <w:tcW w:type="dxa" w:w="3800"/>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74151"/>
                <w:sz w:val="20"/>
                <w:szCs w:val="20"/>
              </w:rPr>
              <w:t xml:space="preserve">Dibatalkan pengembang tanpa alasan yang dapat dipertanggungjawabkan</w:t>
            </w:r>
          </w:p>
        </w:tc>
        <w:tc>
          <w:tcPr>
            <w:tcW w:type="dxa" w:w="5838"/>
            <w:tcBorders>
              <w:top w:val="single" w:color="D1D5DB" w:sz="4"/>
              <w:left w:val="single" w:color="D1D5DB" w:sz="4"/>
              <w:bottom w:val="single" w:color="D1D5DB" w:sz="4"/>
              <w:right w:val="single" w:color="D1D5DB" w:sz="4"/>
            </w:tcBorders>
            <w:shd w:fill="E8F5F1"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1A6B5A"/>
                <w:sz w:val="20"/>
                <w:szCs w:val="20"/>
              </w:rPr>
              <w:t xml:space="preserve">DP dikembalikan 100% kepada klien</w:t>
            </w:r>
          </w:p>
        </w:tc>
      </w:tr>
    </w:tbl>
    <w:p>
      <w:pPr>
        <w:spacing w:after="40" w:before="60"/>
      </w:pPr>
      <w:r>
        <w:t xml:space="preserve"/>
      </w:r>
    </w:p>
    <w:p>
      <w:pPr>
        <w:spacing w:after="60" w:before="160"/>
      </w:pPr>
      <w:r>
        <w:rPr>
          <w:rFonts w:ascii="Arial" w:cs="Arial" w:eastAsia="Arial" w:hAnsi="Arial"/>
          <w:b/>
          <w:bCs/>
          <w:i w:val="false"/>
          <w:iCs w:val="false"/>
          <w:color w:val="1A6B5A"/>
          <w:sz w:val="22"/>
          <w:szCs w:val="22"/>
        </w:rPr>
        <w:t xml:space="preserve">8.3  Keadaan Kahar (Force Majeure)</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Hambatan di luar kendali manusia (bencana alam, gangguan jaringan nasional, wabah) diselesaikan melalui musyawarah.</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Keterlambatan akibat force majeure bukan dasar tuntutan ganti rugi dari salah satu pihak.</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8.4  Penyelesaian Sengketa</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Perbedaan pendapat diselesaikan melalui musyawarah mufakat dengan semangat ukhuwah Islamiyah.</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Apabila tidak tercapai mufakat, kedua pihak dapat meminta mediasi pihak ketiga yang netral dan disepakati bersama.</w:t>
      </w:r>
    </w:p>
    <w:p>
      <w:pPr>
        <w:spacing w:after="40" w:before="60"/>
      </w:pPr>
      <w:r>
        <w:t xml:space="preserve"/>
      </w:r>
    </w:p>
    <w:p>
      <w:pPr>
        <w:spacing w:after="60" w:before="160"/>
      </w:pPr>
      <w:r>
        <w:rPr>
          <w:rFonts w:ascii="Arial" w:cs="Arial" w:eastAsia="Arial" w:hAnsi="Arial"/>
          <w:b/>
          <w:bCs/>
          <w:i w:val="false"/>
          <w:iCs w:val="false"/>
          <w:color w:val="1A6B5A"/>
          <w:sz w:val="22"/>
          <w:szCs w:val="22"/>
        </w:rPr>
        <w:t xml:space="preserve">8.5  Pembaruan Ketentuan</w:t>
      </w:r>
    </w:p>
    <w:p>
      <w:pPr>
        <w:spacing w:after="40" w:before="40"/>
        <w:ind w:left="400" w:hanging="200"/>
      </w:pPr>
      <w:r>
        <w:rPr>
          <w:rFonts w:ascii="Arial" w:cs="Arial" w:eastAsia="Arial" w:hAnsi="Arial"/>
          <w:b/>
          <w:bCs/>
          <w:i w:val="false"/>
          <w:iCs w:val="false"/>
          <w:color w:val="1A6B5A"/>
          <w:sz w:val="22"/>
          <w:szCs w:val="22"/>
        </w:rPr>
        <w:t xml:space="preserve">• </w:t>
      </w:r>
      <w:r>
        <w:rPr>
          <w:rFonts w:ascii="Arial" w:cs="Arial" w:eastAsia="Arial" w:hAnsi="Arial"/>
          <w:b w:val="false"/>
          <w:bCs w:val="false"/>
          <w:i w:val="false"/>
          <w:iCs w:val="false"/>
          <w:color w:val="374151"/>
          <w:sz w:val="22"/>
          <w:szCs w:val="22"/>
        </w:rPr>
        <w:t xml:space="preserve">Ketentuan dapat diperbarui atas kesepakatan tertulis kedua pihak dan menjadi addendum resmi dokumen ini.</w:t>
      </w:r>
    </w:p>
    <w:p>
      <w:pPr>
        <w:pBdr>
          <w:bottom w:val="single" w:color="E5E7EB" w:sz="6" w:space="1"/>
        </w:pBdr>
        <w:spacing w:after="160" w:before="160"/>
      </w:pPr>
      <w:r>
        <w:t xml:space="preserve"/>
      </w:r>
    </w:p>
    <w:tbl>
      <w:tblPr>
        <w:tblW w:type="dxa" w:w="9638"/>
        <w:tblBorders>
          <w:top w:val="none" w:sz="0"/>
          <w:left w:val="none" w:sz="0"/>
          <w:bottom w:val="none" w:sz="0"/>
          <w:right w:val="none" w:sz="0"/>
          <w:insideH w:val="single" w:color="auto" w:sz="4"/>
          <w:insideV w:val="single" w:color="auto" w:sz="4"/>
        </w:tblBorders>
      </w:tblPr>
      <w:tblGrid>
        <w:gridCol w:w="9638"/>
      </w:tblGrid>
      <w:tr>
        <w:tc>
          <w:tcPr>
            <w:tcW w:type="dxa" w:w="9638"/>
            <w:tcBorders>
              <w:top w:val="none" w:sz="0"/>
              <w:left w:val="single" w:color="1A6B5A" w:sz="20"/>
              <w:bottom w:val="none" w:sz="0"/>
              <w:right w:val="none" w:sz="0"/>
            </w:tcBorders>
            <w:shd w:fill="F0FDF9" w:val="clear"/>
            <w:tcMar>
              <w:top w:type="dxa" w:w="80"/>
              <w:left w:type="dxa" w:w="160"/>
              <w:bottom w:type="dxa" w:w="80"/>
              <w:right w:type="dxa" w:w="0"/>
            </w:tcMar>
          </w:tcPr>
          <w:p>
            <w:pPr>
              <w:spacing w:after="0" w:before="0"/>
            </w:pPr>
            <w:r>
              <w:rPr>
                <w:rFonts w:ascii="Arial" w:cs="Arial" w:eastAsia="Arial" w:hAnsi="Arial"/>
                <w:b/>
                <w:bCs/>
                <w:i w:val="false"/>
                <w:iCs w:val="false"/>
                <w:color w:val="1A6B5A"/>
                <w:sz w:val="24"/>
                <w:szCs w:val="24"/>
              </w:rPr>
              <w:t xml:space="preserve">PERNYATAAN KESEPAKATAN</w:t>
            </w:r>
          </w:p>
        </w:tc>
      </w:tr>
    </w:tbl>
    <w:p>
      <w:pPr>
        <w:spacing w:after="40" w:before="60"/>
      </w:pPr>
      <w:r>
        <w:t xml:space="preserve"/>
      </w:r>
    </w:p>
    <w:p>
      <w:pPr>
        <w:spacing w:after="80" w:before="0"/>
      </w:pPr>
      <w:r>
        <w:rPr>
          <w:rFonts w:ascii="Arial" w:cs="Arial" w:eastAsia="Arial" w:hAnsi="Arial"/>
          <w:b w:val="false"/>
          <w:bCs w:val="false"/>
          <w:i w:val="false"/>
          <w:iCs w:val="false"/>
          <w:color w:val="374151"/>
          <w:sz w:val="22"/>
          <w:szCs w:val="22"/>
        </w:rPr>
        <w:t xml:space="preserve">Dengan penuh kesadaran dan keikhlasan, kedua pihak menyatakan telah membaca, memahami, dan menyetujui seluruh ketentuan dalam dokumen ini. Semoga Allah Subhanahu Wa Ta'ala meridhoi kerja sama ini dan menjadikannya amal jariyah yang bermanfaat bagi pendidikan Islam. Aamiin.</w:t>
      </w:r>
    </w:p>
    <w:p>
      <w:pPr>
        <w:spacing w:after="40" w:before="60"/>
      </w:pPr>
      <w:r>
        <w:t xml:space="preserve"/>
      </w:r>
    </w:p>
    <w:tbl>
      <w:tblPr>
        <w:tblW w:type="dxa" w:w="9638"/>
        <w:tblBorders>
          <w:top w:val="none"/>
          <w:left w:val="none"/>
          <w:bottom w:val="none"/>
          <w:right w:val="none"/>
          <w:insideH w:val="single" w:color="auto" w:sz="4"/>
          <w:insideV w:val="single" w:color="auto" w:sz="4"/>
        </w:tblBorders>
      </w:tblPr>
      <w:tblGrid>
        <w:gridCol w:w="4819"/>
        <w:gridCol w:w="4819"/>
      </w:tblGrid>
      <w:tr>
        <w:tc>
          <w:tcPr>
            <w:tcW w:type="dxa" w:w="4819"/>
            <w:tcBorders>
              <w:top w:val="single" w:color="D1D5DB" w:sz="4"/>
              <w:left w:val="single" w:color="D1D5DB" w:sz="4"/>
              <w:bottom w:val="single" w:color="D1D5DB" w:sz="4"/>
              <w:right w:val="single" w:color="D1D5DB" w:sz="4"/>
            </w:tcBorders>
            <w:shd w:fill="FAFAFA" w:val="clear"/>
            <w:tcMar>
              <w:top w:type="dxa" w:w="200"/>
              <w:left w:type="dxa" w:w="200"/>
              <w:bottom w:type="dxa" w:w="200"/>
              <w:right w:type="dxa" w:w="200"/>
            </w:tcMar>
          </w:tcPr>
          <w:p>
            <w:pPr>
              <w:spacing w:after="60" w:before="0"/>
              <w:jc w:val="center"/>
            </w:pPr>
            <w:r>
              <w:rPr>
                <w:rFonts w:ascii="Arial" w:cs="Arial" w:eastAsia="Arial" w:hAnsi="Arial"/>
                <w:b/>
                <w:bCs/>
                <w:i w:val="false"/>
                <w:iCs w:val="false"/>
                <w:color w:val="1A6B5A"/>
                <w:sz w:val="22"/>
                <w:szCs w:val="22"/>
              </w:rPr>
              <w:t xml:space="preserve">Pihak Pertama (Pengembang)</w:t>
            </w:r>
          </w:p>
          <w:p>
            <w:pPr>
              <w:spacing w:after="200" w:before="60"/>
              <w:jc w:val="center"/>
            </w:pPr>
            <w:r>
              <w:rPr>
                <w:rFonts w:ascii="Arial" w:cs="Arial" w:eastAsia="Arial" w:hAnsi="Arial"/>
                <w:b w:val="false"/>
                <w:bCs w:val="false"/>
                <w:i/>
                <w:iCs/>
                <w:color w:val="6B7280"/>
                <w:sz w:val="20"/>
                <w:szCs w:val="20"/>
              </w:rPr>
              <w:t xml:space="preserve">(Tanda Tangan)</w:t>
            </w:r>
          </w:p>
          <w:p>
            <w:pPr>
              <w:spacing w:after="0" w:before="0"/>
            </w:pPr>
            <w:r>
              <w:rPr>
                <w:rFonts w:ascii="Arial" w:cs="Arial" w:eastAsia="Arial" w:hAnsi="Arial"/>
                <w:b w:val="false"/>
                <w:bCs w:val="false"/>
                <w:i w:val="false"/>
                <w:iCs w:val="false"/>
                <w:color w:val="374151"/>
                <w:sz w:val="22"/>
                <w:szCs w:val="22"/>
              </w:rPr>
              <w:t xml:space="preserve"/>
            </w:r>
          </w:p>
          <w:p>
            <w:pPr>
              <w:spacing w:after="0" w:before="0"/>
            </w:pPr>
            <w:r>
              <w:rPr>
                <w:rFonts w:ascii="Arial" w:cs="Arial" w:eastAsia="Arial" w:hAnsi="Arial"/>
                <w:b w:val="false"/>
                <w:bCs w:val="false"/>
                <w:i w:val="false"/>
                <w:iCs w:val="false"/>
                <w:color w:val="374151"/>
                <w:sz w:val="22"/>
                <w:szCs w:val="22"/>
              </w:rPr>
              <w:t xml:space="preserve"/>
            </w:r>
          </w:p>
          <w:p>
            <w:pPr>
              <w:spacing w:after="0" w:before="0"/>
            </w:pPr>
            <w:r>
              <w:rPr>
                <w:rFonts w:ascii="Arial" w:cs="Arial" w:eastAsia="Arial" w:hAnsi="Arial"/>
                <w:b w:val="false"/>
                <w:bCs w:val="false"/>
                <w:i w:val="false"/>
                <w:iCs w:val="false"/>
                <w:color w:val="374151"/>
                <w:sz w:val="22"/>
                <w:szCs w:val="22"/>
              </w:rPr>
              <w:t xml:space="preserve"/>
            </w:r>
          </w:p>
          <w:p>
            <w:pPr>
              <w:spacing w:after="40" w:before="0"/>
              <w:jc w:val="center"/>
            </w:pPr>
            <w:r>
              <w:rPr>
                <w:rFonts w:ascii="Arial" w:cs="Arial" w:eastAsia="Arial" w:hAnsi="Arial"/>
                <w:b w:val="false"/>
                <w:bCs w:val="false"/>
                <w:i w:val="false"/>
                <w:iCs w:val="false"/>
                <w:color w:val="374151"/>
                <w:sz w:val="22"/>
                <w:szCs w:val="22"/>
              </w:rPr>
              <w:t xml:space="preserve">Rieza</w:t>
            </w:r>
          </w:p>
          <w:p>
            <w:pPr>
              <w:spacing w:after="40" w:before="0"/>
              <w:jc w:val="center"/>
            </w:pPr>
            <w:r>
              <w:rPr>
                <w:rFonts w:ascii="Arial" w:cs="Arial" w:eastAsia="Arial" w:hAnsi="Arial"/>
                <w:b w:val="false"/>
                <w:bCs w:val="false"/>
                <w:i w:val="false"/>
                <w:iCs w:val="false"/>
                <w:color w:val="374151"/>
                <w:sz w:val="22"/>
                <w:szCs w:val="22"/>
              </w:rPr>
              <w:t xml:space="preserve">Fullstack Web Developer</w:t>
            </w:r>
          </w:p>
          <w:p>
            <w:pPr>
              <w:spacing w:after="40" w:before="0"/>
              <w:jc w:val="center"/>
            </w:pPr>
            <w:r>
              <w:rPr>
                <w:rFonts w:ascii="Arial" w:cs="Arial" w:eastAsia="Arial" w:hAnsi="Arial"/>
                <w:b w:val="false"/>
                <w:bCs w:val="false"/>
                <w:i w:val="false"/>
                <w:iCs w:val="false"/>
                <w:color w:val="374151"/>
                <w:sz w:val="22"/>
                <w:szCs w:val="22"/>
              </w:rPr>
              <w:t xml:space="preserve">Tanggal: .......................</w:t>
            </w:r>
          </w:p>
          <w:p>
            <w:pPr>
              <w:spacing w:after="40" w:before="0"/>
              <w:jc w:val="center"/>
            </w:pPr>
            <w:r>
              <w:rPr>
                <w:rFonts w:ascii="Arial" w:cs="Arial" w:eastAsia="Arial" w:hAnsi="Arial"/>
                <w:b w:val="false"/>
                <w:bCs w:val="false"/>
                <w:i w:val="false"/>
                <w:iCs w:val="false"/>
                <w:color w:val="374151"/>
                <w:sz w:val="22"/>
                <w:szCs w:val="22"/>
              </w:rPr>
              <w:t xml:space="preserve"/>
            </w:r>
          </w:p>
        </w:tc>
        <w:tc>
          <w:tcPr>
            <w:tcW w:type="dxa" w:w="4819"/>
            <w:tcBorders>
              <w:top w:val="single" w:color="D1D5DB" w:sz="4"/>
              <w:left w:val="single" w:color="D1D5DB" w:sz="4"/>
              <w:bottom w:val="single" w:color="D1D5DB" w:sz="4"/>
              <w:right w:val="single" w:color="D1D5DB" w:sz="4"/>
            </w:tcBorders>
            <w:shd w:fill="FAFAFA" w:val="clear"/>
            <w:tcMar>
              <w:top w:type="dxa" w:w="200"/>
              <w:left w:type="dxa" w:w="200"/>
              <w:bottom w:type="dxa" w:w="200"/>
              <w:right w:type="dxa" w:w="200"/>
            </w:tcMar>
          </w:tcPr>
          <w:p>
            <w:pPr>
              <w:spacing w:after="60" w:before="0"/>
              <w:jc w:val="center"/>
            </w:pPr>
            <w:r>
              <w:rPr>
                <w:rFonts w:ascii="Arial" w:cs="Arial" w:eastAsia="Arial" w:hAnsi="Arial"/>
                <w:b/>
                <w:bCs/>
                <w:i w:val="false"/>
                <w:iCs w:val="false"/>
                <w:color w:val="1A6B5A"/>
                <w:sz w:val="22"/>
                <w:szCs w:val="22"/>
              </w:rPr>
              <w:t xml:space="preserve">Pihak Kedua (Klien / Pesantren)</w:t>
            </w:r>
          </w:p>
          <w:p>
            <w:pPr>
              <w:spacing w:after="200" w:before="60"/>
              <w:jc w:val="center"/>
            </w:pPr>
            <w:r>
              <w:rPr>
                <w:rFonts w:ascii="Arial" w:cs="Arial" w:eastAsia="Arial" w:hAnsi="Arial"/>
                <w:b w:val="false"/>
                <w:bCs w:val="false"/>
                <w:i/>
                <w:iCs/>
                <w:color w:val="6B7280"/>
                <w:sz w:val="20"/>
                <w:szCs w:val="20"/>
              </w:rPr>
              <w:t xml:space="preserve">(Tanda Tangan)</w:t>
            </w:r>
          </w:p>
          <w:p>
            <w:pPr>
              <w:spacing w:after="0" w:before="0"/>
            </w:pPr>
            <w:r>
              <w:rPr>
                <w:rFonts w:ascii="Arial" w:cs="Arial" w:eastAsia="Arial" w:hAnsi="Arial"/>
                <w:b w:val="false"/>
                <w:bCs w:val="false"/>
                <w:i w:val="false"/>
                <w:iCs w:val="false"/>
                <w:color w:val="374151"/>
                <w:sz w:val="22"/>
                <w:szCs w:val="22"/>
              </w:rPr>
              <w:t xml:space="preserve"/>
            </w:r>
          </w:p>
          <w:p>
            <w:pPr>
              <w:spacing w:after="0" w:before="0"/>
            </w:pPr>
            <w:r>
              <w:rPr>
                <w:rFonts w:ascii="Arial" w:cs="Arial" w:eastAsia="Arial" w:hAnsi="Arial"/>
                <w:b w:val="false"/>
                <w:bCs w:val="false"/>
                <w:i w:val="false"/>
                <w:iCs w:val="false"/>
                <w:color w:val="374151"/>
                <w:sz w:val="22"/>
                <w:szCs w:val="22"/>
              </w:rPr>
              <w:t xml:space="preserve"/>
            </w:r>
          </w:p>
          <w:p>
            <w:pPr>
              <w:spacing w:after="0" w:before="0"/>
            </w:pPr>
            <w:r>
              <w:rPr>
                <w:rFonts w:ascii="Arial" w:cs="Arial" w:eastAsia="Arial" w:hAnsi="Arial"/>
                <w:b w:val="false"/>
                <w:bCs w:val="false"/>
                <w:i w:val="false"/>
                <w:iCs w:val="false"/>
                <w:color w:val="374151"/>
                <w:sz w:val="22"/>
                <w:szCs w:val="22"/>
              </w:rPr>
              <w:t xml:space="preserve"/>
            </w:r>
          </w:p>
          <w:p>
            <w:pPr>
              <w:spacing w:after="40" w:before="0"/>
              <w:jc w:val="center"/>
            </w:pPr>
            <w:r>
              <w:rPr>
                <w:rFonts w:ascii="Arial" w:cs="Arial" w:eastAsia="Arial" w:hAnsi="Arial"/>
                <w:b w:val="false"/>
                <w:bCs w:val="false"/>
                <w:i w:val="false"/>
                <w:iCs w:val="false"/>
                <w:color w:val="374151"/>
                <w:sz w:val="22"/>
                <w:szCs w:val="22"/>
              </w:rPr>
              <w:t xml:space="preserve">Nama: .......................</w:t>
            </w:r>
          </w:p>
          <w:p>
            <w:pPr>
              <w:spacing w:after="40" w:before="0"/>
              <w:jc w:val="center"/>
            </w:pPr>
            <w:r>
              <w:rPr>
                <w:rFonts w:ascii="Arial" w:cs="Arial" w:eastAsia="Arial" w:hAnsi="Arial"/>
                <w:b w:val="false"/>
                <w:bCs w:val="false"/>
                <w:i w:val="false"/>
                <w:iCs w:val="false"/>
                <w:color w:val="374151"/>
                <w:sz w:val="22"/>
                <w:szCs w:val="22"/>
              </w:rPr>
              <w:t xml:space="preserve">Jabatan: .......................</w:t>
            </w:r>
          </w:p>
          <w:p>
            <w:pPr>
              <w:spacing w:after="40" w:before="0"/>
              <w:jc w:val="center"/>
            </w:pPr>
            <w:r>
              <w:rPr>
                <w:rFonts w:ascii="Arial" w:cs="Arial" w:eastAsia="Arial" w:hAnsi="Arial"/>
                <w:b w:val="false"/>
                <w:bCs w:val="false"/>
                <w:i w:val="false"/>
                <w:iCs w:val="false"/>
                <w:color w:val="374151"/>
                <w:sz w:val="22"/>
                <w:szCs w:val="22"/>
              </w:rPr>
              <w:t xml:space="preserve">Tanggal: .......................</w:t>
            </w:r>
          </w:p>
          <w:p>
            <w:pPr>
              <w:spacing w:after="40" w:before="0"/>
              <w:jc w:val="center"/>
            </w:pPr>
            <w:r>
              <w:rPr>
                <w:rFonts w:ascii="Arial" w:cs="Arial" w:eastAsia="Arial" w:hAnsi="Arial"/>
                <w:b w:val="false"/>
                <w:bCs w:val="false"/>
                <w:i w:val="false"/>
                <w:iCs w:val="false"/>
                <w:color w:val="374151"/>
                <w:sz w:val="22"/>
                <w:szCs w:val="22"/>
              </w:rPr>
              <w:t xml:space="preserve"/>
            </w:r>
          </w:p>
        </w:tc>
      </w:tr>
    </w:tbl>
    <w:p>
      <w:pPr>
        <w:spacing w:after="40" w:before="80"/>
      </w:pPr>
      <w:r>
        <w:t xml:space="preserve"/>
      </w:r>
    </w:p>
    <w:p>
      <w:pPr>
        <w:spacing w:after="40" w:before="80"/>
        <w:jc w:val="center"/>
      </w:pPr>
      <w:r>
        <w:rPr>
          <w:rFonts w:ascii="Arial" w:cs="Arial" w:eastAsia="Arial" w:hAnsi="Arial"/>
          <w:b/>
          <w:bCs/>
          <w:i w:val="false"/>
          <w:iCs w:val="false"/>
          <w:color w:val="1A6B5A"/>
          <w:sz w:val="22"/>
          <w:szCs w:val="22"/>
        </w:rPr>
        <w:t xml:space="preserve">Wassalamu'alaikum Warahmatullahi Wabarakatuh</w:t>
      </w:r>
    </w:p>
    <w:p>
      <w:pPr>
        <w:spacing w:after="40" w:before="0"/>
        <w:jc w:val="center"/>
      </w:pPr>
      <w:r>
        <w:rPr>
          <w:rFonts w:ascii="Arial" w:cs="Arial" w:eastAsia="Arial" w:hAnsi="Arial"/>
          <w:b w:val="false"/>
          <w:bCs w:val="false"/>
          <w:i w:val="false"/>
          <w:iCs w:val="false"/>
          <w:color w:val="1A6B5A"/>
          <w:sz w:val="24"/>
          <w:szCs w:val="24"/>
        </w:rPr>
        <w:t xml:space="preserve">وَالسَّلَامُ عَلَيْكُمْ وَرَحْمَةُ اللهِ وَبَرَكَاتُهُ</w:t>
      </w:r>
    </w:p>
    <w:p>
      <w:pPr>
        <w:spacing w:after="0" w:before="40"/>
        <w:jc w:val="center"/>
      </w:pPr>
      <w:r>
        <w:rPr>
          <w:rFonts w:ascii="Arial" w:cs="Arial" w:eastAsia="Arial" w:hAnsi="Arial"/>
          <w:b w:val="false"/>
          <w:bCs w:val="false"/>
          <w:i/>
          <w:iCs/>
          <w:color w:val="6B7280"/>
          <w:sz w:val="20"/>
          <w:szCs w:val="20"/>
        </w:rPr>
        <w:t xml:space="preserve">Dokumen ini dibuat dengan niat baik dan penuh amanah. Semoga kerja sama ini membawa keberkahan bagi kedua belah pihak.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2026-06-01T08:46:05.421Z</dcterms:created>
  <dcterms:modified xsi:type="dcterms:W3CDTF">2026-06-01T08:46:05.437Z</dcterms:modified>
</cp:coreProperties>
</file>

<file path=docProps/custom.xml><?xml version="1.0" encoding="utf-8"?>
<Properties xmlns="http://schemas.openxmlformats.org/officeDocument/2006/custom-properties" xmlns:vt="http://schemas.openxmlformats.org/officeDocument/2006/docPropsVTypes"/>
</file>