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720" w:line="312" w:lineRule="auto"/>
        <w:jc w:val="center"/>
      </w:pPr>
      <w:r>
        <w:rPr>
          <w:rFonts w:ascii="Times New Roman" w:hAnsi="Times New Roman"/>
          <w:b/>
          <w:color w:val="000000"/>
          <w:sz w:val="32"/>
        </w:rPr>
        <w:t>Quantifying the Premier Model Microorganism:</w:t>
        <w:br/>
        <w:t>A Computational Literature-Mining and Clustering Analysis</w:t>
        <w:br/>
        <w:t>of Escherichia coli’s Dominance in Molecular Biology</w:t>
      </w:r>
    </w:p>
    <w:p>
      <w:pPr>
        <w:spacing w:after="120"/>
        <w:jc w:val="center"/>
      </w:pPr>
      <w:r>
        <w:rPr>
          <w:rFonts w:ascii="Times New Roman" w:hAnsi="Times New Roman"/>
          <w:sz w:val="26"/>
        </w:rPr>
        <w:t>2025</w:t>
      </w:r>
    </w:p>
    <w:p>
      <w:r>
        <w:br w:type="page"/>
      </w:r>
    </w:p>
    <w:p>
      <w:pPr>
        <w:pStyle w:val="Heading1"/>
      </w:pPr>
      <w:r>
        <w:t>1. Abstract</w:t>
      </w:r>
    </w:p>
    <w:p>
      <w:pPr>
        <w:spacing w:after="120"/>
        <w:ind w:firstLine="0"/>
      </w:pPr>
      <w:r>
        <w:rPr>
          <w:rFonts w:ascii="Times New Roman" w:hAnsi="Times New Roman"/>
          <w:b/>
          <w:sz w:val="24"/>
        </w:rPr>
        <w:t>Background:</w:t>
      </w:r>
      <w:r>
        <w:rPr>
          <w:rFonts w:ascii="Times New Roman" w:hAnsi="Times New Roman"/>
          <w:sz w:val="24"/>
        </w:rPr>
        <w:t xml:space="preserve"> The status of </w:t>
      </w:r>
      <w:r>
        <w:rPr>
          <w:rFonts w:ascii="Times New Roman" w:hAnsi="Times New Roman"/>
          <w:i/>
          <w:sz w:val="24"/>
        </w:rPr>
        <w:t>Escherichia coli</w:t>
      </w:r>
      <w:r>
        <w:rPr>
          <w:rFonts w:ascii="Times New Roman" w:hAnsi="Times New Roman"/>
          <w:sz w:val="24"/>
        </w:rPr>
        <w:t xml:space="preserve"> as the premier model microorganism is a foundational assumption of modern life sciences, yet this consensus has historically been justified only qualitatively. This study provides the first large-scale computational quantification of the biological, technical, and historical drivers establishing </w:t>
      </w:r>
      <w:r>
        <w:rPr>
          <w:rFonts w:ascii="Times New Roman" w:hAnsi="Times New Roman"/>
          <w:i/>
          <w:sz w:val="24"/>
        </w:rPr>
        <w:t>E. coli</w:t>
      </w:r>
      <w:r>
        <w:rPr>
          <w:rFonts w:ascii="Times New Roman" w:hAnsi="Times New Roman"/>
          <w:sz w:val="24"/>
        </w:rPr>
        <w:t>'s dominance.</w:t>
      </w:r>
    </w:p>
    <w:p>
      <w:pPr>
        <w:spacing w:after="120"/>
        <w:ind w:firstLine="0"/>
      </w:pPr>
      <w:r>
        <w:rPr>
          <w:rFonts w:ascii="Times New Roman" w:hAnsi="Times New Roman"/>
          <w:b/>
          <w:sz w:val="24"/>
        </w:rPr>
        <w:t>Methodology:</w:t>
      </w:r>
      <w:r>
        <w:rPr>
          <w:rFonts w:ascii="Times New Roman" w:hAnsi="Times New Roman"/>
          <w:sz w:val="24"/>
        </w:rPr>
        <w:t xml:space="preserve"> A corpus of 3,273 peer-reviewed abstracts (1990–2025) across </w:t>
      </w:r>
      <w:r>
        <w:rPr>
          <w:rFonts w:ascii="Times New Roman" w:hAnsi="Times New Roman"/>
          <w:i/>
          <w:sz w:val="24"/>
        </w:rPr>
        <w:t>E. coli</w:t>
      </w:r>
      <w:r>
        <w:rPr>
          <w:rFonts w:ascii="Times New Roman" w:hAnsi="Times New Roman"/>
          <w:sz w:val="24"/>
        </w:rPr>
        <w:t xml:space="preserve">, </w:t>
      </w:r>
      <w:r>
        <w:rPr>
          <w:rFonts w:ascii="Times New Roman" w:hAnsi="Times New Roman"/>
          <w:i/>
          <w:sz w:val="24"/>
        </w:rPr>
        <w:t>Saccharomyces cerevisiae</w:t>
      </w:r>
      <w:r>
        <w:rPr>
          <w:rFonts w:ascii="Times New Roman" w:hAnsi="Times New Roman"/>
          <w:sz w:val="24"/>
        </w:rPr>
        <w:t xml:space="preserve">, and </w:t>
      </w:r>
      <w:r>
        <w:rPr>
          <w:rFonts w:ascii="Times New Roman" w:hAnsi="Times New Roman"/>
          <w:i/>
          <w:sz w:val="24"/>
        </w:rPr>
        <w:t>Bacillus subtilis</w:t>
      </w:r>
      <w:r>
        <w:rPr>
          <w:rFonts w:ascii="Times New Roman" w:hAnsi="Times New Roman"/>
          <w:sz w:val="24"/>
        </w:rPr>
        <w:t xml:space="preserve"> was compiled. An LLM pipeline was constructed using the </w:t>
      </w:r>
      <w:r>
        <w:rPr>
          <w:rFonts w:ascii="Times New Roman" w:hAnsi="Times New Roman"/>
          <w:i/>
          <w:sz w:val="22"/>
        </w:rPr>
        <w:t>gpt-oss-120b</w:t>
      </w:r>
      <w:r>
        <w:rPr>
          <w:rFonts w:ascii="Times New Roman" w:hAnsi="Times New Roman"/>
          <w:sz w:val="24"/>
        </w:rPr>
        <w:t xml:space="preserve"> model via the Cerebras Inference API to extract explicit justifications, followed by semantic embedding (PubMedBERT), dimensionality reduction (10D UMAP), density-based clustering (HDBSCAN), physical pathway mapping (KEGG and EcoCyc), and comparative profiling.</w:t>
      </w:r>
    </w:p>
    <w:p>
      <w:pPr>
        <w:spacing w:after="120"/>
        <w:ind w:firstLine="0"/>
      </w:pPr>
      <w:r>
        <w:rPr>
          <w:rFonts w:ascii="Times New Roman" w:hAnsi="Times New Roman"/>
          <w:b/>
          <w:sz w:val="24"/>
        </w:rPr>
        <w:t>Results:</w:t>
      </w:r>
      <w:r>
        <w:rPr>
          <w:rFonts w:ascii="Times New Roman" w:hAnsi="Times New Roman"/>
          <w:sz w:val="24"/>
        </w:rPr>
        <w:t xml:space="preserve"> An "Axiomatic Acceptance Gap" was discovered: 61.6% of </w:t>
      </w:r>
      <w:r>
        <w:rPr>
          <w:rFonts w:ascii="Times New Roman" w:hAnsi="Times New Roman"/>
          <w:i/>
          <w:sz w:val="24"/>
        </w:rPr>
        <w:t>E. coli</w:t>
      </w:r>
      <w:r>
        <w:rPr>
          <w:rFonts w:ascii="Times New Roman" w:hAnsi="Times New Roman"/>
          <w:sz w:val="24"/>
        </w:rPr>
        <w:t xml:space="preserve"> papers contain no justification for using the organism, compared to ~31–32% for controls, revealing that </w:t>
      </w:r>
      <w:r>
        <w:rPr>
          <w:rFonts w:ascii="Times New Roman" w:hAnsi="Times New Roman"/>
          <w:i/>
          <w:sz w:val="24"/>
        </w:rPr>
        <w:t>E. coli</w:t>
      </w:r>
      <w:r>
        <w:rPr>
          <w:rFonts w:ascii="Times New Roman" w:hAnsi="Times New Roman"/>
          <w:sz w:val="24"/>
        </w:rPr>
        <w:t xml:space="preserve">'s model status is treated as an implicit paradigm requiring no validation. Unsupervised clustering identified 13 thematic justification categories. </w:t>
      </w:r>
      <w:r>
        <w:rPr>
          <w:rFonts w:ascii="Times New Roman" w:hAnsi="Times New Roman"/>
          <w:i/>
          <w:sz w:val="24"/>
        </w:rPr>
        <w:t>E. coli</w:t>
      </w:r>
      <w:r>
        <w:rPr>
          <w:rFonts w:ascii="Times New Roman" w:hAnsi="Times New Roman"/>
          <w:sz w:val="24"/>
        </w:rPr>
        <w:t xml:space="preserve"> exhibits a balanced, general-purpose profile distributed across 9 distinct themes, whereas </w:t>
      </w:r>
      <w:r>
        <w:rPr>
          <w:rFonts w:ascii="Times New Roman" w:hAnsi="Times New Roman"/>
          <w:i/>
          <w:sz w:val="24"/>
        </w:rPr>
        <w:t>S. cerevisiae</w:t>
      </w:r>
      <w:r>
        <w:rPr>
          <w:rFonts w:ascii="Times New Roman" w:hAnsi="Times New Roman"/>
          <w:sz w:val="24"/>
        </w:rPr>
        <w:t xml:space="preserve"> (99.0% in 2 themes) and </w:t>
      </w:r>
      <w:r>
        <w:rPr>
          <w:rFonts w:ascii="Times New Roman" w:hAnsi="Times New Roman"/>
          <w:i/>
          <w:sz w:val="24"/>
        </w:rPr>
        <w:t>B. subtilis</w:t>
      </w:r>
      <w:r>
        <w:rPr>
          <w:rFonts w:ascii="Times New Roman" w:hAnsi="Times New Roman"/>
          <w:sz w:val="24"/>
        </w:rPr>
        <w:t xml:space="preserve"> (98.1% in 3 themes) are highly specialized niche models. Temporally, </w:t>
      </w:r>
      <w:r>
        <w:rPr>
          <w:rFonts w:ascii="Times New Roman" w:hAnsi="Times New Roman"/>
          <w:i/>
          <w:sz w:val="24"/>
        </w:rPr>
        <w:t>E. coli</w:t>
      </w:r>
      <w:r>
        <w:rPr>
          <w:rFonts w:ascii="Times New Roman" w:hAnsi="Times New Roman"/>
          <w:sz w:val="24"/>
        </w:rPr>
        <w:t xml:space="preserve"> justifications for heterologous expression dropped from 44.1% (1990s) to 12.6% (2020s), reflecting technological normalization, while its justification as the bacterial reference standard rose from 2.9% to 30.3% following the 1997 sequencing milestone. Mapped justifications correspond precisely to conserved replication and export pathways.</w:t>
      </w:r>
    </w:p>
    <w:p>
      <w:pPr>
        <w:spacing w:after="120"/>
        <w:ind w:firstLine="0"/>
      </w:pPr>
      <w:r>
        <w:rPr>
          <w:rFonts w:ascii="Times New Roman" w:hAnsi="Times New Roman"/>
          <w:b/>
          <w:sz w:val="24"/>
        </w:rPr>
        <w:t>Conclusion:</w:t>
      </w:r>
      <w:r>
        <w:rPr>
          <w:rFonts w:ascii="Times New Roman" w:hAnsi="Times New Roman"/>
          <w:sz w:val="24"/>
        </w:rPr>
        <w:t xml:space="preserve"> </w:t>
      </w:r>
      <w:r>
        <w:rPr>
          <w:rFonts w:ascii="Times New Roman" w:hAnsi="Times New Roman"/>
          <w:i/>
          <w:sz w:val="24"/>
        </w:rPr>
        <w:t>E. coli</w:t>
      </w:r>
      <w:r>
        <w:rPr>
          <w:rFonts w:ascii="Times New Roman" w:hAnsi="Times New Roman"/>
          <w:sz w:val="24"/>
        </w:rPr>
        <w:t xml:space="preserve"> operates not merely as a biological model, but as a socio-institutional anchor in modern molecular biology.</w:t>
      </w:r>
    </w:p>
    <w:p>
      <w:r>
        <w:br w:type="page"/>
      </w:r>
    </w:p>
    <w:p>
      <w:pPr>
        <w:pStyle w:val="Heading1"/>
      </w:pPr>
      <w:r>
        <w:t>2. Introduction</w:t>
      </w:r>
    </w:p>
    <w:p>
      <w:pPr>
        <w:spacing w:after="120"/>
        <w:ind w:firstLine="0"/>
      </w:pPr>
      <w:r>
        <w:rPr>
          <w:rFonts w:ascii="Times New Roman" w:hAnsi="Times New Roman"/>
          <w:sz w:val="24"/>
        </w:rPr>
        <w:t xml:space="preserve">For over a century, </w:t>
      </w:r>
      <w:r>
        <w:rPr>
          <w:rFonts w:ascii="Times New Roman" w:hAnsi="Times New Roman"/>
          <w:i/>
          <w:sz w:val="24"/>
        </w:rPr>
        <w:t>Escherichia coli</w:t>
      </w:r>
      <w:r>
        <w:rPr>
          <w:rFonts w:ascii="Times New Roman" w:hAnsi="Times New Roman"/>
          <w:sz w:val="24"/>
        </w:rPr>
        <w:t xml:space="preserve"> has served as the foundational bedrock of molecular biology and biotechnology. First isolated in 1885 by the German pediatrician Theodor Escherich from infant feces </w:t>
      </w:r>
      <w:r>
        <w:rPr>
          <w:rFonts w:ascii="Times New Roman" w:hAnsi="Times New Roman"/>
          <w:i/>
          <w:sz w:val="22"/>
        </w:rPr>
        <w:t>[1]</w:t>
      </w:r>
      <w:r>
        <w:rPr>
          <w:rFonts w:ascii="Times New Roman" w:hAnsi="Times New Roman"/>
          <w:sz w:val="24"/>
        </w:rPr>
        <w:t xml:space="preserve">, the Gram-negative rod-shaped bacterium was initially studied as a harmless commensal organism of the human gut and a minor pathogen. However, by the mid-20th century, </w:t>
      </w:r>
      <w:r>
        <w:rPr>
          <w:rFonts w:ascii="Times New Roman" w:hAnsi="Times New Roman"/>
          <w:i/>
          <w:sz w:val="24"/>
        </w:rPr>
        <w:t>E. coli</w:t>
      </w:r>
      <w:r>
        <w:rPr>
          <w:rFonts w:ascii="Times New Roman" w:hAnsi="Times New Roman"/>
          <w:sz w:val="24"/>
        </w:rPr>
        <w:t xml:space="preserve"> had undergone a conceptual transformation, transitioning from a medical specimen to the premier model organism for life sciences.</w:t>
      </w:r>
    </w:p>
    <w:p>
      <w:pPr>
        <w:pStyle w:val="Heading2"/>
      </w:pPr>
      <w:r>
        <w:t>2.1 The Historical Ascent of E. coli</w:t>
      </w:r>
    </w:p>
    <w:p>
      <w:pPr>
        <w:spacing w:after="120"/>
        <w:ind w:firstLine="0"/>
      </w:pPr>
      <w:r>
        <w:rPr>
          <w:rFonts w:ascii="Times New Roman" w:hAnsi="Times New Roman"/>
          <w:sz w:val="24"/>
        </w:rPr>
        <w:t xml:space="preserve">The selection of </w:t>
      </w:r>
      <w:r>
        <w:rPr>
          <w:rFonts w:ascii="Times New Roman" w:hAnsi="Times New Roman"/>
          <w:i/>
          <w:sz w:val="24"/>
        </w:rPr>
        <w:t>E. coli</w:t>
      </w:r>
      <w:r>
        <w:rPr>
          <w:rFonts w:ascii="Times New Roman" w:hAnsi="Times New Roman"/>
          <w:sz w:val="24"/>
        </w:rPr>
        <w:t xml:space="preserve">—specifically the K-12 and B strains—as the default tool for molecular biology was shaped by key technical decisions in the 1940s and 1950s. Joshua Lederberg’s discovery of bacterial conjugation in </w:t>
      </w:r>
      <w:r>
        <w:rPr>
          <w:rFonts w:ascii="Times New Roman" w:hAnsi="Times New Roman"/>
          <w:i/>
          <w:sz w:val="24"/>
        </w:rPr>
        <w:t>E. coli</w:t>
      </w:r>
      <w:r>
        <w:rPr>
          <w:rFonts w:ascii="Times New Roman" w:hAnsi="Times New Roman"/>
          <w:sz w:val="24"/>
        </w:rPr>
        <w:t xml:space="preserve"> K-12 in 1946 </w:t>
      </w:r>
      <w:r>
        <w:rPr>
          <w:rFonts w:ascii="Times New Roman" w:hAnsi="Times New Roman"/>
          <w:i/>
          <w:sz w:val="22"/>
        </w:rPr>
        <w:t>[2]</w:t>
      </w:r>
      <w:r>
        <w:rPr>
          <w:rFonts w:ascii="Times New Roman" w:hAnsi="Times New Roman"/>
          <w:sz w:val="24"/>
        </w:rPr>
        <w:t xml:space="preserve"> established that bacteria possessed genetic mechanisms analogous to eukaryotic recombination, making them viable genetic systems. Concurrently, Max Delbrück and the "Phage Group" selected </w:t>
      </w:r>
      <w:r>
        <w:rPr>
          <w:rFonts w:ascii="Times New Roman" w:hAnsi="Times New Roman"/>
          <w:i/>
          <w:sz w:val="24"/>
        </w:rPr>
        <w:t>E. coli</w:t>
      </w:r>
      <w:r>
        <w:rPr>
          <w:rFonts w:ascii="Times New Roman" w:hAnsi="Times New Roman"/>
          <w:sz w:val="24"/>
        </w:rPr>
        <w:t xml:space="preserve"> as the host system to study bacteriophage replication, laying the groundwork for molecular genetics.</w:t>
      </w:r>
    </w:p>
    <w:p>
      <w:pPr>
        <w:spacing w:after="120"/>
        <w:ind w:firstLine="0"/>
      </w:pPr>
      <w:r>
        <w:rPr>
          <w:rFonts w:ascii="Times New Roman" w:hAnsi="Times New Roman"/>
          <w:sz w:val="24"/>
        </w:rPr>
        <w:t xml:space="preserve">Over the subsequent three decades, </w:t>
      </w:r>
      <w:r>
        <w:rPr>
          <w:rFonts w:ascii="Times New Roman" w:hAnsi="Times New Roman"/>
          <w:i/>
          <w:sz w:val="24"/>
        </w:rPr>
        <w:t>E. coli</w:t>
      </w:r>
      <w:r>
        <w:rPr>
          <w:rFonts w:ascii="Times New Roman" w:hAnsi="Times New Roman"/>
          <w:sz w:val="24"/>
        </w:rPr>
        <w:t xml:space="preserve"> served as the vessel through which the fundamental mechanisms of the central dogma were resolved, including:</w:t>
      </w:r>
    </w:p>
    <w:p>
      <w:pPr>
        <w:spacing w:after="60" w:before="20"/>
        <w:ind w:left="720" w:hanging="283"/>
      </w:pPr>
      <w:r>
        <w:rPr>
          <w:rFonts w:ascii="Times New Roman" w:hAnsi="Times New Roman"/>
          <w:sz w:val="22"/>
        </w:rPr>
        <w:t xml:space="preserve">•  </w:t>
      </w:r>
      <w:r>
        <w:rPr>
          <w:rFonts w:ascii="Times New Roman" w:hAnsi="Times New Roman"/>
          <w:sz w:val="22"/>
        </w:rPr>
        <w:t>The deciphering of the genetic code and codon usage.</w:t>
      </w:r>
    </w:p>
    <w:p>
      <w:pPr>
        <w:spacing w:after="60" w:before="20"/>
        <w:ind w:left="720" w:hanging="283"/>
      </w:pPr>
      <w:r>
        <w:rPr>
          <w:rFonts w:ascii="Times New Roman" w:hAnsi="Times New Roman"/>
          <w:sz w:val="22"/>
        </w:rPr>
        <w:t xml:space="preserve">•  </w:t>
      </w:r>
      <w:r>
        <w:rPr>
          <w:rFonts w:ascii="Times New Roman" w:hAnsi="Times New Roman"/>
          <w:sz w:val="22"/>
        </w:rPr>
        <w:t>The discovery of messenger RNA (mRNA) and transfer RNA (tRNA).</w:t>
      </w:r>
    </w:p>
    <w:p>
      <w:pPr>
        <w:spacing w:after="60" w:before="20"/>
        <w:ind w:left="720" w:hanging="283"/>
      </w:pPr>
      <w:r>
        <w:rPr>
          <w:rFonts w:ascii="Times New Roman" w:hAnsi="Times New Roman"/>
          <w:sz w:val="22"/>
        </w:rPr>
        <w:t xml:space="preserve">•  </w:t>
      </w:r>
      <w:r>
        <w:rPr>
          <w:rFonts w:ascii="Times New Roman" w:hAnsi="Times New Roman"/>
          <w:sz w:val="22"/>
        </w:rPr>
        <w:t>The elucidation of the lac operon model of gene regulation by Jacob and Monod.</w:t>
      </w:r>
    </w:p>
    <w:p>
      <w:pPr>
        <w:spacing w:after="60" w:before="20"/>
        <w:ind w:left="720" w:hanging="283"/>
      </w:pPr>
      <w:r>
        <w:rPr>
          <w:rFonts w:ascii="Times New Roman" w:hAnsi="Times New Roman"/>
          <w:sz w:val="22"/>
        </w:rPr>
        <w:t xml:space="preserve">•  </w:t>
      </w:r>
      <w:r>
        <w:rPr>
          <w:rFonts w:ascii="Times New Roman" w:hAnsi="Times New Roman"/>
          <w:sz w:val="22"/>
        </w:rPr>
        <w:t>The development of recombinant DNA technology (gene cloning) using plasmid vectors and restriction enzymes.</w:t>
      </w:r>
    </w:p>
    <w:p>
      <w:pPr>
        <w:spacing w:after="120"/>
        <w:ind w:firstLine="0"/>
      </w:pPr>
      <w:r>
        <w:rPr>
          <w:rFonts w:ascii="Times New Roman" w:hAnsi="Times New Roman"/>
          <w:sz w:val="24"/>
        </w:rPr>
        <w:t xml:space="preserve">This historical momentum culminated in 1997 with the publication of the complete genome sequence of </w:t>
      </w:r>
      <w:r>
        <w:rPr>
          <w:rFonts w:ascii="Times New Roman" w:hAnsi="Times New Roman"/>
          <w:i/>
          <w:sz w:val="24"/>
        </w:rPr>
        <w:t>E. coli</w:t>
      </w:r>
      <w:r>
        <w:rPr>
          <w:rFonts w:ascii="Times New Roman" w:hAnsi="Times New Roman"/>
          <w:sz w:val="24"/>
        </w:rPr>
        <w:t xml:space="preserve"> K-12 MG1655 by Blattner and colleagues </w:t>
      </w:r>
      <w:r>
        <w:rPr>
          <w:rFonts w:ascii="Times New Roman" w:hAnsi="Times New Roman"/>
          <w:i/>
          <w:sz w:val="22"/>
        </w:rPr>
        <w:t>[3]</w:t>
      </w:r>
      <w:r>
        <w:rPr>
          <w:rFonts w:ascii="Times New Roman" w:hAnsi="Times New Roman"/>
          <w:sz w:val="24"/>
        </w:rPr>
        <w:t xml:space="preserve">. The sequencing project consolidated </w:t>
      </w:r>
      <w:r>
        <w:rPr>
          <w:rFonts w:ascii="Times New Roman" w:hAnsi="Times New Roman"/>
          <w:i/>
          <w:sz w:val="24"/>
        </w:rPr>
        <w:t>E. coli</w:t>
      </w:r>
      <w:r>
        <w:rPr>
          <w:rFonts w:ascii="Times New Roman" w:hAnsi="Times New Roman"/>
          <w:sz w:val="24"/>
        </w:rPr>
        <w:t>'s role as the primary reference point for annotation, functional genomics, and comparative biochemistry.</w:t>
      </w:r>
    </w:p>
    <w:p>
      <w:pPr>
        <w:pStyle w:val="Heading2"/>
      </w:pPr>
      <w:r>
        <w:t>2.2 The Qualitative Consensus Gap</w:t>
      </w:r>
    </w:p>
    <w:p>
      <w:pPr>
        <w:spacing w:after="120"/>
        <w:ind w:firstLine="0"/>
      </w:pPr>
      <w:r>
        <w:rPr>
          <w:rFonts w:ascii="Times New Roman" w:hAnsi="Times New Roman"/>
          <w:sz w:val="24"/>
        </w:rPr>
        <w:t xml:space="preserve">In microbiology and molecular biology education, the status of </w:t>
      </w:r>
      <w:r>
        <w:rPr>
          <w:rFonts w:ascii="Times New Roman" w:hAnsi="Times New Roman"/>
          <w:i/>
          <w:sz w:val="24"/>
        </w:rPr>
        <w:t>E. coli</w:t>
      </w:r>
      <w:r>
        <w:rPr>
          <w:rFonts w:ascii="Times New Roman" w:hAnsi="Times New Roman"/>
          <w:sz w:val="24"/>
        </w:rPr>
        <w:t xml:space="preserve"> as the "premier model microorganism" is taught as a fundamental, self-evident truth. Standard textbooks justify its dominance by citing qualitative properties: its rapid doubling time (~20 minutes in rich media), simple growth requirements, safe handling profile, and the vast historical accumulation of molecular tools. Standard history and philosophy of science (HPS) and science studies literature has extensively analyzed how model organisms function as community standards, templates, and experimental systems (e.g., Ankeny &amp; Leonelli, 2011 </w:t>
      </w:r>
      <w:r>
        <w:rPr>
          <w:rFonts w:ascii="Times New Roman" w:hAnsi="Times New Roman"/>
          <w:i/>
          <w:sz w:val="22"/>
        </w:rPr>
        <w:t>[18]</w:t>
      </w:r>
      <w:r>
        <w:rPr>
          <w:rFonts w:ascii="Times New Roman" w:hAnsi="Times New Roman"/>
          <w:sz w:val="24"/>
        </w:rPr>
        <w:t xml:space="preserve">; Creager, 2002 </w:t>
      </w:r>
      <w:r>
        <w:rPr>
          <w:rFonts w:ascii="Times New Roman" w:hAnsi="Times New Roman"/>
          <w:i/>
          <w:sz w:val="22"/>
        </w:rPr>
        <w:t>[19]</w:t>
      </w:r>
      <w:r>
        <w:rPr>
          <w:rFonts w:ascii="Times New Roman" w:hAnsi="Times New Roman"/>
          <w:sz w:val="24"/>
        </w:rPr>
        <w:t xml:space="preserve">; Weber, 2005 </w:t>
      </w:r>
      <w:r>
        <w:rPr>
          <w:rFonts w:ascii="Times New Roman" w:hAnsi="Times New Roman"/>
          <w:i/>
          <w:sz w:val="22"/>
        </w:rPr>
        <w:t>[20]</w:t>
      </w:r>
      <w:r>
        <w:rPr>
          <w:rFonts w:ascii="Times New Roman" w:hAnsi="Times New Roman"/>
          <w:sz w:val="24"/>
        </w:rPr>
        <w:t>).</w:t>
      </w:r>
    </w:p>
    <w:p>
      <w:pPr>
        <w:spacing w:after="120"/>
        <w:ind w:firstLine="0"/>
      </w:pPr>
      <w:r>
        <w:rPr>
          <w:rFonts w:ascii="Times New Roman" w:hAnsi="Times New Roman"/>
          <w:sz w:val="24"/>
        </w:rPr>
        <w:t xml:space="preserve">However, this consensus is built upon a qualitative and historical narrative. To date, there has been no quantitative, large-scale literature-wide evaluation of </w:t>
      </w:r>
      <w:r>
        <w:rPr>
          <w:rFonts w:ascii="Times New Roman" w:hAnsi="Times New Roman"/>
          <w:i/>
          <w:sz w:val="24"/>
        </w:rPr>
        <w:t>why</w:t>
      </w:r>
      <w:r>
        <w:rPr>
          <w:rFonts w:ascii="Times New Roman" w:hAnsi="Times New Roman"/>
          <w:sz w:val="24"/>
        </w:rPr>
        <w:t xml:space="preserve"> researchers choose to use </w:t>
      </w:r>
      <w:r>
        <w:rPr>
          <w:rFonts w:ascii="Times New Roman" w:hAnsi="Times New Roman"/>
          <w:i/>
          <w:sz w:val="24"/>
        </w:rPr>
        <w:t>E. coli</w:t>
      </w:r>
      <w:r>
        <w:rPr>
          <w:rFonts w:ascii="Times New Roman" w:hAnsi="Times New Roman"/>
          <w:sz w:val="24"/>
        </w:rPr>
        <w:t xml:space="preserve">, nor has there been any measurement of how often researchers justify this selection in peer-reviewed publications. The scientific community has accepted the model status of </w:t>
      </w:r>
      <w:r>
        <w:rPr>
          <w:rFonts w:ascii="Times New Roman" w:hAnsi="Times New Roman"/>
          <w:i/>
          <w:sz w:val="24"/>
        </w:rPr>
        <w:t>E. coli</w:t>
      </w:r>
      <w:r>
        <w:rPr>
          <w:rFonts w:ascii="Times New Roman" w:hAnsi="Times New Roman"/>
          <w:sz w:val="24"/>
        </w:rPr>
        <w:t xml:space="preserve"> as an implicit paradigm, leaving an empirical gap in the understanding of how model organisms are validated and institutionalized in scientific practice.</w:t>
      </w:r>
    </w:p>
    <w:p>
      <w:pPr>
        <w:pStyle w:val="Heading2"/>
      </w:pPr>
      <w:r>
        <w:t>2.3 LLM-Augmented Literature Mining and Computational Epistemology</w:t>
      </w:r>
    </w:p>
    <w:p>
      <w:pPr>
        <w:spacing w:after="120"/>
        <w:ind w:firstLine="0"/>
      </w:pPr>
      <w:r>
        <w:rPr>
          <w:rFonts w:ascii="Times New Roman" w:hAnsi="Times New Roman"/>
          <w:sz w:val="24"/>
        </w:rPr>
        <w:t xml:space="preserve">This study addresses this gap by applying computational literature-mining and natural language processing (NLP) to map the epistemology of model microorganisms. Analyzing thousands of peer-reviewed scientific papers manually to extract qualitative arguments is resource-prohibitive. Traditional keyword-matching methods fail to capture the nuanced context of scientific rationales, often conflating methodological mentions of an organism (e.g., using </w:t>
      </w:r>
      <w:r>
        <w:rPr>
          <w:rFonts w:ascii="Times New Roman" w:hAnsi="Times New Roman"/>
          <w:i/>
          <w:sz w:val="24"/>
        </w:rPr>
        <w:t>E. coli</w:t>
      </w:r>
      <w:r>
        <w:rPr>
          <w:rFonts w:ascii="Times New Roman" w:hAnsi="Times New Roman"/>
          <w:sz w:val="24"/>
        </w:rPr>
        <w:t xml:space="preserve"> as a routine cloning tool) with its use as the central biological model under study.</w:t>
      </w:r>
    </w:p>
    <w:p>
      <w:pPr>
        <w:spacing w:after="120"/>
        <w:ind w:firstLine="0"/>
      </w:pPr>
      <w:r>
        <w:rPr>
          <w:rFonts w:ascii="Times New Roman" w:hAnsi="Times New Roman"/>
          <w:sz w:val="24"/>
        </w:rPr>
        <w:t xml:space="preserve">To overcome these limitations, recent advances in large language models (LLMs) and dense sentence embeddings are leveraged. By utilizing the </w:t>
      </w:r>
      <w:r>
        <w:rPr>
          <w:rFonts w:ascii="Times New Roman" w:hAnsi="Times New Roman"/>
          <w:b/>
          <w:sz w:val="24"/>
        </w:rPr>
        <w:t>gpt-oss-120b</w:t>
      </w:r>
      <w:r>
        <w:rPr>
          <w:rFonts w:ascii="Times New Roman" w:hAnsi="Times New Roman"/>
          <w:sz w:val="24"/>
        </w:rPr>
        <w:t xml:space="preserve"> model running on the </w:t>
      </w:r>
      <w:r>
        <w:rPr>
          <w:rFonts w:ascii="Times New Roman" w:hAnsi="Times New Roman"/>
          <w:b/>
          <w:sz w:val="24"/>
        </w:rPr>
        <w:t>Cerebras Inference API</w:t>
      </w:r>
      <w:r>
        <w:rPr>
          <w:rFonts w:ascii="Times New Roman" w:hAnsi="Times New Roman"/>
          <w:sz w:val="24"/>
        </w:rPr>
        <w:t>, high-fidelity, zero-shot structured extraction of justifications is executed directly from publication abstracts with robust validation mechanisms. Combining this LLM-based claim extraction with transformer-based sentence embeddings (</w:t>
      </w:r>
      <w:r>
        <w:rPr>
          <w:rFonts w:ascii="Times New Roman" w:hAnsi="Times New Roman"/>
          <w:i/>
          <w:sz w:val="22"/>
        </w:rPr>
        <w:t>pritamdeka/S-PubMedBert-MS-MARCO</w:t>
      </w:r>
      <w:r>
        <w:rPr>
          <w:rFonts w:ascii="Times New Roman" w:hAnsi="Times New Roman"/>
          <w:sz w:val="24"/>
        </w:rPr>
        <w:t>) and unsupervised density-based clustering (UMAP + HDBSCAN) allows the identification of the underlying thematic structure of scientific justifications at a scale previously impossible.</w:t>
      </w:r>
    </w:p>
    <w:p>
      <w:pPr>
        <w:pStyle w:val="Heading2"/>
      </w:pPr>
      <w:r>
        <w:t>2.4 Research Scope and Questions</w:t>
      </w:r>
    </w:p>
    <w:p>
      <w:pPr>
        <w:spacing w:after="120"/>
        <w:ind w:firstLine="0"/>
      </w:pPr>
      <w:r>
        <w:rPr>
          <w:rFonts w:ascii="Times New Roman" w:hAnsi="Times New Roman"/>
          <w:sz w:val="24"/>
        </w:rPr>
        <w:t xml:space="preserve">To contextualize </w:t>
      </w:r>
      <w:r>
        <w:rPr>
          <w:rFonts w:ascii="Times New Roman" w:hAnsi="Times New Roman"/>
          <w:i/>
          <w:sz w:val="24"/>
        </w:rPr>
        <w:t>E. coli</w:t>
      </w:r>
      <w:r>
        <w:rPr>
          <w:rFonts w:ascii="Times New Roman" w:hAnsi="Times New Roman"/>
          <w:sz w:val="24"/>
        </w:rPr>
        <w:t xml:space="preserve">'s premier status, a comparative framework is employed. </w:t>
      </w:r>
      <w:r>
        <w:rPr>
          <w:rFonts w:ascii="Times New Roman" w:hAnsi="Times New Roman"/>
          <w:i/>
          <w:sz w:val="24"/>
        </w:rPr>
        <w:t>E. coli</w:t>
      </w:r>
      <w:r>
        <w:rPr>
          <w:rFonts w:ascii="Times New Roman" w:hAnsi="Times New Roman"/>
          <w:sz w:val="24"/>
        </w:rPr>
        <w:t xml:space="preserve"> literature is analyzed alongside two major control microorganisms:</w:t>
      </w:r>
    </w:p>
    <w:p>
      <w:pPr>
        <w:spacing w:after="80" w:before="40"/>
        <w:ind w:left="720" w:hanging="357"/>
      </w:pPr>
      <w:r>
        <w:rPr>
          <w:rFonts w:ascii="Times New Roman" w:hAnsi="Times New Roman"/>
          <w:sz w:val="22"/>
        </w:rPr>
        <w:t xml:space="preserve">1.  </w:t>
      </w:r>
      <w:r>
        <w:rPr>
          <w:rFonts w:ascii="Times New Roman" w:hAnsi="Times New Roman"/>
          <w:b/>
          <w:sz w:val="22"/>
        </w:rPr>
        <w:t>*Saccharomyces cerevisiae</w:t>
      </w:r>
      <w:r>
        <w:rPr>
          <w:rFonts w:ascii="Times New Roman" w:hAnsi="Times New Roman"/>
          <w:sz w:val="22"/>
        </w:rPr>
        <w:t>*: The primary eukaryotic model microorganism, representing single-celled complexity, membrane-bound organelles, and eukaryotic gene regulation.</w:t>
      </w:r>
    </w:p>
    <w:p>
      <w:pPr>
        <w:spacing w:after="80" w:before="40"/>
        <w:ind w:left="720" w:hanging="357"/>
      </w:pPr>
      <w:r>
        <w:rPr>
          <w:rFonts w:ascii="Times New Roman" w:hAnsi="Times New Roman"/>
          <w:sz w:val="22"/>
        </w:rPr>
        <w:t xml:space="preserve">2.  </w:t>
      </w:r>
      <w:r>
        <w:rPr>
          <w:rFonts w:ascii="Times New Roman" w:hAnsi="Times New Roman"/>
          <w:b/>
          <w:sz w:val="22"/>
        </w:rPr>
        <w:t>*Bacillus subtilis</w:t>
      </w:r>
      <w:r>
        <w:rPr>
          <w:rFonts w:ascii="Times New Roman" w:hAnsi="Times New Roman"/>
          <w:sz w:val="22"/>
        </w:rPr>
        <w:t>*: The primary Gram-positive bacterial model organism, representing a distinct cell envelope architecture, sporulation genetics, and industrial secretory pathways.</w:t>
      </w:r>
    </w:p>
    <w:p>
      <w:pPr>
        <w:spacing w:after="120"/>
        <w:ind w:firstLine="0"/>
      </w:pPr>
      <w:r>
        <w:rPr>
          <w:rFonts w:ascii="Times New Roman" w:hAnsi="Times New Roman"/>
          <w:sz w:val="24"/>
        </w:rPr>
        <w:t xml:space="preserve">The text corpus comprises </w:t>
      </w:r>
      <w:r>
        <w:rPr>
          <w:rFonts w:ascii="Times New Roman" w:hAnsi="Times New Roman"/>
          <w:b/>
          <w:sz w:val="24"/>
        </w:rPr>
        <w:t>3,273 unique peer-reviewed papers</w:t>
      </w:r>
      <w:r>
        <w:rPr>
          <w:rFonts w:ascii="Times New Roman" w:hAnsi="Times New Roman"/>
          <w:sz w:val="24"/>
        </w:rPr>
        <w:t xml:space="preserve"> (2,051 </w:t>
      </w:r>
      <w:r>
        <w:rPr>
          <w:rFonts w:ascii="Times New Roman" w:hAnsi="Times New Roman"/>
          <w:i/>
          <w:sz w:val="24"/>
        </w:rPr>
        <w:t>E. coli</w:t>
      </w:r>
      <w:r>
        <w:rPr>
          <w:rFonts w:ascii="Times New Roman" w:hAnsi="Times New Roman"/>
          <w:sz w:val="24"/>
        </w:rPr>
        <w:t xml:space="preserve">, 950 </w:t>
      </w:r>
      <w:r>
        <w:rPr>
          <w:rFonts w:ascii="Times New Roman" w:hAnsi="Times New Roman"/>
          <w:i/>
          <w:sz w:val="24"/>
        </w:rPr>
        <w:t>S. cerevisiae</w:t>
      </w:r>
      <w:r>
        <w:rPr>
          <w:rFonts w:ascii="Times New Roman" w:hAnsi="Times New Roman"/>
          <w:sz w:val="24"/>
        </w:rPr>
        <w:t xml:space="preserve">, and 272 </w:t>
      </w:r>
      <w:r>
        <w:rPr>
          <w:rFonts w:ascii="Times New Roman" w:hAnsi="Times New Roman"/>
          <w:i/>
          <w:sz w:val="24"/>
        </w:rPr>
        <w:t>B. subtilis</w:t>
      </w:r>
      <w:r>
        <w:rPr>
          <w:rFonts w:ascii="Times New Roman" w:hAnsi="Times New Roman"/>
          <w:sz w:val="24"/>
        </w:rPr>
        <w:t>) published between 1990 and 2025. Through this computational comparative analysis, five primary research questions are addressed:</w:t>
      </w:r>
    </w:p>
    <w:p>
      <w:pPr>
        <w:spacing w:after="60" w:before="20"/>
        <w:ind w:left="720" w:hanging="283"/>
      </w:pPr>
      <w:r>
        <w:rPr>
          <w:rFonts w:ascii="Times New Roman" w:hAnsi="Times New Roman"/>
          <w:sz w:val="22"/>
        </w:rPr>
        <w:t xml:space="preserve">•  </w:t>
      </w:r>
      <w:r>
        <w:rPr>
          <w:rFonts w:ascii="Times New Roman" w:hAnsi="Times New Roman"/>
          <w:b/>
          <w:sz w:val="22"/>
        </w:rPr>
        <w:t>RQ1 — Primary:</w:t>
      </w:r>
      <w:r>
        <w:rPr>
          <w:rFonts w:ascii="Times New Roman" w:hAnsi="Times New Roman"/>
          <w:sz w:val="22"/>
        </w:rPr>
        <w:t xml:space="preserve"> Is </w:t>
      </w:r>
      <w:r>
        <w:rPr>
          <w:rFonts w:ascii="Times New Roman" w:hAnsi="Times New Roman"/>
          <w:i/>
          <w:sz w:val="22"/>
        </w:rPr>
        <w:t>Escherichia coli</w:t>
      </w:r>
      <w:r>
        <w:rPr>
          <w:rFonts w:ascii="Times New Roman" w:hAnsi="Times New Roman"/>
          <w:sz w:val="22"/>
        </w:rPr>
        <w:t>'s status as the premier model microorganism driven primarily by biological properties, or do economic, historical, and cultural factors play equally significant roles?</w:t>
      </w:r>
    </w:p>
    <w:p>
      <w:pPr>
        <w:spacing w:after="60" w:before="20"/>
        <w:ind w:left="720" w:hanging="283"/>
      </w:pPr>
      <w:r>
        <w:rPr>
          <w:rFonts w:ascii="Times New Roman" w:hAnsi="Times New Roman"/>
          <w:sz w:val="22"/>
        </w:rPr>
        <w:t xml:space="preserve">•  </w:t>
      </w:r>
      <w:r>
        <w:rPr>
          <w:rFonts w:ascii="Times New Roman" w:hAnsi="Times New Roman"/>
          <w:b/>
          <w:sz w:val="22"/>
        </w:rPr>
        <w:t>RQ2 — Clustering:</w:t>
      </w:r>
      <w:r>
        <w:rPr>
          <w:rFonts w:ascii="Times New Roman" w:hAnsi="Times New Roman"/>
          <w:sz w:val="22"/>
        </w:rPr>
        <w:t xml:space="preserve"> What are the principal thematic categories of scientific justification for </w:t>
      </w:r>
      <w:r>
        <w:rPr>
          <w:rFonts w:ascii="Times New Roman" w:hAnsi="Times New Roman"/>
          <w:i/>
          <w:sz w:val="22"/>
        </w:rPr>
        <w:t>E. coli</w:t>
      </w:r>
      <w:r>
        <w:rPr>
          <w:rFonts w:ascii="Times New Roman" w:hAnsi="Times New Roman"/>
          <w:sz w:val="22"/>
        </w:rPr>
        <w:t>'s premier model microorganism status as revealed by computational analysis of peer-reviewed literature?</w:t>
      </w:r>
    </w:p>
    <w:p>
      <w:pPr>
        <w:spacing w:after="60" w:before="20"/>
        <w:ind w:left="720" w:hanging="283"/>
      </w:pPr>
      <w:r>
        <w:rPr>
          <w:rFonts w:ascii="Times New Roman" w:hAnsi="Times New Roman"/>
          <w:sz w:val="22"/>
        </w:rPr>
        <w:t xml:space="preserve">•  </w:t>
      </w:r>
      <w:r>
        <w:rPr>
          <w:rFonts w:ascii="Times New Roman" w:hAnsi="Times New Roman"/>
          <w:b/>
          <w:sz w:val="22"/>
        </w:rPr>
        <w:t>RQ3 — Temporal:</w:t>
      </w:r>
      <w:r>
        <w:rPr>
          <w:rFonts w:ascii="Times New Roman" w:hAnsi="Times New Roman"/>
          <w:sz w:val="22"/>
        </w:rPr>
        <w:t xml:space="preserve"> Is </w:t>
      </w:r>
      <w:r>
        <w:rPr>
          <w:rFonts w:ascii="Times New Roman" w:hAnsi="Times New Roman"/>
          <w:i/>
          <w:sz w:val="22"/>
        </w:rPr>
        <w:t>Escherichia coli</w:t>
      </w:r>
      <w:r>
        <w:rPr>
          <w:rFonts w:ascii="Times New Roman" w:hAnsi="Times New Roman"/>
          <w:sz w:val="22"/>
        </w:rPr>
        <w:t xml:space="preserve"> still statistically the premier model microorganism in current scientific literature, or do emerging trends suggest a shift toward other microorganisms?</w:t>
      </w:r>
    </w:p>
    <w:p>
      <w:pPr>
        <w:spacing w:after="60" w:before="20"/>
        <w:ind w:left="720" w:hanging="283"/>
      </w:pPr>
      <w:r>
        <w:rPr>
          <w:rFonts w:ascii="Times New Roman" w:hAnsi="Times New Roman"/>
          <w:sz w:val="22"/>
        </w:rPr>
        <w:t xml:space="preserve">•  </w:t>
      </w:r>
      <w:r>
        <w:rPr>
          <w:rFonts w:ascii="Times New Roman" w:hAnsi="Times New Roman"/>
          <w:b/>
          <w:sz w:val="22"/>
        </w:rPr>
        <w:t>RQ4 — Comparative:</w:t>
      </w:r>
      <w:r>
        <w:rPr>
          <w:rFonts w:ascii="Times New Roman" w:hAnsi="Times New Roman"/>
          <w:sz w:val="22"/>
        </w:rPr>
        <w:t xml:space="preserve"> What properties uniquely distinguish </w:t>
      </w:r>
      <w:r>
        <w:rPr>
          <w:rFonts w:ascii="Times New Roman" w:hAnsi="Times New Roman"/>
          <w:i/>
          <w:sz w:val="22"/>
        </w:rPr>
        <w:t>E. coli</w:t>
      </w:r>
      <w:r>
        <w:rPr>
          <w:rFonts w:ascii="Times New Roman" w:hAnsi="Times New Roman"/>
          <w:sz w:val="22"/>
        </w:rPr>
        <w:t xml:space="preserve"> from </w:t>
      </w:r>
      <w:r>
        <w:rPr>
          <w:rFonts w:ascii="Times New Roman" w:hAnsi="Times New Roman"/>
          <w:i/>
          <w:sz w:val="22"/>
        </w:rPr>
        <w:t>S. cerevisiae</w:t>
      </w:r>
      <w:r>
        <w:rPr>
          <w:rFonts w:ascii="Times New Roman" w:hAnsi="Times New Roman"/>
          <w:sz w:val="22"/>
        </w:rPr>
        <w:t xml:space="preserve"> and </w:t>
      </w:r>
      <w:r>
        <w:rPr>
          <w:rFonts w:ascii="Times New Roman" w:hAnsi="Times New Roman"/>
          <w:i/>
          <w:sz w:val="22"/>
        </w:rPr>
        <w:t>B. subtilis</w:t>
      </w:r>
      <w:r>
        <w:rPr>
          <w:rFonts w:ascii="Times New Roman" w:hAnsi="Times New Roman"/>
          <w:sz w:val="22"/>
        </w:rPr>
        <w:t xml:space="preserve"> in the scientific literature, and how do these distinctions quantitatively support its premier standing?</w:t>
      </w:r>
    </w:p>
    <w:p>
      <w:pPr>
        <w:spacing w:after="60" w:before="20"/>
        <w:ind w:left="720" w:hanging="283"/>
      </w:pPr>
      <w:r>
        <w:rPr>
          <w:rFonts w:ascii="Times New Roman" w:hAnsi="Times New Roman"/>
          <w:sz w:val="22"/>
        </w:rPr>
        <w:t xml:space="preserve">•  </w:t>
      </w:r>
      <w:r>
        <w:rPr>
          <w:rFonts w:ascii="Times New Roman" w:hAnsi="Times New Roman"/>
          <w:b/>
          <w:sz w:val="22"/>
        </w:rPr>
        <w:t>RQ5 — Systems Biology:</w:t>
      </w:r>
      <w:r>
        <w:rPr>
          <w:rFonts w:ascii="Times New Roman" w:hAnsi="Times New Roman"/>
          <w:sz w:val="22"/>
        </w:rPr>
        <w:t xml:space="preserve"> To which biological systems and molecular pathways do the most frequently cited properties of </w:t>
      </w:r>
      <w:r>
        <w:rPr>
          <w:rFonts w:ascii="Times New Roman" w:hAnsi="Times New Roman"/>
          <w:i/>
          <w:sz w:val="22"/>
        </w:rPr>
        <w:t>E. coli</w:t>
      </w:r>
      <w:r>
        <w:rPr>
          <w:rFonts w:ascii="Times New Roman" w:hAnsi="Times New Roman"/>
          <w:sz w:val="22"/>
        </w:rPr>
        <w:t xml:space="preserve"> map, revealing its systemic tractability as a model microorganism?</w:t>
      </w:r>
    </w:p>
    <w:p>
      <w:r>
        <w:br w:type="page"/>
      </w:r>
    </w:p>
    <w:p>
      <w:pPr>
        <w:pStyle w:val="Heading1"/>
      </w:pPr>
      <w:r>
        <w:t>3. Methodology</w:t>
      </w:r>
    </w:p>
    <w:p>
      <w:pPr>
        <w:spacing w:after="120"/>
        <w:ind w:firstLine="0"/>
      </w:pPr>
      <w:r>
        <w:rPr>
          <w:rFonts w:ascii="Times New Roman" w:hAnsi="Times New Roman"/>
          <w:sz w:val="24"/>
        </w:rPr>
        <w:t>This study employs an LLM-augmented computational literature-mining and machine learning pipeline to analyze the scientific justifications driving the selection of model microorganisms. The methodology is executed in six distinct computational phases:</w:t>
      </w:r>
    </w:p>
    <w:p>
      <w:pPr>
        <w:spacing w:before="160" w:after="80"/>
        <w:jc w:val="center"/>
      </w:pPr>
    </w:p>
    <w:tbl>
      <w:tblPr>
        <w:tblW w:type="auto" w:w="0"/>
        <w:jc w:val="center"/>
        <w:tblLook w:firstColumn="1" w:firstRow="1" w:lastColumn="0" w:lastRow="0" w:noHBand="0" w:noVBand="1" w:val="04A0"/>
      </w:tblPr>
      <w:tblGrid>
        <w:gridCol w:w="8997"/>
      </w:tblGrid>
      <w:tr>
        <w:tc>
          <w:tcPr>
            <w:tcW w:type="dxa" w:w="6803"/>
            <w:shd w:fill="2E4057"/>
            <w:tcBorders>
              <w:top w:val="single" w:sz="4" w:space="0" w:color="2E4057"/>
              <w:left w:val="single" w:sz="4" w:space="0" w:color="2E4057"/>
              <w:bottom w:val="single" w:sz="4" w:space="0" w:color="2E4057"/>
              <w:right w:val="single" w:sz="4" w:space="0" w:color="2E4057"/>
            </w:tcBorders>
          </w:tcPr>
          <w:p>
            <w:pPr>
              <w:spacing w:before="80" w:after="80"/>
              <w:jc w:val="center"/>
            </w:pPr>
            <w:r/>
            <w:r>
              <w:rPr>
                <w:rFonts w:ascii="Times New Roman" w:hAnsi="Times New Roman"/>
                <w:b/>
                <w:color w:val="FFFFFF"/>
                <w:sz w:val="20"/>
              </w:rPr>
              <w:t>Phase 1: Dataset Construction</w:t>
            </w:r>
          </w:p>
        </w:tc>
      </w:tr>
      <w:tr>
        <w:tc>
          <w:tcPr>
            <w:tcW w:type="dxa" w:w="6803"/>
            <w:tcBorders>
              <w:top w:val="none" w:sz="0" w:space="0" w:color="auto"/>
              <w:left w:val="none" w:sz="0" w:space="0" w:color="auto"/>
              <w:bottom w:val="none" w:sz="0" w:space="0" w:color="auto"/>
              <w:right w:val="none" w:sz="0" w:space="0" w:color="auto"/>
            </w:tcBorders>
          </w:tcPr>
          <w:p>
            <w:pPr>
              <w:spacing w:before="0" w:after="0"/>
              <w:jc w:val="center"/>
            </w:pPr>
            <w:r/>
            <w:r>
              <w:rPr>
                <w:rFonts w:ascii="Times New Roman" w:hAnsi="Times New Roman"/>
                <w:color w:val="2E4057"/>
                <w:sz w:val="32"/>
              </w:rPr>
              <w:t>↓</w:t>
            </w:r>
          </w:p>
        </w:tc>
      </w:tr>
      <w:tr>
        <w:tc>
          <w:tcPr>
            <w:tcW w:type="dxa" w:w="6803"/>
            <w:shd w:fill="2E4057"/>
            <w:tcBorders>
              <w:top w:val="single" w:sz="4" w:space="0" w:color="2E4057"/>
              <w:left w:val="single" w:sz="4" w:space="0" w:color="2E4057"/>
              <w:bottom w:val="single" w:sz="4" w:space="0" w:color="2E4057"/>
              <w:right w:val="single" w:sz="4" w:space="0" w:color="2E4057"/>
            </w:tcBorders>
          </w:tcPr>
          <w:p>
            <w:pPr>
              <w:spacing w:before="80" w:after="80"/>
              <w:jc w:val="center"/>
            </w:pPr>
            <w:r/>
            <w:r>
              <w:rPr>
                <w:rFonts w:ascii="Times New Roman" w:hAnsi="Times New Roman"/>
                <w:b/>
                <w:color w:val="FFFFFF"/>
                <w:sz w:val="20"/>
              </w:rPr>
              <w:t>Phase 2: LLM Claim Extraction &amp; Cleaning</w:t>
            </w:r>
          </w:p>
        </w:tc>
      </w:tr>
      <w:tr>
        <w:tc>
          <w:tcPr>
            <w:tcW w:type="dxa" w:w="6803"/>
            <w:tcBorders>
              <w:top w:val="none" w:sz="0" w:space="0" w:color="auto"/>
              <w:left w:val="none" w:sz="0" w:space="0" w:color="auto"/>
              <w:bottom w:val="none" w:sz="0" w:space="0" w:color="auto"/>
              <w:right w:val="none" w:sz="0" w:space="0" w:color="auto"/>
            </w:tcBorders>
          </w:tcPr>
          <w:p>
            <w:pPr>
              <w:spacing w:before="0" w:after="0"/>
              <w:jc w:val="center"/>
            </w:pPr>
            <w:r/>
            <w:r>
              <w:rPr>
                <w:rFonts w:ascii="Times New Roman" w:hAnsi="Times New Roman"/>
                <w:color w:val="2E4057"/>
                <w:sz w:val="32"/>
              </w:rPr>
              <w:t>↓</w:t>
            </w:r>
          </w:p>
        </w:tc>
      </w:tr>
      <w:tr>
        <w:tc>
          <w:tcPr>
            <w:tcW w:type="dxa" w:w="6803"/>
            <w:shd w:fill="2E4057"/>
            <w:tcBorders>
              <w:top w:val="single" w:sz="4" w:space="0" w:color="2E4057"/>
              <w:left w:val="single" w:sz="4" w:space="0" w:color="2E4057"/>
              <w:bottom w:val="single" w:sz="4" w:space="0" w:color="2E4057"/>
              <w:right w:val="single" w:sz="4" w:space="0" w:color="2E4057"/>
            </w:tcBorders>
          </w:tcPr>
          <w:p>
            <w:pPr>
              <w:spacing w:before="80" w:after="80"/>
              <w:jc w:val="center"/>
            </w:pPr>
            <w:r/>
            <w:r>
              <w:rPr>
                <w:rFonts w:ascii="Times New Roman" w:hAnsi="Times New Roman"/>
                <w:b/>
                <w:color w:val="FFFFFF"/>
                <w:sz w:val="20"/>
              </w:rPr>
              <w:t>Phase 3: Semantic Embedding &amp; Clustering (UMAP + HDBSCAN)</w:t>
            </w:r>
          </w:p>
        </w:tc>
      </w:tr>
      <w:tr>
        <w:tc>
          <w:tcPr>
            <w:tcW w:type="dxa" w:w="6803"/>
            <w:tcBorders>
              <w:top w:val="none" w:sz="0" w:space="0" w:color="auto"/>
              <w:left w:val="none" w:sz="0" w:space="0" w:color="auto"/>
              <w:bottom w:val="none" w:sz="0" w:space="0" w:color="auto"/>
              <w:right w:val="none" w:sz="0" w:space="0" w:color="auto"/>
            </w:tcBorders>
          </w:tcPr>
          <w:p>
            <w:pPr>
              <w:spacing w:before="0" w:after="0"/>
              <w:jc w:val="center"/>
            </w:pPr>
            <w:r/>
            <w:r>
              <w:rPr>
                <w:rFonts w:ascii="Times New Roman" w:hAnsi="Times New Roman"/>
                <w:color w:val="2E4057"/>
                <w:sz w:val="32"/>
              </w:rPr>
              <w:t>↓</w:t>
            </w:r>
          </w:p>
        </w:tc>
      </w:tr>
      <w:tr>
        <w:tc>
          <w:tcPr>
            <w:tcW w:type="dxa" w:w="6803"/>
            <w:shd w:fill="2E4057"/>
            <w:tcBorders>
              <w:top w:val="single" w:sz="4" w:space="0" w:color="2E4057"/>
              <w:left w:val="single" w:sz="4" w:space="0" w:color="2E4057"/>
              <w:bottom w:val="single" w:sz="4" w:space="0" w:color="2E4057"/>
              <w:right w:val="single" w:sz="4" w:space="0" w:color="2E4057"/>
            </w:tcBorders>
          </w:tcPr>
          <w:p>
            <w:pPr>
              <w:spacing w:before="80" w:after="80"/>
              <w:jc w:val="center"/>
            </w:pPr>
            <w:r/>
            <w:r>
              <w:rPr>
                <w:rFonts w:ascii="Times New Roman" w:hAnsi="Times New Roman"/>
                <w:b/>
                <w:color w:val="FFFFFF"/>
                <w:sz w:val="20"/>
              </w:rPr>
              <w:t>Phase 4: Biological Pathway Database Mapping (KEGG + EcoCyc)</w:t>
            </w:r>
          </w:p>
        </w:tc>
      </w:tr>
      <w:tr>
        <w:tc>
          <w:tcPr>
            <w:tcW w:type="dxa" w:w="6803"/>
            <w:tcBorders>
              <w:top w:val="none" w:sz="0" w:space="0" w:color="auto"/>
              <w:left w:val="none" w:sz="0" w:space="0" w:color="auto"/>
              <w:bottom w:val="none" w:sz="0" w:space="0" w:color="auto"/>
              <w:right w:val="none" w:sz="0" w:space="0" w:color="auto"/>
            </w:tcBorders>
          </w:tcPr>
          <w:p>
            <w:pPr>
              <w:spacing w:before="0" w:after="0"/>
              <w:jc w:val="center"/>
            </w:pPr>
            <w:r/>
            <w:r>
              <w:rPr>
                <w:rFonts w:ascii="Times New Roman" w:hAnsi="Times New Roman"/>
                <w:color w:val="2E4057"/>
                <w:sz w:val="32"/>
              </w:rPr>
              <w:t>↓</w:t>
            </w:r>
          </w:p>
        </w:tc>
      </w:tr>
      <w:tr>
        <w:tc>
          <w:tcPr>
            <w:tcW w:type="dxa" w:w="6803"/>
            <w:shd w:fill="2E4057"/>
            <w:tcBorders>
              <w:top w:val="single" w:sz="4" w:space="0" w:color="2E4057"/>
              <w:left w:val="single" w:sz="4" w:space="0" w:color="2E4057"/>
              <w:bottom w:val="single" w:sz="4" w:space="0" w:color="2E4057"/>
              <w:right w:val="single" w:sz="4" w:space="0" w:color="2E4057"/>
            </w:tcBorders>
          </w:tcPr>
          <w:p>
            <w:pPr>
              <w:spacing w:before="80" w:after="80"/>
              <w:jc w:val="center"/>
            </w:pPr>
            <w:r/>
            <w:r>
              <w:rPr>
                <w:rFonts w:ascii="Times New Roman" w:hAnsi="Times New Roman"/>
                <w:b/>
                <w:color w:val="FFFFFF"/>
                <w:sz w:val="20"/>
              </w:rPr>
              <w:t>Phase 5: Temporal Trend Analysis (1990–2025)</w:t>
            </w:r>
          </w:p>
        </w:tc>
      </w:tr>
      <w:tr>
        <w:tc>
          <w:tcPr>
            <w:tcW w:type="dxa" w:w="6803"/>
            <w:tcBorders>
              <w:top w:val="none" w:sz="0" w:space="0" w:color="auto"/>
              <w:left w:val="none" w:sz="0" w:space="0" w:color="auto"/>
              <w:bottom w:val="none" w:sz="0" w:space="0" w:color="auto"/>
              <w:right w:val="none" w:sz="0" w:space="0" w:color="auto"/>
            </w:tcBorders>
          </w:tcPr>
          <w:p>
            <w:pPr>
              <w:spacing w:before="0" w:after="0"/>
              <w:jc w:val="center"/>
            </w:pPr>
            <w:r/>
            <w:r>
              <w:rPr>
                <w:rFonts w:ascii="Times New Roman" w:hAnsi="Times New Roman"/>
                <w:color w:val="2E4057"/>
                <w:sz w:val="32"/>
              </w:rPr>
              <w:t>↓</w:t>
            </w:r>
          </w:p>
        </w:tc>
      </w:tr>
      <w:tr>
        <w:tc>
          <w:tcPr>
            <w:tcW w:type="dxa" w:w="6803"/>
            <w:shd w:fill="2E4057"/>
            <w:tcBorders>
              <w:top w:val="single" w:sz="4" w:space="0" w:color="2E4057"/>
              <w:left w:val="single" w:sz="4" w:space="0" w:color="2E4057"/>
              <w:bottom w:val="single" w:sz="4" w:space="0" w:color="2E4057"/>
              <w:right w:val="single" w:sz="4" w:space="0" w:color="2E4057"/>
            </w:tcBorders>
          </w:tcPr>
          <w:p>
            <w:pPr>
              <w:spacing w:before="80" w:after="80"/>
              <w:jc w:val="center"/>
            </w:pPr>
            <w:r/>
            <w:r>
              <w:rPr>
                <w:rFonts w:ascii="Times New Roman" w:hAnsi="Times New Roman"/>
                <w:b/>
                <w:color w:val="FFFFFF"/>
                <w:sz w:val="20"/>
              </w:rPr>
              <w:t>Phase 6: Cross-Organism Comparative Profile Analysis</w:t>
            </w:r>
          </w:p>
        </w:tc>
      </w:tr>
    </w:tbl>
    <w:p>
      <w:pPr>
        <w:spacing w:after="120"/>
      </w:pPr>
    </w:p>
    <w:p>
      <w:pPr>
        <w:pStyle w:val="Heading2"/>
      </w:pPr>
      <w:r>
        <w:t>3.1 Phase 1: Dataset Construction</w:t>
      </w:r>
    </w:p>
    <w:p>
      <w:pPr>
        <w:spacing w:after="120"/>
        <w:ind w:firstLine="0"/>
      </w:pPr>
      <w:r>
        <w:rPr>
          <w:rFonts w:ascii="Times New Roman" w:hAnsi="Times New Roman"/>
          <w:sz w:val="24"/>
        </w:rPr>
        <w:t>Scientific paper abstracts and metadata were retrieved from the NCBI PubMed database using the Biopython Entrez API. The search was scoped to peer-reviewed journal articles published in English between January 1, 1990, and December 31, 2025.</w:t>
      </w:r>
    </w:p>
    <w:p>
      <w:pPr>
        <w:spacing w:after="120"/>
        <w:ind w:firstLine="0"/>
      </w:pPr>
      <w:r>
        <w:rPr>
          <w:rFonts w:ascii="Times New Roman" w:hAnsi="Times New Roman"/>
          <w:sz w:val="24"/>
        </w:rPr>
        <w:t xml:space="preserve">To collect literature where organisms are explicitly used as model systems, seven Boolean search queries were designed. Five queries targeted the primary subject </w:t>
      </w:r>
      <w:r>
        <w:rPr>
          <w:rFonts w:ascii="Times New Roman" w:hAnsi="Times New Roman"/>
          <w:i/>
          <w:sz w:val="24"/>
        </w:rPr>
        <w:t>Escherichia coli</w:t>
      </w:r>
      <w:r>
        <w:rPr>
          <w:rFonts w:ascii="Times New Roman" w:hAnsi="Times New Roman"/>
          <w:sz w:val="24"/>
        </w:rPr>
        <w:t xml:space="preserve">, and one query each targeted the eukaryotic comparison organism </w:t>
      </w:r>
      <w:r>
        <w:rPr>
          <w:rFonts w:ascii="Times New Roman" w:hAnsi="Times New Roman"/>
          <w:i/>
          <w:sz w:val="24"/>
        </w:rPr>
        <w:t>Saccharomyces cerevisiae</w:t>
      </w:r>
      <w:r>
        <w:rPr>
          <w:rFonts w:ascii="Times New Roman" w:hAnsi="Times New Roman"/>
          <w:sz w:val="24"/>
        </w:rPr>
        <w:t xml:space="preserve"> and the Gram-positive bacterial comparison organism </w:t>
      </w:r>
      <w:r>
        <w:rPr>
          <w:rFonts w:ascii="Times New Roman" w:hAnsi="Times New Roman"/>
          <w:i/>
          <w:sz w:val="24"/>
        </w:rPr>
        <w:t>Bacillus subtilis</w:t>
      </w:r>
      <w:r>
        <w:rPr>
          <w:rFonts w:ascii="Times New Roman" w:hAnsi="Times New Roman"/>
          <w:sz w:val="24"/>
        </w:rPr>
        <w:t>:</w:t>
      </w:r>
    </w:p>
    <w:p>
      <w:pPr>
        <w:spacing w:after="60" w:before="20"/>
        <w:ind w:left="720" w:hanging="283"/>
      </w:pPr>
      <w:r>
        <w:rPr>
          <w:rFonts w:ascii="Times New Roman" w:hAnsi="Times New Roman"/>
          <w:sz w:val="22"/>
        </w:rPr>
        <w:t xml:space="preserve">•  </w:t>
      </w:r>
      <w:r>
        <w:rPr>
          <w:rFonts w:ascii="Times New Roman" w:hAnsi="Times New Roman"/>
          <w:b/>
          <w:sz w:val="22"/>
        </w:rPr>
        <w:t>E. coli Queries:</w:t>
      </w:r>
    </w:p>
    <w:p>
      <w:pPr>
        <w:spacing w:after="80" w:before="40"/>
        <w:ind w:left="720" w:hanging="357"/>
      </w:pPr>
      <w:r>
        <w:rPr>
          <w:rFonts w:ascii="Times New Roman" w:hAnsi="Times New Roman"/>
          <w:sz w:val="22"/>
        </w:rPr>
        <w:t xml:space="preserve">1.  </w:t>
      </w:r>
      <w:r>
        <w:rPr>
          <w:rFonts w:ascii="Times New Roman" w:hAnsi="Times New Roman"/>
          <w:i/>
          <w:sz w:val="22"/>
        </w:rPr>
        <w:t>("Escherichia coli"[Title/Abstract] AND "model organism"[Title/Abstract])</w:t>
      </w:r>
    </w:p>
    <w:p>
      <w:pPr>
        <w:spacing w:after="80" w:before="40"/>
        <w:ind w:left="720" w:hanging="357"/>
      </w:pPr>
      <w:r>
        <w:rPr>
          <w:rFonts w:ascii="Times New Roman" w:hAnsi="Times New Roman"/>
          <w:sz w:val="22"/>
        </w:rPr>
        <w:t xml:space="preserve">2.  </w:t>
      </w:r>
      <w:r>
        <w:rPr>
          <w:rFonts w:ascii="Times New Roman" w:hAnsi="Times New Roman"/>
          <w:i/>
          <w:sz w:val="22"/>
        </w:rPr>
        <w:t>("Escherichia coli"[Title/Abstract] AND "model system"[Title/Abstract])</w:t>
      </w:r>
    </w:p>
    <w:p>
      <w:pPr>
        <w:spacing w:after="80" w:before="40"/>
        <w:ind w:left="720" w:hanging="357"/>
      </w:pPr>
      <w:r>
        <w:rPr>
          <w:rFonts w:ascii="Times New Roman" w:hAnsi="Times New Roman"/>
          <w:sz w:val="22"/>
        </w:rPr>
        <w:t xml:space="preserve">3.  </w:t>
      </w:r>
      <w:r>
        <w:rPr>
          <w:rFonts w:ascii="Times New Roman" w:hAnsi="Times New Roman"/>
          <w:i/>
          <w:sz w:val="22"/>
        </w:rPr>
        <w:t>("E. coli"[Title/Abstract] AND "model organism"[Title/Abstract])</w:t>
      </w:r>
    </w:p>
    <w:p>
      <w:pPr>
        <w:spacing w:after="80" w:before="40"/>
        <w:ind w:left="720" w:hanging="357"/>
      </w:pPr>
      <w:r>
        <w:rPr>
          <w:rFonts w:ascii="Times New Roman" w:hAnsi="Times New Roman"/>
          <w:sz w:val="22"/>
        </w:rPr>
        <w:t xml:space="preserve">4.  </w:t>
      </w:r>
      <w:r>
        <w:rPr>
          <w:rFonts w:ascii="Times New Roman" w:hAnsi="Times New Roman"/>
          <w:i/>
          <w:sz w:val="22"/>
        </w:rPr>
        <w:t>("Escherichia coli"[Title/Abstract] AND "model bacterium"[Title/Abstract])</w:t>
      </w:r>
    </w:p>
    <w:p>
      <w:pPr>
        <w:spacing w:after="80" w:before="40"/>
        <w:ind w:left="720" w:hanging="357"/>
      </w:pPr>
      <w:r>
        <w:rPr>
          <w:rFonts w:ascii="Times New Roman" w:hAnsi="Times New Roman"/>
          <w:sz w:val="22"/>
        </w:rPr>
        <w:t xml:space="preserve">5.  </w:t>
      </w:r>
      <w:r>
        <w:rPr>
          <w:rFonts w:ascii="Times New Roman" w:hAnsi="Times New Roman"/>
          <w:i/>
          <w:sz w:val="22"/>
        </w:rPr>
        <w:t>("Escherichia coli"[Title/Abstract] AND "reference organism"[Title/Abstract])</w:t>
      </w:r>
    </w:p>
    <w:p>
      <w:pPr>
        <w:spacing w:after="60" w:before="20"/>
        <w:ind w:left="720" w:hanging="283"/>
      </w:pPr>
      <w:r>
        <w:rPr>
          <w:rFonts w:ascii="Times New Roman" w:hAnsi="Times New Roman"/>
          <w:sz w:val="22"/>
        </w:rPr>
        <w:t xml:space="preserve">•  </w:t>
      </w:r>
      <w:r>
        <w:rPr>
          <w:rFonts w:ascii="Times New Roman" w:hAnsi="Times New Roman"/>
          <w:b/>
          <w:sz w:val="22"/>
        </w:rPr>
        <w:t>S. cerevisiae Query:</w:t>
      </w:r>
    </w:p>
    <w:p>
      <w:pPr>
        <w:spacing w:after="80" w:before="40"/>
        <w:ind w:left="720" w:hanging="357"/>
      </w:pPr>
      <w:r>
        <w:rPr>
          <w:rFonts w:ascii="Times New Roman" w:hAnsi="Times New Roman"/>
          <w:sz w:val="22"/>
        </w:rPr>
        <w:t xml:space="preserve">6.  </w:t>
      </w:r>
      <w:r>
        <w:rPr>
          <w:rFonts w:ascii="Times New Roman" w:hAnsi="Times New Roman"/>
          <w:i/>
          <w:sz w:val="22"/>
        </w:rPr>
        <w:t>("Saccharomyces cerevisiae"[Title/Abstract] AND "model organism"[Title/Abstract])</w:t>
      </w:r>
    </w:p>
    <w:p>
      <w:pPr>
        <w:spacing w:after="60" w:before="20"/>
        <w:ind w:left="720" w:hanging="283"/>
      </w:pPr>
      <w:r>
        <w:rPr>
          <w:rFonts w:ascii="Times New Roman" w:hAnsi="Times New Roman"/>
          <w:sz w:val="22"/>
        </w:rPr>
        <w:t xml:space="preserve">•  </w:t>
      </w:r>
      <w:r>
        <w:rPr>
          <w:rFonts w:ascii="Times New Roman" w:hAnsi="Times New Roman"/>
          <w:b/>
          <w:sz w:val="22"/>
        </w:rPr>
        <w:t>B. subtilis Query:</w:t>
      </w:r>
    </w:p>
    <w:p>
      <w:pPr>
        <w:spacing w:after="80" w:before="40"/>
        <w:ind w:left="720" w:hanging="357"/>
      </w:pPr>
      <w:r>
        <w:rPr>
          <w:rFonts w:ascii="Times New Roman" w:hAnsi="Times New Roman"/>
          <w:sz w:val="22"/>
        </w:rPr>
        <w:t xml:space="preserve">7.  </w:t>
      </w:r>
      <w:r>
        <w:rPr>
          <w:rFonts w:ascii="Times New Roman" w:hAnsi="Times New Roman"/>
          <w:i/>
          <w:sz w:val="22"/>
        </w:rPr>
        <w:t>("Bacillus subtilis"[Title/Abstract] AND "model organism"[Title/Abstract])</w:t>
      </w:r>
    </w:p>
    <w:p>
      <w:pPr>
        <w:spacing w:after="120"/>
        <w:ind w:firstLine="0"/>
      </w:pPr>
      <w:r>
        <w:rPr>
          <w:rFonts w:ascii="Times New Roman" w:hAnsi="Times New Roman"/>
          <w:sz w:val="24"/>
        </w:rPr>
        <w:t xml:space="preserve">All retrieved records were deduplicated across search queries using their PubMed ID (PMID). Records lacking abstract texts or containing abstracts shorter than 30 characters were discarded. The final curated corpus consisted of </w:t>
      </w:r>
      <w:r>
        <w:rPr>
          <w:rFonts w:ascii="Times New Roman" w:hAnsi="Times New Roman"/>
          <w:b/>
          <w:sz w:val="24"/>
        </w:rPr>
        <w:t>3,273 unique papers</w:t>
      </w:r>
      <w:r>
        <w:rPr>
          <w:rFonts w:ascii="Times New Roman" w:hAnsi="Times New Roman"/>
          <w:sz w:val="24"/>
        </w:rPr>
        <w:t xml:space="preserve"> (2,051 </w:t>
      </w:r>
      <w:r>
        <w:rPr>
          <w:rFonts w:ascii="Times New Roman" w:hAnsi="Times New Roman"/>
          <w:i/>
          <w:sz w:val="24"/>
        </w:rPr>
        <w:t>E. coli</w:t>
      </w:r>
      <w:r>
        <w:rPr>
          <w:rFonts w:ascii="Times New Roman" w:hAnsi="Times New Roman"/>
          <w:sz w:val="24"/>
        </w:rPr>
        <w:t xml:space="preserve"> papers, 950 </w:t>
      </w:r>
      <w:r>
        <w:rPr>
          <w:rFonts w:ascii="Times New Roman" w:hAnsi="Times New Roman"/>
          <w:i/>
          <w:sz w:val="24"/>
        </w:rPr>
        <w:t>S. cerevisiae</w:t>
      </w:r>
      <w:r>
        <w:rPr>
          <w:rFonts w:ascii="Times New Roman" w:hAnsi="Times New Roman"/>
          <w:sz w:val="24"/>
        </w:rPr>
        <w:t xml:space="preserve"> papers, and 272 </w:t>
      </w:r>
      <w:r>
        <w:rPr>
          <w:rFonts w:ascii="Times New Roman" w:hAnsi="Times New Roman"/>
          <w:i/>
          <w:sz w:val="24"/>
        </w:rPr>
        <w:t>B. subtilis</w:t>
      </w:r>
      <w:r>
        <w:rPr>
          <w:rFonts w:ascii="Times New Roman" w:hAnsi="Times New Roman"/>
          <w:sz w:val="24"/>
        </w:rPr>
        <w:t xml:space="preserve"> papers).</w:t>
      </w:r>
    </w:p>
    <w:p>
      <w:pPr>
        <w:spacing w:after="120"/>
        <w:ind w:firstLine="0"/>
      </w:pPr>
      <w:r>
        <w:rPr>
          <w:rFonts w:ascii="Times New Roman" w:hAnsi="Times New Roman"/>
          <w:sz w:val="24"/>
        </w:rPr>
        <w:t xml:space="preserve">Importantly, the search queries were pre-filtered to retrieve only those papers that explicitly contain keywords related to the organism's model status (e.g., "model organism", "model system", "model bacterium", "reference organism") within their titles or abstracts. This represents a deliberate methodological design choice: rather than studying the general literature where </w:t>
      </w:r>
      <w:r>
        <w:rPr>
          <w:rFonts w:ascii="Times New Roman" w:hAnsi="Times New Roman"/>
          <w:i/>
          <w:sz w:val="24"/>
        </w:rPr>
        <w:t>E. coli</w:t>
      </w:r>
      <w:r>
        <w:rPr>
          <w:rFonts w:ascii="Times New Roman" w:hAnsi="Times New Roman"/>
          <w:sz w:val="24"/>
        </w:rPr>
        <w:t xml:space="preserve"> is often used as a routine background tool, this design specifically isolates papers that </w:t>
      </w:r>
      <w:r>
        <w:rPr>
          <w:rFonts w:ascii="Times New Roman" w:hAnsi="Times New Roman"/>
          <w:i/>
          <w:sz w:val="24"/>
        </w:rPr>
        <w:t>actively invoke</w:t>
      </w:r>
      <w:r>
        <w:rPr>
          <w:rFonts w:ascii="Times New Roman" w:hAnsi="Times New Roman"/>
          <w:sz w:val="24"/>
        </w:rPr>
        <w:t xml:space="preserve"> the model status of the organism. Consequently, the justification rate measured in Phase 2 does not represent the general rate of justification across all biology papers, but rather a more robust finding: even when researchers explicitly label </w:t>
      </w:r>
      <w:r>
        <w:rPr>
          <w:rFonts w:ascii="Times New Roman" w:hAnsi="Times New Roman"/>
          <w:i/>
          <w:sz w:val="24"/>
        </w:rPr>
        <w:t>E. coli</w:t>
      </w:r>
      <w:r>
        <w:rPr>
          <w:rFonts w:ascii="Times New Roman" w:hAnsi="Times New Roman"/>
          <w:sz w:val="24"/>
        </w:rPr>
        <w:t xml:space="preserve"> as a model system in their abstract, nearly two-thirds (61.6%) still decline to provide any biological or technical justification for its selection.</w:t>
      </w:r>
    </w:p>
    <w:p>
      <w:pPr>
        <w:pStyle w:val="Heading2"/>
      </w:pPr>
      <w:r>
        <w:t>3.2 Phase 2: LLM-Driven Claim Extraction &amp; Cleaning</w:t>
      </w:r>
    </w:p>
    <w:p>
      <w:pPr>
        <w:spacing w:after="120"/>
        <w:ind w:firstLine="0"/>
      </w:pPr>
      <w:r>
        <w:rPr>
          <w:rFonts w:ascii="Times New Roman" w:hAnsi="Times New Roman"/>
          <w:sz w:val="24"/>
        </w:rPr>
        <w:t>To isolate the specific justifications scientists give for using their chosen model organism, an LLM extraction pipeline was built using the gpt-oss-120b model queried via the Cerebras Inference API.</w:t>
      </w:r>
    </w:p>
    <w:p>
      <w:pPr>
        <w:pStyle w:val="Heading3"/>
      </w:pPr>
      <w:r>
        <w:t>3.2.1 Extraction Schema and Prompting</w:t>
      </w:r>
    </w:p>
    <w:p>
      <w:pPr>
        <w:spacing w:after="120"/>
        <w:ind w:firstLine="0"/>
      </w:pPr>
      <w:r>
        <w:rPr>
          <w:rFonts w:ascii="Times New Roman" w:hAnsi="Times New Roman"/>
          <w:sz w:val="24"/>
        </w:rPr>
        <w:t>Each abstract in the corpus was processed individually. The model was instructed to return a structured JSON object strictly matching the following schema:</w:t>
      </w:r>
    </w:p>
    <w:p>
      <w:pPr>
        <w:spacing w:after="60" w:before="20"/>
        <w:ind w:left="720" w:hanging="283"/>
      </w:pPr>
      <w:r>
        <w:rPr>
          <w:rFonts w:ascii="Times New Roman" w:hAnsi="Times New Roman"/>
          <w:sz w:val="22"/>
        </w:rPr>
        <w:t xml:space="preserve">•  </w:t>
      </w:r>
      <w:r>
        <w:rPr>
          <w:rFonts w:ascii="Times New Roman" w:hAnsi="Times New Roman"/>
          <w:i/>
          <w:sz w:val="22"/>
        </w:rPr>
        <w:t>explicit_reason_found</w:t>
      </w:r>
      <w:r>
        <w:rPr>
          <w:rFonts w:ascii="Times New Roman" w:hAnsi="Times New Roman"/>
          <w:sz w:val="22"/>
        </w:rPr>
        <w:t xml:space="preserve"> (boolean): </w:t>
      </w:r>
      <w:r>
        <w:rPr>
          <w:rFonts w:ascii="Times New Roman" w:hAnsi="Times New Roman"/>
          <w:i/>
          <w:sz w:val="22"/>
        </w:rPr>
        <w:t>true</w:t>
      </w:r>
      <w:r>
        <w:rPr>
          <w:rFonts w:ascii="Times New Roman" w:hAnsi="Times New Roman"/>
          <w:sz w:val="22"/>
        </w:rPr>
        <w:t xml:space="preserve"> if the abstract explicitly states a reason/justification for using the organism; </w:t>
      </w:r>
      <w:r>
        <w:rPr>
          <w:rFonts w:ascii="Times New Roman" w:hAnsi="Times New Roman"/>
          <w:i/>
          <w:sz w:val="22"/>
        </w:rPr>
        <w:t>false</w:t>
      </w:r>
      <w:r>
        <w:rPr>
          <w:rFonts w:ascii="Times New Roman" w:hAnsi="Times New Roman"/>
          <w:sz w:val="22"/>
        </w:rPr>
        <w:t xml:space="preserve"> otherwise.</w:t>
      </w:r>
    </w:p>
    <w:p>
      <w:pPr>
        <w:spacing w:after="60" w:before="20"/>
        <w:ind w:left="720" w:hanging="283"/>
      </w:pPr>
      <w:r>
        <w:rPr>
          <w:rFonts w:ascii="Times New Roman" w:hAnsi="Times New Roman"/>
          <w:sz w:val="22"/>
        </w:rPr>
        <w:t xml:space="preserve">•  </w:t>
      </w:r>
      <w:r>
        <w:rPr>
          <w:rFonts w:ascii="Times New Roman" w:hAnsi="Times New Roman"/>
          <w:i/>
          <w:sz w:val="22"/>
        </w:rPr>
        <w:t>justification_claims</w:t>
      </w:r>
      <w:r>
        <w:rPr>
          <w:rFonts w:ascii="Times New Roman" w:hAnsi="Times New Roman"/>
          <w:sz w:val="22"/>
        </w:rPr>
        <w:t xml:space="preserve"> (array of objects): Contains the extracted </w:t>
      </w:r>
      <w:r>
        <w:rPr>
          <w:rFonts w:ascii="Times New Roman" w:hAnsi="Times New Roman"/>
          <w:i/>
          <w:sz w:val="22"/>
        </w:rPr>
        <w:t>claim</w:t>
      </w:r>
      <w:r>
        <w:rPr>
          <w:rFonts w:ascii="Times New Roman" w:hAnsi="Times New Roman"/>
          <w:sz w:val="22"/>
        </w:rPr>
        <w:t xml:space="preserve"> (paraphrased), </w:t>
      </w:r>
      <w:r>
        <w:rPr>
          <w:rFonts w:ascii="Times New Roman" w:hAnsi="Times New Roman"/>
          <w:i/>
          <w:sz w:val="22"/>
        </w:rPr>
        <w:t>category</w:t>
      </w:r>
      <w:r>
        <w:rPr>
          <w:rFonts w:ascii="Times New Roman" w:hAnsi="Times New Roman"/>
          <w:sz w:val="22"/>
        </w:rPr>
        <w:t xml:space="preserve"> (constrained to </w:t>
      </w:r>
      <w:r>
        <w:rPr>
          <w:rFonts w:ascii="Times New Roman" w:hAnsi="Times New Roman"/>
          <w:i/>
          <w:sz w:val="22"/>
        </w:rPr>
        <w:t>biological</w:t>
      </w:r>
      <w:r>
        <w:rPr>
          <w:rFonts w:ascii="Times New Roman" w:hAnsi="Times New Roman"/>
          <w:sz w:val="22"/>
        </w:rPr>
        <w:t xml:space="preserve">, </w:t>
      </w:r>
      <w:r>
        <w:rPr>
          <w:rFonts w:ascii="Times New Roman" w:hAnsi="Times New Roman"/>
          <w:i/>
          <w:sz w:val="22"/>
        </w:rPr>
        <w:t>technical</w:t>
      </w:r>
      <w:r>
        <w:rPr>
          <w:rFonts w:ascii="Times New Roman" w:hAnsi="Times New Roman"/>
          <w:sz w:val="22"/>
        </w:rPr>
        <w:t xml:space="preserve">, </w:t>
      </w:r>
      <w:r>
        <w:rPr>
          <w:rFonts w:ascii="Times New Roman" w:hAnsi="Times New Roman"/>
          <w:i/>
          <w:sz w:val="22"/>
        </w:rPr>
        <w:t>historical</w:t>
      </w:r>
      <w:r>
        <w:rPr>
          <w:rFonts w:ascii="Times New Roman" w:hAnsi="Times New Roman"/>
          <w:sz w:val="22"/>
        </w:rPr>
        <w:t xml:space="preserve">, </w:t>
      </w:r>
      <w:r>
        <w:rPr>
          <w:rFonts w:ascii="Times New Roman" w:hAnsi="Times New Roman"/>
          <w:i/>
          <w:sz w:val="22"/>
        </w:rPr>
        <w:t>economic</w:t>
      </w:r>
      <w:r>
        <w:rPr>
          <w:rFonts w:ascii="Times New Roman" w:hAnsi="Times New Roman"/>
          <w:sz w:val="22"/>
        </w:rPr>
        <w:t xml:space="preserve">, or </w:t>
      </w:r>
      <w:r>
        <w:rPr>
          <w:rFonts w:ascii="Times New Roman" w:hAnsi="Times New Roman"/>
          <w:i/>
          <w:sz w:val="22"/>
        </w:rPr>
        <w:t>cultural</w:t>
      </w:r>
      <w:r>
        <w:rPr>
          <w:rFonts w:ascii="Times New Roman" w:hAnsi="Times New Roman"/>
          <w:sz w:val="22"/>
        </w:rPr>
        <w:t xml:space="preserve">), </w:t>
      </w:r>
      <w:r>
        <w:rPr>
          <w:rFonts w:ascii="Times New Roman" w:hAnsi="Times New Roman"/>
          <w:i/>
          <w:sz w:val="22"/>
        </w:rPr>
        <w:t>subcategory</w:t>
      </w:r>
      <w:r>
        <w:rPr>
          <w:rFonts w:ascii="Times New Roman" w:hAnsi="Times New Roman"/>
          <w:sz w:val="22"/>
        </w:rPr>
        <w:t xml:space="preserve"> (a short thematic tag), and </w:t>
      </w:r>
      <w:r>
        <w:rPr>
          <w:rFonts w:ascii="Times New Roman" w:hAnsi="Times New Roman"/>
          <w:i/>
          <w:sz w:val="22"/>
        </w:rPr>
        <w:t>supporting_quote</w:t>
      </w:r>
      <w:r>
        <w:rPr>
          <w:rFonts w:ascii="Times New Roman" w:hAnsi="Times New Roman"/>
          <w:sz w:val="22"/>
        </w:rPr>
        <w:t xml:space="preserve"> (the verbatim text from the abstract).</w:t>
      </w:r>
    </w:p>
    <w:p>
      <w:pPr>
        <w:spacing w:after="60" w:before="20"/>
        <w:ind w:left="720" w:hanging="283"/>
      </w:pPr>
      <w:r>
        <w:rPr>
          <w:rFonts w:ascii="Times New Roman" w:hAnsi="Times New Roman"/>
          <w:sz w:val="22"/>
        </w:rPr>
        <w:t xml:space="preserve">•  </w:t>
      </w:r>
      <w:r>
        <w:rPr>
          <w:rFonts w:ascii="Times New Roman" w:hAnsi="Times New Roman"/>
          <w:i/>
          <w:sz w:val="22"/>
        </w:rPr>
        <w:t>null_reason</w:t>
      </w:r>
      <w:r>
        <w:rPr>
          <w:rFonts w:ascii="Times New Roman" w:hAnsi="Times New Roman"/>
          <w:sz w:val="22"/>
        </w:rPr>
        <w:t xml:space="preserve"> (string or null): Documented rationale if </w:t>
      </w:r>
      <w:r>
        <w:rPr>
          <w:rFonts w:ascii="Times New Roman" w:hAnsi="Times New Roman"/>
          <w:i/>
          <w:sz w:val="22"/>
        </w:rPr>
        <w:t>explicit_reason_found</w:t>
      </w:r>
      <w:r>
        <w:rPr>
          <w:rFonts w:ascii="Times New Roman" w:hAnsi="Times New Roman"/>
          <w:sz w:val="22"/>
        </w:rPr>
        <w:t xml:space="preserve"> is </w:t>
      </w:r>
      <w:r>
        <w:rPr>
          <w:rFonts w:ascii="Times New Roman" w:hAnsi="Times New Roman"/>
          <w:i/>
          <w:sz w:val="22"/>
        </w:rPr>
        <w:t>false</w:t>
      </w:r>
      <w:r>
        <w:rPr>
          <w:rFonts w:ascii="Times New Roman" w:hAnsi="Times New Roman"/>
          <w:sz w:val="22"/>
        </w:rPr>
        <w:t>.</w:t>
      </w:r>
    </w:p>
    <w:p>
      <w:pPr>
        <w:pStyle w:val="Heading3"/>
      </w:pPr>
      <w:r>
        <w:t>3.2.2 Anti-Hallucination Guardrails</w:t>
      </w:r>
    </w:p>
    <w:p>
      <w:pPr>
        <w:spacing w:after="120"/>
        <w:ind w:firstLine="0"/>
      </w:pPr>
      <w:r>
        <w:rPr>
          <w:rFonts w:ascii="Times New Roman" w:hAnsi="Times New Roman"/>
          <w:sz w:val="24"/>
        </w:rPr>
        <w:t>To prevent model hallucinations, a 5-layer quality assurance pipeline was implemented:</w:t>
      </w:r>
    </w:p>
    <w:p>
      <w:pPr>
        <w:spacing w:after="80" w:before="40"/>
        <w:ind w:left="720" w:hanging="357"/>
      </w:pPr>
      <w:r>
        <w:rPr>
          <w:rFonts w:ascii="Times New Roman" w:hAnsi="Times New Roman"/>
          <w:sz w:val="22"/>
        </w:rPr>
        <w:t xml:space="preserve">1.  </w:t>
      </w:r>
      <w:r>
        <w:rPr>
          <w:rFonts w:ascii="Times New Roman" w:hAnsi="Times New Roman"/>
          <w:b/>
          <w:sz w:val="22"/>
        </w:rPr>
        <w:t>Deterministic Temperature:</w:t>
      </w:r>
      <w:r>
        <w:rPr>
          <w:rFonts w:ascii="Times New Roman" w:hAnsi="Times New Roman"/>
          <w:sz w:val="22"/>
        </w:rPr>
        <w:t xml:space="preserve"> </w:t>
      </w:r>
      <w:r>
        <w:rPr>
          <w:rFonts w:ascii="Times New Roman" w:hAnsi="Times New Roman"/>
          <w:i/>
          <w:sz w:val="22"/>
        </w:rPr>
        <w:t>temperature = 0.0</w:t>
      </w:r>
      <w:r>
        <w:rPr>
          <w:rFonts w:ascii="Times New Roman" w:hAnsi="Times New Roman"/>
          <w:sz w:val="22"/>
        </w:rPr>
        <w:t xml:space="preserve"> was enforced to eliminate creative token generation.</w:t>
      </w:r>
    </w:p>
    <w:p>
      <w:pPr>
        <w:spacing w:after="80" w:before="40"/>
        <w:ind w:left="720" w:hanging="357"/>
      </w:pPr>
      <w:r>
        <w:rPr>
          <w:rFonts w:ascii="Times New Roman" w:hAnsi="Times New Roman"/>
          <w:sz w:val="22"/>
        </w:rPr>
        <w:t xml:space="preserve">2.  </w:t>
      </w:r>
      <w:r>
        <w:rPr>
          <w:rFonts w:ascii="Times New Roman" w:hAnsi="Times New Roman"/>
          <w:b/>
          <w:sz w:val="22"/>
        </w:rPr>
        <w:t>Explicit Null Rule:</w:t>
      </w:r>
      <w:r>
        <w:rPr>
          <w:rFonts w:ascii="Times New Roman" w:hAnsi="Times New Roman"/>
          <w:sz w:val="22"/>
        </w:rPr>
        <w:t xml:space="preserve"> The model was strictly instructed to return </w:t>
      </w:r>
      <w:r>
        <w:rPr>
          <w:rFonts w:ascii="Times New Roman" w:hAnsi="Times New Roman"/>
          <w:i/>
          <w:sz w:val="22"/>
        </w:rPr>
        <w:t>false</w:t>
      </w:r>
      <w:r>
        <w:rPr>
          <w:rFonts w:ascii="Times New Roman" w:hAnsi="Times New Roman"/>
          <w:sz w:val="22"/>
        </w:rPr>
        <w:t xml:space="preserve"> for </w:t>
      </w:r>
      <w:r>
        <w:rPr>
          <w:rFonts w:ascii="Times New Roman" w:hAnsi="Times New Roman"/>
          <w:i/>
          <w:sz w:val="22"/>
        </w:rPr>
        <w:t>explicit_reason_found</w:t>
      </w:r>
      <w:r>
        <w:rPr>
          <w:rFonts w:ascii="Times New Roman" w:hAnsi="Times New Roman"/>
          <w:sz w:val="22"/>
        </w:rPr>
        <w:t xml:space="preserve"> and </w:t>
      </w:r>
      <w:r>
        <w:rPr>
          <w:rFonts w:ascii="Times New Roman" w:hAnsi="Times New Roman"/>
          <w:i/>
          <w:sz w:val="22"/>
        </w:rPr>
        <w:t>null</w:t>
      </w:r>
      <w:r>
        <w:rPr>
          <w:rFonts w:ascii="Times New Roman" w:hAnsi="Times New Roman"/>
          <w:sz w:val="22"/>
        </w:rPr>
        <w:t xml:space="preserve"> for claims if no direct text justified the organism, preventing logical inferences.</w:t>
      </w:r>
    </w:p>
    <w:p>
      <w:pPr>
        <w:spacing w:after="80" w:before="40"/>
        <w:ind w:left="720" w:hanging="357"/>
      </w:pPr>
      <w:r>
        <w:rPr>
          <w:rFonts w:ascii="Times New Roman" w:hAnsi="Times New Roman"/>
          <w:sz w:val="22"/>
        </w:rPr>
        <w:t xml:space="preserve">3.  </w:t>
      </w:r>
      <w:r>
        <w:rPr>
          <w:rFonts w:ascii="Times New Roman" w:hAnsi="Times New Roman"/>
          <w:b/>
          <w:sz w:val="22"/>
        </w:rPr>
        <w:t>Fuzzy Quote Verification:</w:t>
      </w:r>
      <w:r>
        <w:rPr>
          <w:rFonts w:ascii="Times New Roman" w:hAnsi="Times New Roman"/>
          <w:sz w:val="22"/>
        </w:rPr>
        <w:t xml:space="preserve"> Every extracted </w:t>
      </w:r>
      <w:r>
        <w:rPr>
          <w:rFonts w:ascii="Times New Roman" w:hAnsi="Times New Roman"/>
          <w:i/>
          <w:sz w:val="22"/>
        </w:rPr>
        <w:t>supporting_quote</w:t>
      </w:r>
      <w:r>
        <w:rPr>
          <w:rFonts w:ascii="Times New Roman" w:hAnsi="Times New Roman"/>
          <w:sz w:val="22"/>
        </w:rPr>
        <w:t xml:space="preserve"> was matched against the raw abstract text using a sliding-window character comparison (</w:t>
      </w:r>
      <w:r>
        <w:rPr>
          <w:rFonts w:ascii="Times New Roman" w:hAnsi="Times New Roman"/>
          <w:i/>
          <w:sz w:val="22"/>
        </w:rPr>
        <w:t>difflib.SequenceMatcher</w:t>
      </w:r>
      <w:r>
        <w:rPr>
          <w:rFonts w:ascii="Times New Roman" w:hAnsi="Times New Roman"/>
          <w:sz w:val="22"/>
        </w:rPr>
        <w:t xml:space="preserve">). Quotes failing to achieve a similarity ratio </w:t>
      </w:r>
      <w:r>
        <w:rPr>
          <w:rFonts w:ascii="Times New Roman" w:hAnsi="Times New Roman"/>
          <w:i/>
          <w:sz w:val="22"/>
        </w:rPr>
        <w:t>\ge 0.65</w:t>
      </w:r>
      <w:r>
        <w:rPr>
          <w:rFonts w:ascii="Times New Roman" w:hAnsi="Times New Roman"/>
          <w:sz w:val="22"/>
        </w:rPr>
        <w:t xml:space="preserve"> were flagged and discarded.</w:t>
      </w:r>
    </w:p>
    <w:p>
      <w:pPr>
        <w:spacing w:after="80" w:before="40"/>
        <w:ind w:left="720" w:hanging="357"/>
      </w:pPr>
      <w:r>
        <w:rPr>
          <w:rFonts w:ascii="Times New Roman" w:hAnsi="Times New Roman"/>
          <w:sz w:val="22"/>
        </w:rPr>
        <w:t xml:space="preserve">4.  </w:t>
      </w:r>
      <w:r>
        <w:rPr>
          <w:rFonts w:ascii="Times New Roman" w:hAnsi="Times New Roman"/>
          <w:b/>
          <w:sz w:val="22"/>
        </w:rPr>
        <w:t>Schema and ID Validation:</w:t>
      </w:r>
      <w:r>
        <w:rPr>
          <w:rFonts w:ascii="Times New Roman" w:hAnsi="Times New Roman"/>
          <w:sz w:val="22"/>
        </w:rPr>
        <w:t xml:space="preserve"> Outputs were validated programmatically using the </w:t>
      </w:r>
      <w:r>
        <w:rPr>
          <w:rFonts w:ascii="Times New Roman" w:hAnsi="Times New Roman"/>
          <w:i/>
          <w:sz w:val="22"/>
        </w:rPr>
        <w:t>jsonschema</w:t>
      </w:r>
      <w:r>
        <w:rPr>
          <w:rFonts w:ascii="Times New Roman" w:hAnsi="Times New Roman"/>
          <w:sz w:val="22"/>
        </w:rPr>
        <w:t xml:space="preserve"> library.</w:t>
      </w:r>
    </w:p>
    <w:p>
      <w:pPr>
        <w:spacing w:after="80" w:before="40"/>
        <w:ind w:left="720" w:hanging="357"/>
      </w:pPr>
      <w:r>
        <w:rPr>
          <w:rFonts w:ascii="Times New Roman" w:hAnsi="Times New Roman"/>
          <w:sz w:val="22"/>
        </w:rPr>
        <w:t xml:space="preserve">5.  </w:t>
      </w:r>
      <w:r>
        <w:rPr>
          <w:rFonts w:ascii="Times New Roman" w:hAnsi="Times New Roman"/>
          <w:b/>
          <w:sz w:val="22"/>
        </w:rPr>
        <w:t>Progressive Cache Saving:</w:t>
      </w:r>
      <w:r>
        <w:rPr>
          <w:rFonts w:ascii="Times New Roman" w:hAnsi="Times New Roman"/>
          <w:sz w:val="22"/>
        </w:rPr>
        <w:t xml:space="preserve"> API outputs were saved progressively to JSONL files to allow resuming and protect against mid-run network interruptions.</w:t>
      </w:r>
    </w:p>
    <w:p>
      <w:pPr>
        <w:spacing w:after="120"/>
        <w:ind w:firstLine="0"/>
      </w:pPr>
      <w:r>
        <w:rPr>
          <w:rFonts w:ascii="Times New Roman" w:hAnsi="Times New Roman"/>
          <w:sz w:val="24"/>
        </w:rPr>
        <w:t xml:space="preserve">Following extraction, </w:t>
      </w:r>
      <w:r>
        <w:rPr>
          <w:rFonts w:ascii="Times New Roman" w:hAnsi="Times New Roman"/>
          <w:i/>
          <w:sz w:val="22"/>
        </w:rPr>
        <w:t>cleanup_phase2.py</w:t>
      </w:r>
      <w:r>
        <w:rPr>
          <w:rFonts w:ascii="Times New Roman" w:hAnsi="Times New Roman"/>
          <w:sz w:val="24"/>
        </w:rPr>
        <w:t xml:space="preserve"> was executed to filter out hallucinated entries (removing 7 claims, representing a low 0.21% hallucination rate) and isolate the explicit justification claims. This resulted in a clean explicit justification dataset of </w:t>
      </w:r>
      <w:r>
        <w:rPr>
          <w:rFonts w:ascii="Times New Roman" w:hAnsi="Times New Roman"/>
          <w:b/>
          <w:sz w:val="24"/>
        </w:rPr>
        <w:t>2,037 claims</w:t>
      </w:r>
      <w:r>
        <w:rPr>
          <w:rFonts w:ascii="Times New Roman" w:hAnsi="Times New Roman"/>
          <w:sz w:val="24"/>
        </w:rPr>
        <w:t xml:space="preserve"> (867 </w:t>
      </w:r>
      <w:r>
        <w:rPr>
          <w:rFonts w:ascii="Times New Roman" w:hAnsi="Times New Roman"/>
          <w:i/>
          <w:sz w:val="24"/>
        </w:rPr>
        <w:t>E. coli</w:t>
      </w:r>
      <w:r>
        <w:rPr>
          <w:rFonts w:ascii="Times New Roman" w:hAnsi="Times New Roman"/>
          <w:sz w:val="24"/>
        </w:rPr>
        <w:t xml:space="preserve">, 944 </w:t>
      </w:r>
      <w:r>
        <w:rPr>
          <w:rFonts w:ascii="Times New Roman" w:hAnsi="Times New Roman"/>
          <w:i/>
          <w:sz w:val="24"/>
        </w:rPr>
        <w:t>S. cerevisiae</w:t>
      </w:r>
      <w:r>
        <w:rPr>
          <w:rFonts w:ascii="Times New Roman" w:hAnsi="Times New Roman"/>
          <w:sz w:val="24"/>
        </w:rPr>
        <w:t xml:space="preserve">, and 226 </w:t>
      </w:r>
      <w:r>
        <w:rPr>
          <w:rFonts w:ascii="Times New Roman" w:hAnsi="Times New Roman"/>
          <w:i/>
          <w:sz w:val="24"/>
        </w:rPr>
        <w:t>B. subtilis</w:t>
      </w:r>
      <w:r>
        <w:rPr>
          <w:rFonts w:ascii="Times New Roman" w:hAnsi="Times New Roman"/>
          <w:sz w:val="24"/>
        </w:rPr>
        <w:t>) for clustering.</w:t>
      </w:r>
    </w:p>
    <w:p>
      <w:pPr>
        <w:pStyle w:val="Heading2"/>
      </w:pPr>
      <w:r>
        <w:t>3.3 Phase 3: Semantic Embedding &amp; Clustering</w:t>
      </w:r>
    </w:p>
    <w:p>
      <w:pPr>
        <w:spacing w:after="120"/>
        <w:ind w:firstLine="0"/>
      </w:pPr>
      <w:r>
        <w:rPr>
          <w:rFonts w:ascii="Times New Roman" w:hAnsi="Times New Roman"/>
          <w:sz w:val="24"/>
        </w:rPr>
        <w:t xml:space="preserve">The 2,037 explicit justification claims were converted into dense vectors using the pre-trained </w:t>
      </w:r>
      <w:r>
        <w:rPr>
          <w:rFonts w:ascii="Times New Roman" w:hAnsi="Times New Roman"/>
          <w:i/>
          <w:sz w:val="22"/>
        </w:rPr>
        <w:t>pritamdeka/S-PubMedBert-MS-MARCO</w:t>
      </w:r>
      <w:r>
        <w:rPr>
          <w:rFonts w:ascii="Times New Roman" w:hAnsi="Times New Roman"/>
          <w:sz w:val="24"/>
        </w:rPr>
        <w:t xml:space="preserve"> SentenceTransformer model, yielding 768-dimensional embeddings tailored for biomedical text semantics.</w:t>
      </w:r>
    </w:p>
    <w:p>
      <w:pPr>
        <w:spacing w:after="120"/>
        <w:ind w:firstLine="0"/>
      </w:pPr>
      <w:r>
        <w:rPr>
          <w:rFonts w:ascii="Times New Roman" w:hAnsi="Times New Roman"/>
          <w:sz w:val="24"/>
        </w:rPr>
        <w:t>To resolve the "curse of dimensionality" during density-based clustering, a two-step dimensionality reduction workflow was implemented:</w:t>
      </w:r>
    </w:p>
    <w:p>
      <w:pPr>
        <w:spacing w:after="80" w:before="40"/>
        <w:ind w:left="720" w:hanging="357"/>
      </w:pPr>
      <w:r>
        <w:rPr>
          <w:rFonts w:ascii="Times New Roman" w:hAnsi="Times New Roman"/>
          <w:sz w:val="22"/>
        </w:rPr>
        <w:t xml:space="preserve">1.  </w:t>
      </w:r>
      <w:r>
        <w:rPr>
          <w:rFonts w:ascii="Times New Roman" w:hAnsi="Times New Roman"/>
          <w:b/>
          <w:sz w:val="22"/>
        </w:rPr>
        <w:t>For Clustering:</w:t>
      </w:r>
      <w:r>
        <w:rPr>
          <w:rFonts w:ascii="Times New Roman" w:hAnsi="Times New Roman"/>
          <w:sz w:val="22"/>
        </w:rPr>
        <w:t xml:space="preserve"> Embeddings were projected into </w:t>
      </w:r>
      <w:r>
        <w:rPr>
          <w:rFonts w:ascii="Times New Roman" w:hAnsi="Times New Roman"/>
          <w:b/>
          <w:sz w:val="22"/>
        </w:rPr>
        <w:t>10 dimensions</w:t>
      </w:r>
      <w:r>
        <w:rPr>
          <w:rFonts w:ascii="Times New Roman" w:hAnsi="Times New Roman"/>
          <w:sz w:val="22"/>
        </w:rPr>
        <w:t xml:space="preserve"> using UMAP (cosine metric, </w:t>
      </w:r>
      <w:r>
        <w:rPr>
          <w:rFonts w:ascii="Times New Roman" w:hAnsi="Times New Roman"/>
          <w:i/>
          <w:sz w:val="22"/>
        </w:rPr>
        <w:t>n_neighbors=15</w:t>
      </w:r>
      <w:r>
        <w:rPr>
          <w:rFonts w:ascii="Times New Roman" w:hAnsi="Times New Roman"/>
          <w:sz w:val="22"/>
        </w:rPr>
        <w:t xml:space="preserve">, </w:t>
      </w:r>
      <w:r>
        <w:rPr>
          <w:rFonts w:ascii="Times New Roman" w:hAnsi="Times New Roman"/>
          <w:i/>
          <w:sz w:val="22"/>
        </w:rPr>
        <w:t>random_state=42</w:t>
      </w:r>
      <w:r>
        <w:rPr>
          <w:rFonts w:ascii="Times New Roman" w:hAnsi="Times New Roman"/>
          <w:sz w:val="22"/>
        </w:rPr>
        <w:t>) to preserve local and global semantic structures.</w:t>
      </w:r>
    </w:p>
    <w:p>
      <w:pPr>
        <w:spacing w:after="80" w:before="40"/>
        <w:ind w:left="720" w:hanging="357"/>
      </w:pPr>
      <w:r>
        <w:rPr>
          <w:rFonts w:ascii="Times New Roman" w:hAnsi="Times New Roman"/>
          <w:sz w:val="22"/>
        </w:rPr>
        <w:t xml:space="preserve">2.  </w:t>
      </w:r>
      <w:r>
        <w:rPr>
          <w:rFonts w:ascii="Times New Roman" w:hAnsi="Times New Roman"/>
          <w:b/>
          <w:sz w:val="22"/>
        </w:rPr>
        <w:t>For Visualization:</w:t>
      </w:r>
      <w:r>
        <w:rPr>
          <w:rFonts w:ascii="Times New Roman" w:hAnsi="Times New Roman"/>
          <w:sz w:val="22"/>
        </w:rPr>
        <w:t xml:space="preserve"> Embeddings were separately projected to </w:t>
      </w:r>
      <w:r>
        <w:rPr>
          <w:rFonts w:ascii="Times New Roman" w:hAnsi="Times New Roman"/>
          <w:b/>
          <w:sz w:val="22"/>
        </w:rPr>
        <w:t>2 dimensions</w:t>
      </w:r>
      <w:r>
        <w:rPr>
          <w:rFonts w:ascii="Times New Roman" w:hAnsi="Times New Roman"/>
          <w:sz w:val="22"/>
        </w:rPr>
        <w:t xml:space="preserve"> solely to generate cluster scatter plots.</w:t>
      </w:r>
    </w:p>
    <w:p>
      <w:pPr>
        <w:spacing w:after="120"/>
        <w:ind w:firstLine="0"/>
      </w:pPr>
      <w:r>
        <w:rPr>
          <w:rFonts w:ascii="Times New Roman" w:hAnsi="Times New Roman"/>
          <w:sz w:val="24"/>
        </w:rPr>
        <w:t>Density-based clustering was performed on the 10D vectors using HDBSCAN. To find the optimal cluster resolution, a grid-search optimization sweep was conducted over HDBSCAN hyper-parameters (</w:t>
      </w:r>
      <w:r>
        <w:rPr>
          <w:rFonts w:ascii="Times New Roman" w:hAnsi="Times New Roman"/>
          <w:i/>
          <w:sz w:val="22"/>
        </w:rPr>
        <w:t>min_cluster_size</w:t>
      </w:r>
      <w:r>
        <w:rPr>
          <w:rFonts w:ascii="Times New Roman" w:hAnsi="Times New Roman"/>
          <w:sz w:val="24"/>
        </w:rPr>
        <w:t xml:space="preserve"> ranging from 10 to 30, </w:t>
      </w:r>
      <w:r>
        <w:rPr>
          <w:rFonts w:ascii="Times New Roman" w:hAnsi="Times New Roman"/>
          <w:i/>
          <w:sz w:val="22"/>
        </w:rPr>
        <w:t>min_samples</w:t>
      </w:r>
      <w:r>
        <w:rPr>
          <w:rFonts w:ascii="Times New Roman" w:hAnsi="Times New Roman"/>
          <w:sz w:val="24"/>
        </w:rPr>
        <w:t xml:space="preserve"> from 3 to 15). The grid search optimized for the maximum Silhouette score (excluding noise points) while keeping the outlier (noise) rate below 30% and yielding between 8 and 18 clusters.</w:t>
      </w:r>
    </w:p>
    <w:p>
      <w:pPr>
        <w:spacing w:after="120"/>
        <w:ind w:firstLine="0"/>
      </w:pPr>
      <w:r>
        <w:rPr>
          <w:rFonts w:ascii="Times New Roman" w:hAnsi="Times New Roman"/>
          <w:sz w:val="24"/>
        </w:rPr>
        <w:t xml:space="preserve">The optimal configuration selected was </w:t>
      </w:r>
      <w:r>
        <w:rPr>
          <w:rFonts w:ascii="Times New Roman" w:hAnsi="Times New Roman"/>
          <w:i/>
          <w:sz w:val="22"/>
        </w:rPr>
        <w:t>min_cluster_size=15</w:t>
      </w:r>
      <w:r>
        <w:rPr>
          <w:rFonts w:ascii="Times New Roman" w:hAnsi="Times New Roman"/>
          <w:sz w:val="24"/>
        </w:rPr>
        <w:t xml:space="preserve"> and </w:t>
      </w:r>
      <w:r>
        <w:rPr>
          <w:rFonts w:ascii="Times New Roman" w:hAnsi="Times New Roman"/>
          <w:i/>
          <w:sz w:val="22"/>
        </w:rPr>
        <w:t>min_samples=15</w:t>
      </w:r>
      <w:r>
        <w:rPr>
          <w:rFonts w:ascii="Times New Roman" w:hAnsi="Times New Roman"/>
          <w:sz w:val="24"/>
        </w:rPr>
        <w:t xml:space="preserve">. This returned </w:t>
      </w:r>
      <w:r>
        <w:rPr>
          <w:rFonts w:ascii="Times New Roman" w:hAnsi="Times New Roman"/>
          <w:b/>
          <w:sz w:val="24"/>
        </w:rPr>
        <w:t>13 distinct clusters</w:t>
      </w:r>
      <w:r>
        <w:rPr>
          <w:rFonts w:ascii="Times New Roman" w:hAnsi="Times New Roman"/>
          <w:sz w:val="24"/>
        </w:rPr>
        <w:t xml:space="preserve"> (Cluster 0 to 12) with a Silhouette score of </w:t>
      </w:r>
      <w:r>
        <w:rPr>
          <w:rFonts w:ascii="Times New Roman" w:hAnsi="Times New Roman"/>
          <w:b/>
          <w:sz w:val="24"/>
        </w:rPr>
        <w:t>0.5388</w:t>
      </w:r>
      <w:r>
        <w:rPr>
          <w:rFonts w:ascii="Times New Roman" w:hAnsi="Times New Roman"/>
          <w:sz w:val="24"/>
        </w:rPr>
        <w:t xml:space="preserve"> and a noise/outlier rate of </w:t>
      </w:r>
      <w:r>
        <w:rPr>
          <w:rFonts w:ascii="Times New Roman" w:hAnsi="Times New Roman"/>
          <w:b/>
          <w:sz w:val="24"/>
        </w:rPr>
        <w:t>23.91%</w:t>
      </w:r>
      <w:r>
        <w:rPr>
          <w:rFonts w:ascii="Times New Roman" w:hAnsi="Times New Roman"/>
          <w:sz w:val="24"/>
        </w:rPr>
        <w:t xml:space="preserve"> (487 out of 2,037 claims marked as Cluster -1).</w:t>
      </w:r>
    </w:p>
    <w:p>
      <w:pPr>
        <w:spacing w:after="120"/>
        <w:ind w:firstLine="0"/>
      </w:pPr>
      <w:r>
        <w:rPr>
          <w:rFonts w:ascii="Times New Roman" w:hAnsi="Times New Roman"/>
          <w:sz w:val="24"/>
        </w:rPr>
        <w:t>To identify the core concept of each cluster, the centroid of each cluster's member embeddings in the 10-dimensional space was calculated, and claims were ranked by their Euclidean distance to their respective cluster centroid. The top 10 closest claims were extracted as "exemplars" to guide thematic naming.</w:t>
      </w:r>
    </w:p>
    <w:p>
      <w:pPr>
        <w:pStyle w:val="Heading2"/>
      </w:pPr>
      <w:r>
        <w:t>3.4 Phase 4: Biological Pathway Database Mapping</w:t>
      </w:r>
    </w:p>
    <w:p>
      <w:pPr>
        <w:spacing w:after="120"/>
        <w:ind w:firstLine="0"/>
      </w:pPr>
      <w:r>
        <w:rPr>
          <w:rFonts w:ascii="Times New Roman" w:hAnsi="Times New Roman"/>
          <w:sz w:val="24"/>
        </w:rPr>
        <w:t xml:space="preserve">The biological justifications of the 13 clusters were mapped to physical biological pathways and systems. The </w:t>
      </w:r>
      <w:r>
        <w:rPr>
          <w:rFonts w:ascii="Times New Roman" w:hAnsi="Times New Roman"/>
          <w:b/>
          <w:sz w:val="24"/>
        </w:rPr>
        <w:t>KEGG REST API</w:t>
      </w:r>
      <w:r>
        <w:rPr>
          <w:rFonts w:ascii="Times New Roman" w:hAnsi="Times New Roman"/>
          <w:sz w:val="24"/>
        </w:rPr>
        <w:t xml:space="preserve"> (rest.kegg.jp) was queried to retrieve pathway IDs and descriptions for the three host organisms:</w:t>
      </w:r>
    </w:p>
    <w:p>
      <w:pPr>
        <w:spacing w:after="60" w:before="20"/>
        <w:ind w:left="720" w:hanging="283"/>
      </w:pPr>
      <w:r>
        <w:rPr>
          <w:rFonts w:ascii="Times New Roman" w:hAnsi="Times New Roman"/>
          <w:sz w:val="22"/>
        </w:rPr>
        <w:t xml:space="preserve">•  </w:t>
      </w:r>
      <w:r>
        <w:rPr>
          <w:rFonts w:ascii="Times New Roman" w:hAnsi="Times New Roman"/>
          <w:i/>
          <w:sz w:val="22"/>
        </w:rPr>
        <w:t>Escherichia coli</w:t>
      </w:r>
      <w:r>
        <w:rPr>
          <w:rFonts w:ascii="Times New Roman" w:hAnsi="Times New Roman"/>
          <w:sz w:val="22"/>
        </w:rPr>
        <w:t xml:space="preserve"> K-12 MG1655 (</w:t>
      </w:r>
      <w:r>
        <w:rPr>
          <w:rFonts w:ascii="Times New Roman" w:hAnsi="Times New Roman"/>
          <w:i/>
          <w:sz w:val="22"/>
        </w:rPr>
        <w:t>eco</w:t>
      </w:r>
      <w:r>
        <w:rPr>
          <w:rFonts w:ascii="Times New Roman" w:hAnsi="Times New Roman"/>
          <w:sz w:val="22"/>
        </w:rPr>
        <w:t>)</w:t>
      </w:r>
    </w:p>
    <w:p>
      <w:pPr>
        <w:spacing w:after="60" w:before="20"/>
        <w:ind w:left="720" w:hanging="283"/>
      </w:pPr>
      <w:r>
        <w:rPr>
          <w:rFonts w:ascii="Times New Roman" w:hAnsi="Times New Roman"/>
          <w:sz w:val="22"/>
        </w:rPr>
        <w:t xml:space="preserve">•  </w:t>
      </w:r>
      <w:r>
        <w:rPr>
          <w:rFonts w:ascii="Times New Roman" w:hAnsi="Times New Roman"/>
          <w:i/>
          <w:sz w:val="22"/>
        </w:rPr>
        <w:t>Saccharomyces cerevisiae</w:t>
      </w:r>
      <w:r>
        <w:rPr>
          <w:rFonts w:ascii="Times New Roman" w:hAnsi="Times New Roman"/>
          <w:sz w:val="22"/>
        </w:rPr>
        <w:t xml:space="preserve"> (</w:t>
      </w:r>
      <w:r>
        <w:rPr>
          <w:rFonts w:ascii="Times New Roman" w:hAnsi="Times New Roman"/>
          <w:i/>
          <w:sz w:val="22"/>
        </w:rPr>
        <w:t>sce</w:t>
      </w:r>
      <w:r>
        <w:rPr>
          <w:rFonts w:ascii="Times New Roman" w:hAnsi="Times New Roman"/>
          <w:sz w:val="22"/>
        </w:rPr>
        <w:t>)</w:t>
      </w:r>
    </w:p>
    <w:p>
      <w:pPr>
        <w:spacing w:after="60" w:before="20"/>
        <w:ind w:left="720" w:hanging="283"/>
      </w:pPr>
      <w:r>
        <w:rPr>
          <w:rFonts w:ascii="Times New Roman" w:hAnsi="Times New Roman"/>
          <w:sz w:val="22"/>
        </w:rPr>
        <w:t xml:space="preserve">•  </w:t>
      </w:r>
      <w:r>
        <w:rPr>
          <w:rFonts w:ascii="Times New Roman" w:hAnsi="Times New Roman"/>
          <w:i/>
          <w:sz w:val="22"/>
        </w:rPr>
        <w:t>Bacillus subtilis</w:t>
      </w:r>
      <w:r>
        <w:rPr>
          <w:rFonts w:ascii="Times New Roman" w:hAnsi="Times New Roman"/>
          <w:sz w:val="22"/>
        </w:rPr>
        <w:t xml:space="preserve"> 168 (</w:t>
      </w:r>
      <w:r>
        <w:rPr>
          <w:rFonts w:ascii="Times New Roman" w:hAnsi="Times New Roman"/>
          <w:i/>
          <w:sz w:val="22"/>
        </w:rPr>
        <w:t>bsu</w:t>
      </w:r>
      <w:r>
        <w:rPr>
          <w:rFonts w:ascii="Times New Roman" w:hAnsi="Times New Roman"/>
          <w:sz w:val="22"/>
        </w:rPr>
        <w:t>)</w:t>
      </w:r>
    </w:p>
    <w:p>
      <w:pPr>
        <w:spacing w:after="120"/>
        <w:ind w:firstLine="0"/>
      </w:pPr>
      <w:r>
        <w:rPr>
          <w:rFonts w:ascii="Times New Roman" w:hAnsi="Times New Roman"/>
          <w:sz w:val="24"/>
        </w:rPr>
        <w:t xml:space="preserve">A cross-reference dictionary was compiled where clusters were associated with corresponding KEGG pathways (e.g. DNA replication </w:t>
      </w:r>
      <w:r>
        <w:rPr>
          <w:rFonts w:ascii="Times New Roman" w:hAnsi="Times New Roman"/>
          <w:i/>
          <w:sz w:val="22"/>
        </w:rPr>
        <w:t>eco03030</w:t>
      </w:r>
      <w:r>
        <w:rPr>
          <w:rFonts w:ascii="Times New Roman" w:hAnsi="Times New Roman"/>
          <w:sz w:val="24"/>
        </w:rPr>
        <w:t xml:space="preserve">, mismatch repair </w:t>
      </w:r>
      <w:r>
        <w:rPr>
          <w:rFonts w:ascii="Times New Roman" w:hAnsi="Times New Roman"/>
          <w:i/>
          <w:sz w:val="22"/>
        </w:rPr>
        <w:t>eco03430</w:t>
      </w:r>
      <w:r>
        <w:rPr>
          <w:rFonts w:ascii="Times New Roman" w:hAnsi="Times New Roman"/>
          <w:sz w:val="24"/>
        </w:rPr>
        <w:t xml:space="preserve">, or protein export </w:t>
      </w:r>
      <w:r>
        <w:rPr>
          <w:rFonts w:ascii="Times New Roman" w:hAnsi="Times New Roman"/>
          <w:i/>
          <w:sz w:val="22"/>
        </w:rPr>
        <w:t>eco03060</w:t>
      </w:r>
      <w:r>
        <w:rPr>
          <w:rFonts w:ascii="Times New Roman" w:hAnsi="Times New Roman"/>
          <w:sz w:val="24"/>
        </w:rPr>
        <w:t xml:space="preserve">). For </w:t>
      </w:r>
      <w:r>
        <w:rPr>
          <w:rFonts w:ascii="Times New Roman" w:hAnsi="Times New Roman"/>
          <w:i/>
          <w:sz w:val="24"/>
        </w:rPr>
        <w:t>E. coli</w:t>
      </w:r>
      <w:r>
        <w:rPr>
          <w:rFonts w:ascii="Times New Roman" w:hAnsi="Times New Roman"/>
          <w:sz w:val="24"/>
        </w:rPr>
        <w:t xml:space="preserve">-dominant clusters (Clusters 4–12), claims were additionally cross-referenced with curated gene networks and metabolic pathways in the </w:t>
      </w:r>
      <w:r>
        <w:rPr>
          <w:rFonts w:ascii="Times New Roman" w:hAnsi="Times New Roman"/>
          <w:b/>
          <w:sz w:val="24"/>
        </w:rPr>
        <w:t>EcoCyc Database</w:t>
      </w:r>
      <w:r>
        <w:rPr>
          <w:rFonts w:ascii="Times New Roman" w:hAnsi="Times New Roman"/>
          <w:sz w:val="24"/>
        </w:rPr>
        <w:t xml:space="preserve"> (ecocyc.org) to obtain high-resolution systems biology annotations. Mappings were verified and saved as </w:t>
      </w:r>
      <w:r>
        <w:rPr>
          <w:rFonts w:ascii="Times New Roman" w:hAnsi="Times New Roman"/>
          <w:i/>
          <w:sz w:val="22"/>
        </w:rPr>
        <w:t>data/processed/phase4_pathway_map.csv</w:t>
      </w:r>
      <w:r>
        <w:rPr>
          <w:rFonts w:ascii="Times New Roman" w:hAnsi="Times New Roman"/>
          <w:sz w:val="24"/>
        </w:rPr>
        <w:t>.</w:t>
      </w:r>
    </w:p>
    <w:p>
      <w:pPr>
        <w:pStyle w:val="Heading2"/>
      </w:pPr>
      <w:r>
        <w:t>3.5 Phase 5: Temporal Trend Analysis</w:t>
      </w:r>
    </w:p>
    <w:p>
      <w:pPr>
        <w:spacing w:after="120"/>
        <w:ind w:firstLine="0"/>
      </w:pPr>
      <w:r>
        <w:rPr>
          <w:rFonts w:ascii="Times New Roman" w:hAnsi="Times New Roman"/>
          <w:sz w:val="24"/>
        </w:rPr>
        <w:t xml:space="preserve">The 458 clustered </w:t>
      </w:r>
      <w:r>
        <w:rPr>
          <w:rFonts w:ascii="Times New Roman" w:hAnsi="Times New Roman"/>
          <w:i/>
          <w:sz w:val="24"/>
        </w:rPr>
        <w:t>E. coli</w:t>
      </w:r>
      <w:r>
        <w:rPr>
          <w:rFonts w:ascii="Times New Roman" w:hAnsi="Times New Roman"/>
          <w:sz w:val="24"/>
        </w:rPr>
        <w:t xml:space="preserve"> claims (excluding noise) were binned across a 35-year timeline by publication years into four periods:</w:t>
      </w:r>
    </w:p>
    <w:p>
      <w:pPr>
        <w:spacing w:after="60" w:before="20"/>
        <w:ind w:left="720" w:hanging="283"/>
      </w:pPr>
      <w:r>
        <w:rPr>
          <w:rFonts w:ascii="Times New Roman" w:hAnsi="Times New Roman"/>
          <w:sz w:val="22"/>
        </w:rPr>
        <w:t xml:space="preserve">•  </w:t>
      </w:r>
      <w:r>
        <w:rPr>
          <w:rFonts w:ascii="Times New Roman" w:hAnsi="Times New Roman"/>
          <w:b/>
          <w:sz w:val="22"/>
        </w:rPr>
        <w:t>Bin 1:</w:t>
      </w:r>
      <w:r>
        <w:rPr>
          <w:rFonts w:ascii="Times New Roman" w:hAnsi="Times New Roman"/>
          <w:sz w:val="22"/>
        </w:rPr>
        <w:t xml:space="preserve"> 1990–1999 (39 claims)</w:t>
      </w:r>
    </w:p>
    <w:p>
      <w:pPr>
        <w:spacing w:after="60" w:before="20"/>
        <w:ind w:left="720" w:hanging="283"/>
      </w:pPr>
      <w:r>
        <w:rPr>
          <w:rFonts w:ascii="Times New Roman" w:hAnsi="Times New Roman"/>
          <w:sz w:val="22"/>
        </w:rPr>
        <w:t xml:space="preserve">•  </w:t>
      </w:r>
      <w:r>
        <w:rPr>
          <w:rFonts w:ascii="Times New Roman" w:hAnsi="Times New Roman"/>
          <w:b/>
          <w:sz w:val="22"/>
        </w:rPr>
        <w:t>Bin 2:</w:t>
      </w:r>
      <w:r>
        <w:rPr>
          <w:rFonts w:ascii="Times New Roman" w:hAnsi="Times New Roman"/>
          <w:sz w:val="22"/>
        </w:rPr>
        <w:t xml:space="preserve"> 2000–2009 (98 claims)</w:t>
      </w:r>
    </w:p>
    <w:p>
      <w:pPr>
        <w:spacing w:after="60" w:before="20"/>
        <w:ind w:left="720" w:hanging="283"/>
      </w:pPr>
      <w:r>
        <w:rPr>
          <w:rFonts w:ascii="Times New Roman" w:hAnsi="Times New Roman"/>
          <w:sz w:val="22"/>
        </w:rPr>
        <w:t xml:space="preserve">•  </w:t>
      </w:r>
      <w:r>
        <w:rPr>
          <w:rFonts w:ascii="Times New Roman" w:hAnsi="Times New Roman"/>
          <w:b/>
          <w:sz w:val="22"/>
        </w:rPr>
        <w:t>Bin 3:</w:t>
      </w:r>
      <w:r>
        <w:rPr>
          <w:rFonts w:ascii="Times New Roman" w:hAnsi="Times New Roman"/>
          <w:sz w:val="22"/>
        </w:rPr>
        <w:t xml:space="preserve"> 2010–2019 (184 claims)</w:t>
      </w:r>
    </w:p>
    <w:p>
      <w:pPr>
        <w:spacing w:after="60" w:before="20"/>
        <w:ind w:left="720" w:hanging="283"/>
      </w:pPr>
      <w:r>
        <w:rPr>
          <w:rFonts w:ascii="Times New Roman" w:hAnsi="Times New Roman"/>
          <w:sz w:val="22"/>
        </w:rPr>
        <w:t xml:space="preserve">•  </w:t>
      </w:r>
      <w:r>
        <w:rPr>
          <w:rFonts w:ascii="Times New Roman" w:hAnsi="Times New Roman"/>
          <w:b/>
          <w:sz w:val="22"/>
        </w:rPr>
        <w:t>Bin 4:</w:t>
      </w:r>
      <w:r>
        <w:rPr>
          <w:rFonts w:ascii="Times New Roman" w:hAnsi="Times New Roman"/>
          <w:sz w:val="22"/>
        </w:rPr>
        <w:t xml:space="preserve"> 2020–2025 (137 claims)</w:t>
      </w:r>
    </w:p>
    <w:p>
      <w:pPr>
        <w:spacing w:after="120"/>
        <w:ind w:firstLine="0"/>
      </w:pPr>
      <w:r>
        <w:rPr>
          <w:rFonts w:ascii="Times New Roman" w:hAnsi="Times New Roman"/>
          <w:sz w:val="24"/>
        </w:rPr>
        <w:t xml:space="preserve">For each decade bin, the relative frequency (percentage representation) of each </w:t>
      </w:r>
      <w:r>
        <w:rPr>
          <w:rFonts w:ascii="Times New Roman" w:hAnsi="Times New Roman"/>
          <w:i/>
          <w:sz w:val="24"/>
        </w:rPr>
        <w:t>E. coli</w:t>
      </w:r>
      <w:r>
        <w:rPr>
          <w:rFonts w:ascii="Times New Roman" w:hAnsi="Times New Roman"/>
          <w:sz w:val="24"/>
        </w:rPr>
        <w:t xml:space="preserve"> cluster within that era's explicit claims was calculated. Relative frequencies were utilized instead of raw counts to normalize for the growing volume of scientific literature over time. The trajectories of the individual research themes were modeled using line plots and stacked bar charts. This decadal shift corresponds directly with the completion of the </w:t>
      </w:r>
      <w:r>
        <w:rPr>
          <w:rFonts w:ascii="Times New Roman" w:hAnsi="Times New Roman"/>
          <w:i/>
          <w:sz w:val="24"/>
        </w:rPr>
        <w:t>E. coli</w:t>
      </w:r>
      <w:r>
        <w:rPr>
          <w:rFonts w:ascii="Times New Roman" w:hAnsi="Times New Roman"/>
          <w:sz w:val="24"/>
        </w:rPr>
        <w:t xml:space="preserve"> genome sequencing in 1997 </w:t>
      </w:r>
      <w:r>
        <w:rPr>
          <w:rFonts w:ascii="Times New Roman" w:hAnsi="Times New Roman"/>
          <w:i/>
          <w:sz w:val="22"/>
        </w:rPr>
        <w:t>[3]</w:t>
      </w:r>
      <w:r>
        <w:rPr>
          <w:rFonts w:ascii="Times New Roman" w:hAnsi="Times New Roman"/>
          <w:sz w:val="24"/>
        </w:rPr>
        <w:t>.</w:t>
      </w:r>
    </w:p>
    <w:p>
      <w:pPr>
        <w:pStyle w:val="Heading2"/>
      </w:pPr>
      <w:r>
        <w:t>3.6 Phase 6: Cross-Organism Comparative Profile Analysis</w:t>
      </w:r>
    </w:p>
    <w:p>
      <w:pPr>
        <w:spacing w:after="120"/>
        <w:ind w:firstLine="0"/>
      </w:pPr>
      <w:r>
        <w:rPr>
          <w:rFonts w:ascii="Times New Roman" w:hAnsi="Times New Roman"/>
          <w:sz w:val="24"/>
        </w:rPr>
        <w:t xml:space="preserve">To contrast </w:t>
      </w:r>
      <w:r>
        <w:rPr>
          <w:rFonts w:ascii="Times New Roman" w:hAnsi="Times New Roman"/>
          <w:i/>
          <w:sz w:val="24"/>
        </w:rPr>
        <w:t>E. coli</w:t>
      </w:r>
      <w:r>
        <w:rPr>
          <w:rFonts w:ascii="Times New Roman" w:hAnsi="Times New Roman"/>
          <w:sz w:val="24"/>
        </w:rPr>
        <w:t xml:space="preserve">'s justification profile against </w:t>
      </w:r>
      <w:r>
        <w:rPr>
          <w:rFonts w:ascii="Times New Roman" w:hAnsi="Times New Roman"/>
          <w:i/>
          <w:sz w:val="24"/>
        </w:rPr>
        <w:t>S. cerevisiae</w:t>
      </w:r>
      <w:r>
        <w:rPr>
          <w:rFonts w:ascii="Times New Roman" w:hAnsi="Times New Roman"/>
          <w:sz w:val="24"/>
        </w:rPr>
        <w:t xml:space="preserve"> and </w:t>
      </w:r>
      <w:r>
        <w:rPr>
          <w:rFonts w:ascii="Times New Roman" w:hAnsi="Times New Roman"/>
          <w:i/>
          <w:sz w:val="24"/>
        </w:rPr>
        <w:t>B. subtilis</w:t>
      </w:r>
      <w:r>
        <w:rPr>
          <w:rFonts w:ascii="Times New Roman" w:hAnsi="Times New Roman"/>
          <w:sz w:val="24"/>
        </w:rPr>
        <w:t>, the normalized distribution of each organism's total clustered claims across the 13 themes was computed.</w:t>
      </w:r>
    </w:p>
    <w:p>
      <w:pPr>
        <w:spacing w:after="120"/>
        <w:ind w:firstLine="0"/>
      </w:pPr>
      <w:r>
        <w:rPr>
          <w:rFonts w:ascii="Times New Roman" w:hAnsi="Times New Roman"/>
          <w:sz w:val="24"/>
        </w:rPr>
        <w:t xml:space="preserve">For each organism, the counts of claims in each cluster were divided by that organism's total number of clustered claims (458 </w:t>
      </w:r>
      <w:r>
        <w:rPr>
          <w:rFonts w:ascii="Times New Roman" w:hAnsi="Times New Roman"/>
          <w:i/>
          <w:sz w:val="24"/>
        </w:rPr>
        <w:t>E. coli</w:t>
      </w:r>
      <w:r>
        <w:rPr>
          <w:rFonts w:ascii="Times New Roman" w:hAnsi="Times New Roman"/>
          <w:sz w:val="24"/>
        </w:rPr>
        <w:t xml:space="preserve">, 880 </w:t>
      </w:r>
      <w:r>
        <w:rPr>
          <w:rFonts w:ascii="Times New Roman" w:hAnsi="Times New Roman"/>
          <w:i/>
          <w:sz w:val="24"/>
        </w:rPr>
        <w:t>S. cerevisiae</w:t>
      </w:r>
      <w:r>
        <w:rPr>
          <w:rFonts w:ascii="Times New Roman" w:hAnsi="Times New Roman"/>
          <w:sz w:val="24"/>
        </w:rPr>
        <w:t xml:space="preserve">, and 212 </w:t>
      </w:r>
      <w:r>
        <w:rPr>
          <w:rFonts w:ascii="Times New Roman" w:hAnsi="Times New Roman"/>
          <w:i/>
          <w:sz w:val="24"/>
        </w:rPr>
        <w:t>B. subtilis</w:t>
      </w:r>
      <w:r>
        <w:rPr>
          <w:rFonts w:ascii="Times New Roman" w:hAnsi="Times New Roman"/>
          <w:sz w:val="24"/>
        </w:rPr>
        <w:t xml:space="preserve"> claims, excluding noise). This column-wise normalization allowed the evaluation of the breadth of each model organism's research profile independently of the size differences in their starting corpora. The comparison matrix was plotted as an annotated heatmap to visualize niche specialization and multi-dimensional dominance.</w:t>
      </w:r>
    </w:p>
    <w:p>
      <w:r>
        <w:br w:type="page"/>
      </w:r>
    </w:p>
    <w:p>
      <w:pPr>
        <w:pStyle w:val="Heading1"/>
      </w:pPr>
      <w:r>
        <w:t>4. Results</w:t>
      </w:r>
    </w:p>
    <w:p>
      <w:pPr>
        <w:spacing w:after="120"/>
        <w:ind w:firstLine="0"/>
      </w:pPr>
      <w:r>
        <w:rPr>
          <w:rFonts w:ascii="Times New Roman" w:hAnsi="Times New Roman"/>
          <w:sz w:val="24"/>
        </w:rPr>
        <w:t>This section presents the empirical and quantitative results generated across the six phases of the computational literature-mining and clustering pipeline.</w:t>
      </w:r>
    </w:p>
    <w:p>
      <w:pPr>
        <w:pStyle w:val="Heading2"/>
      </w:pPr>
      <w:r>
        <w:t>4.1 Dataset Composition and General Characteristics</w:t>
      </w:r>
    </w:p>
    <w:p>
      <w:pPr>
        <w:spacing w:after="120"/>
        <w:ind w:firstLine="0"/>
      </w:pPr>
      <w:r>
        <w:rPr>
          <w:rFonts w:ascii="Times New Roman" w:hAnsi="Times New Roman"/>
          <w:sz w:val="24"/>
        </w:rPr>
        <w:t xml:space="preserve">Following literature retrieval, deduplication, and quality-filtering in Phase 1, the final text corpus comprised </w:t>
      </w:r>
      <w:r>
        <w:rPr>
          <w:rFonts w:ascii="Times New Roman" w:hAnsi="Times New Roman"/>
          <w:b/>
          <w:sz w:val="24"/>
        </w:rPr>
        <w:t>3,273 unique peer-reviewed papers</w:t>
      </w:r>
      <w:r>
        <w:rPr>
          <w:rFonts w:ascii="Times New Roman" w:hAnsi="Times New Roman"/>
          <w:sz w:val="24"/>
        </w:rPr>
        <w:t xml:space="preserve"> containing English abstracts published between 1990 and 2025. The distribution of papers across the three target model microorganisms was:</w:t>
      </w:r>
    </w:p>
    <w:p>
      <w:pPr>
        <w:spacing w:after="60" w:before="20"/>
        <w:ind w:left="720" w:hanging="283"/>
      </w:pPr>
      <w:r>
        <w:rPr>
          <w:rFonts w:ascii="Times New Roman" w:hAnsi="Times New Roman"/>
          <w:sz w:val="22"/>
        </w:rPr>
        <w:t xml:space="preserve">•  </w:t>
      </w:r>
      <w:r>
        <w:rPr>
          <w:rFonts w:ascii="Times New Roman" w:hAnsi="Times New Roman"/>
          <w:b/>
          <w:sz w:val="22"/>
        </w:rPr>
        <w:t>*Escherichia coli* (Subject):</w:t>
      </w:r>
      <w:r>
        <w:rPr>
          <w:rFonts w:ascii="Times New Roman" w:hAnsi="Times New Roman"/>
          <w:sz w:val="22"/>
        </w:rPr>
        <w:t xml:space="preserve"> 2,051 papers (62.7% of the total corpus)</w:t>
      </w:r>
    </w:p>
    <w:p>
      <w:pPr>
        <w:spacing w:after="60" w:before="20"/>
        <w:ind w:left="720" w:hanging="283"/>
      </w:pPr>
      <w:r>
        <w:rPr>
          <w:rFonts w:ascii="Times New Roman" w:hAnsi="Times New Roman"/>
          <w:sz w:val="22"/>
        </w:rPr>
        <w:t xml:space="preserve">•  </w:t>
      </w:r>
      <w:r>
        <w:rPr>
          <w:rFonts w:ascii="Times New Roman" w:hAnsi="Times New Roman"/>
          <w:b/>
          <w:sz w:val="22"/>
        </w:rPr>
        <w:t>*Saccharomyces cerevisiae* (Eukaryotic Control):</w:t>
      </w:r>
      <w:r>
        <w:rPr>
          <w:rFonts w:ascii="Times New Roman" w:hAnsi="Times New Roman"/>
          <w:sz w:val="22"/>
        </w:rPr>
        <w:t xml:space="preserve"> 950 papers (29.0%)</w:t>
      </w:r>
    </w:p>
    <w:p>
      <w:pPr>
        <w:spacing w:after="60" w:before="20"/>
        <w:ind w:left="720" w:hanging="283"/>
      </w:pPr>
      <w:r>
        <w:rPr>
          <w:rFonts w:ascii="Times New Roman" w:hAnsi="Times New Roman"/>
          <w:sz w:val="22"/>
        </w:rPr>
        <w:t xml:space="preserve">•  </w:t>
      </w:r>
      <w:r>
        <w:rPr>
          <w:rFonts w:ascii="Times New Roman" w:hAnsi="Times New Roman"/>
          <w:b/>
          <w:sz w:val="22"/>
        </w:rPr>
        <w:t>*Bacillus subtilis* (Gram-Positive Control):</w:t>
      </w:r>
      <w:r>
        <w:rPr>
          <w:rFonts w:ascii="Times New Roman" w:hAnsi="Times New Roman"/>
          <w:sz w:val="22"/>
        </w:rPr>
        <w:t xml:space="preserve"> 272 papers (8.3%)</w:t>
      </w:r>
    </w:p>
    <w:p>
      <w:pPr>
        <w:spacing w:after="120"/>
        <w:ind w:firstLine="0"/>
      </w:pPr>
      <w:r>
        <w:rPr>
          <w:rFonts w:ascii="Times New Roman" w:hAnsi="Times New Roman"/>
          <w:sz w:val="24"/>
        </w:rPr>
        <w:t>The timeline of the dataset spanned 35 years, with the publication volume showing a steady upward trajectory: 255 papers in 1990–1999, 652 papers in 2000–2009, 1,422 papers in 2010–2019, and 944 papers in 2020–2025 (Figure 3).</w:t>
      </w:r>
    </w:p>
    <w:p>
      <w:pPr>
        <w:spacing w:before="240" w:after="80"/>
        <w:jc w:val="center"/>
      </w:pPr>
      <w:r>
        <w:drawing>
          <wp:inline xmlns:a="http://schemas.openxmlformats.org/drawingml/2006/main" xmlns:pic="http://schemas.openxmlformats.org/drawingml/2006/picture">
            <wp:extent cx="4572000" cy="2720657"/>
            <wp:docPr id="1" name="Picture 1"/>
            <wp:cNvGraphicFramePr>
              <a:graphicFrameLocks noChangeAspect="1"/>
            </wp:cNvGraphicFramePr>
            <a:graphic>
              <a:graphicData uri="http://schemas.openxmlformats.org/drawingml/2006/picture">
                <pic:pic>
                  <pic:nvPicPr>
                    <pic:cNvPr id="0" name="fig3_corpus_composition.png"/>
                    <pic:cNvPicPr/>
                  </pic:nvPicPr>
                  <pic:blipFill>
                    <a:blip r:embed="rId9"/>
                    <a:stretch>
                      <a:fillRect/>
                    </a:stretch>
                  </pic:blipFill>
                  <pic:spPr>
                    <a:xfrm>
                      <a:off x="0" y="0"/>
                      <a:ext cx="4572000" cy="2720657"/>
                    </a:xfrm>
                    <a:prstGeom prst="rect"/>
                  </pic:spPr>
                </pic:pic>
              </a:graphicData>
            </a:graphic>
          </wp:inline>
        </w:drawing>
      </w:r>
    </w:p>
    <w:p>
      <w:pPr>
        <w:spacing w:after="280" w:before="40"/>
        <w:jc w:val="center"/>
      </w:pPr>
      <w:r>
        <w:rPr>
          <w:rFonts w:ascii="Times New Roman" w:hAnsi="Times New Roman"/>
          <w:b/>
          <w:i/>
          <w:sz w:val="20"/>
        </w:rPr>
        <w:t xml:space="preserve">Figure 3. </w:t>
      </w:r>
      <w:r>
        <w:rPr>
          <w:rFonts w:ascii="Times New Roman" w:hAnsi="Times New Roman"/>
          <w:i/>
          <w:sz w:val="20"/>
        </w:rPr>
        <w:t>Corpus composition by organism and publication decade (1990–2025).</w:t>
      </w:r>
    </w:p>
    <w:p>
      <w:pPr>
        <w:spacing w:before="240" w:after="80"/>
        <w:jc w:val="center"/>
      </w:pPr>
      <w:r>
        <w:drawing>
          <wp:inline xmlns:a="http://schemas.openxmlformats.org/drawingml/2006/main" xmlns:pic="http://schemas.openxmlformats.org/drawingml/2006/picture">
            <wp:extent cx="4572000" cy="2720657"/>
            <wp:docPr id="2" name="Picture 2"/>
            <wp:cNvGraphicFramePr>
              <a:graphicFrameLocks noChangeAspect="1"/>
            </wp:cNvGraphicFramePr>
            <a:graphic>
              <a:graphicData uri="http://schemas.openxmlformats.org/drawingml/2006/picture">
                <pic:pic>
                  <pic:nvPicPr>
                    <pic:cNvPr id="0" name="fig3_corpus_composition.png"/>
                    <pic:cNvPicPr/>
                  </pic:nvPicPr>
                  <pic:blipFill>
                    <a:blip r:embed="rId9"/>
                    <a:stretch>
                      <a:fillRect/>
                    </a:stretch>
                  </pic:blipFill>
                  <pic:spPr>
                    <a:xfrm>
                      <a:off x="0" y="0"/>
                      <a:ext cx="4572000" cy="2720657"/>
                    </a:xfrm>
                    <a:prstGeom prst="rect"/>
                  </pic:spPr>
                </pic:pic>
              </a:graphicData>
            </a:graphic>
          </wp:inline>
        </w:drawing>
      </w:r>
    </w:p>
    <w:p>
      <w:pPr>
        <w:spacing w:after="280" w:before="40"/>
        <w:jc w:val="center"/>
      </w:pPr>
      <w:r>
        <w:rPr>
          <w:rFonts w:ascii="Times New Roman" w:hAnsi="Times New Roman"/>
          <w:b/>
          <w:i/>
          <w:sz w:val="20"/>
        </w:rPr>
        <w:t xml:space="preserve">Figure 3. </w:t>
      </w:r>
      <w:r>
        <w:rPr>
          <w:rFonts w:ascii="Times New Roman" w:hAnsi="Times New Roman"/>
          <w:i/>
          <w:sz w:val="20"/>
        </w:rPr>
        <w:t>Corpus composition by organism and publication decade (1990–2025).</w:t>
      </w:r>
    </w:p>
    <w:p>
      <w:pPr>
        <w:pStyle w:val="Heading2"/>
      </w:pPr>
      <w:r>
        <w:t>4.2 Justification Extraction and the Axiomatic Acceptance Gap</w:t>
      </w:r>
    </w:p>
    <w:p>
      <w:pPr>
        <w:spacing w:after="120"/>
        <w:ind w:firstLine="0"/>
      </w:pPr>
      <w:r>
        <w:rPr>
          <w:rFonts w:ascii="Times New Roman" w:hAnsi="Times New Roman"/>
          <w:sz w:val="24"/>
        </w:rPr>
        <w:t>Phase 2 evaluated the 3,273 abstracts using LLM-based structured extraction to determine if authors explicitly explained why they chose their model organism.</w:t>
      </w:r>
    </w:p>
    <w:p>
      <w:pPr>
        <w:spacing w:before="240" w:after="80"/>
        <w:jc w:val="center"/>
      </w:pPr>
      <w:r>
        <w:drawing>
          <wp:inline xmlns:a="http://schemas.openxmlformats.org/drawingml/2006/main" xmlns:pic="http://schemas.openxmlformats.org/drawingml/2006/picture">
            <wp:extent cx="4572000" cy="3013208"/>
            <wp:docPr id="3" name="Picture 3"/>
            <wp:cNvGraphicFramePr>
              <a:graphicFrameLocks noChangeAspect="1"/>
            </wp:cNvGraphicFramePr>
            <a:graphic>
              <a:graphicData uri="http://schemas.openxmlformats.org/drawingml/2006/picture">
                <pic:pic>
                  <pic:nvPicPr>
                    <pic:cNvPr id="0" name="fig1_axiomatic_acceptance_gap.png"/>
                    <pic:cNvPicPr/>
                  </pic:nvPicPr>
                  <pic:blipFill>
                    <a:blip r:embed="rId10"/>
                    <a:stretch>
                      <a:fillRect/>
                    </a:stretch>
                  </pic:blipFill>
                  <pic:spPr>
                    <a:xfrm>
                      <a:off x="0" y="0"/>
                      <a:ext cx="4572000" cy="3013208"/>
                    </a:xfrm>
                    <a:prstGeom prst="rect"/>
                  </pic:spPr>
                </pic:pic>
              </a:graphicData>
            </a:graphic>
          </wp:inline>
        </w:drawing>
      </w:r>
    </w:p>
    <w:p>
      <w:pPr>
        <w:spacing w:after="280" w:before="40"/>
        <w:jc w:val="center"/>
      </w:pPr>
      <w:r>
        <w:rPr>
          <w:rFonts w:ascii="Times New Roman" w:hAnsi="Times New Roman"/>
          <w:b/>
          <w:i/>
          <w:sz w:val="20"/>
        </w:rPr>
        <w:t xml:space="preserve">Figure 1. </w:t>
      </w:r>
      <w:r>
        <w:rPr>
          <w:rFonts w:ascii="Times New Roman" w:hAnsi="Times New Roman"/>
          <w:i/>
          <w:sz w:val="20"/>
        </w:rPr>
        <w:t>The Axiomatic Acceptance Gap — Justification rates across E. coli, S. cerevisiae, and B. subtilis.</w:t>
      </w:r>
    </w:p>
    <w:p>
      <w:pPr>
        <w:spacing w:before="240" w:after="80"/>
        <w:jc w:val="center"/>
      </w:pPr>
      <w:r>
        <w:drawing>
          <wp:inline xmlns:a="http://schemas.openxmlformats.org/drawingml/2006/main" xmlns:pic="http://schemas.openxmlformats.org/drawingml/2006/picture">
            <wp:extent cx="4572000" cy="3599527"/>
            <wp:docPr id="4" name="Picture 4"/>
            <wp:cNvGraphicFramePr>
              <a:graphicFrameLocks noChangeAspect="1"/>
            </wp:cNvGraphicFramePr>
            <a:graphic>
              <a:graphicData uri="http://schemas.openxmlformats.org/drawingml/2006/picture">
                <pic:pic>
                  <pic:nvPicPr>
                    <pic:cNvPr id="0" name="fig2_ecoli_donut.png"/>
                    <pic:cNvPicPr/>
                  </pic:nvPicPr>
                  <pic:blipFill>
                    <a:blip r:embed="rId11"/>
                    <a:stretch>
                      <a:fillRect/>
                    </a:stretch>
                  </pic:blipFill>
                  <pic:spPr>
                    <a:xfrm>
                      <a:off x="0" y="0"/>
                      <a:ext cx="4572000" cy="3599527"/>
                    </a:xfrm>
                    <a:prstGeom prst="rect"/>
                  </pic:spPr>
                </pic:pic>
              </a:graphicData>
            </a:graphic>
          </wp:inline>
        </w:drawing>
      </w:r>
    </w:p>
    <w:p>
      <w:pPr>
        <w:spacing w:after="280" w:before="40"/>
        <w:jc w:val="center"/>
      </w:pPr>
      <w:r>
        <w:rPr>
          <w:rFonts w:ascii="Times New Roman" w:hAnsi="Times New Roman"/>
          <w:b/>
          <w:i/>
          <w:sz w:val="20"/>
        </w:rPr>
        <w:t xml:space="preserve">Figure 2. </w:t>
      </w:r>
      <w:r>
        <w:rPr>
          <w:rFonts w:ascii="Times New Roman" w:hAnsi="Times New Roman"/>
          <w:i/>
          <w:sz w:val="20"/>
        </w:rPr>
        <w:t>Corpus-wide justification split (Explicit vs. Null).</w:t>
      </w:r>
    </w:p>
    <w:p>
      <w:pPr>
        <w:pStyle w:val="Heading3"/>
      </w:pPr>
      <w:r>
        <w:t>4.2.1 The Overall Corpus Split</w:t>
      </w:r>
    </w:p>
    <w:p>
      <w:pPr>
        <w:spacing w:after="120"/>
        <w:ind w:firstLine="0"/>
      </w:pPr>
      <w:r>
        <w:rPr>
          <w:rFonts w:ascii="Times New Roman" w:hAnsi="Times New Roman"/>
          <w:sz w:val="24"/>
        </w:rPr>
        <w:t>Across all three organisms, the corpus was split almost equally between papers containing explicit justifications and those treating the choice as an implicit assumption:</w:t>
      </w:r>
    </w:p>
    <w:p>
      <w:pPr>
        <w:spacing w:after="60" w:before="20"/>
        <w:ind w:left="720" w:hanging="283"/>
      </w:pPr>
      <w:r>
        <w:rPr>
          <w:rFonts w:ascii="Times New Roman" w:hAnsi="Times New Roman"/>
          <w:sz w:val="22"/>
        </w:rPr>
        <w:t xml:space="preserve">•  </w:t>
      </w:r>
      <w:r>
        <w:rPr>
          <w:rFonts w:ascii="Times New Roman" w:hAnsi="Times New Roman"/>
          <w:b/>
          <w:sz w:val="22"/>
        </w:rPr>
        <w:t>Explicit Reason Found:</w:t>
      </w:r>
      <w:r>
        <w:rPr>
          <w:rFonts w:ascii="Times New Roman" w:hAnsi="Times New Roman"/>
          <w:sz w:val="22"/>
        </w:rPr>
        <w:t xml:space="preserve"> 1,626 papers (49.7% of the processed corpus; Figure 2)</w:t>
      </w:r>
    </w:p>
    <w:p>
      <w:pPr>
        <w:spacing w:after="60" w:before="20"/>
        <w:ind w:left="720" w:hanging="283"/>
      </w:pPr>
      <w:r>
        <w:rPr>
          <w:rFonts w:ascii="Times New Roman" w:hAnsi="Times New Roman"/>
          <w:sz w:val="22"/>
        </w:rPr>
        <w:t xml:space="preserve">•  </w:t>
      </w:r>
      <w:r>
        <w:rPr>
          <w:rFonts w:ascii="Times New Roman" w:hAnsi="Times New Roman"/>
          <w:b/>
          <w:sz w:val="22"/>
        </w:rPr>
        <w:t>Null (No Reason Stated):</w:t>
      </w:r>
      <w:r>
        <w:rPr>
          <w:rFonts w:ascii="Times New Roman" w:hAnsi="Times New Roman"/>
          <w:sz w:val="22"/>
        </w:rPr>
        <w:t xml:space="preserve"> 1,643 papers (50.3% of the processed corpus)</w:t>
      </w:r>
    </w:p>
    <w:p>
      <w:pPr>
        <w:spacing w:before="240" w:after="80"/>
        <w:jc w:val="center"/>
      </w:pPr>
      <w:r>
        <w:drawing>
          <wp:inline xmlns:a="http://schemas.openxmlformats.org/drawingml/2006/main" xmlns:pic="http://schemas.openxmlformats.org/drawingml/2006/picture">
            <wp:extent cx="4572000" cy="3013208"/>
            <wp:docPr id="5" name="Picture 5"/>
            <wp:cNvGraphicFramePr>
              <a:graphicFrameLocks noChangeAspect="1"/>
            </wp:cNvGraphicFramePr>
            <a:graphic>
              <a:graphicData uri="http://schemas.openxmlformats.org/drawingml/2006/picture">
                <pic:pic>
                  <pic:nvPicPr>
                    <pic:cNvPr id="0" name="fig1_axiomatic_acceptance_gap.png"/>
                    <pic:cNvPicPr/>
                  </pic:nvPicPr>
                  <pic:blipFill>
                    <a:blip r:embed="rId10"/>
                    <a:stretch>
                      <a:fillRect/>
                    </a:stretch>
                  </pic:blipFill>
                  <pic:spPr>
                    <a:xfrm>
                      <a:off x="0" y="0"/>
                      <a:ext cx="4572000" cy="3013208"/>
                    </a:xfrm>
                    <a:prstGeom prst="rect"/>
                  </pic:spPr>
                </pic:pic>
              </a:graphicData>
            </a:graphic>
          </wp:inline>
        </w:drawing>
      </w:r>
    </w:p>
    <w:p>
      <w:pPr>
        <w:spacing w:after="280" w:before="40"/>
        <w:jc w:val="center"/>
      </w:pPr>
      <w:r>
        <w:rPr>
          <w:rFonts w:ascii="Times New Roman" w:hAnsi="Times New Roman"/>
          <w:b/>
          <w:i/>
          <w:sz w:val="20"/>
        </w:rPr>
        <w:t xml:space="preserve">Figure 1. </w:t>
      </w:r>
      <w:r>
        <w:rPr>
          <w:rFonts w:ascii="Times New Roman" w:hAnsi="Times New Roman"/>
          <w:i/>
          <w:sz w:val="20"/>
        </w:rPr>
        <w:t>The Axiomatic Acceptance Gap — Justification rates across E. coli, S. cerevisiae, and B. subtilis.</w:t>
      </w:r>
    </w:p>
    <w:p>
      <w:pPr>
        <w:spacing w:before="240" w:after="80"/>
        <w:jc w:val="center"/>
      </w:pPr>
      <w:r>
        <w:drawing>
          <wp:inline xmlns:a="http://schemas.openxmlformats.org/drawingml/2006/main" xmlns:pic="http://schemas.openxmlformats.org/drawingml/2006/picture">
            <wp:extent cx="4572000" cy="3599527"/>
            <wp:docPr id="6" name="Picture 6"/>
            <wp:cNvGraphicFramePr>
              <a:graphicFrameLocks noChangeAspect="1"/>
            </wp:cNvGraphicFramePr>
            <a:graphic>
              <a:graphicData uri="http://schemas.openxmlformats.org/drawingml/2006/picture">
                <pic:pic>
                  <pic:nvPicPr>
                    <pic:cNvPr id="0" name="fig2_ecoli_donut.png"/>
                    <pic:cNvPicPr/>
                  </pic:nvPicPr>
                  <pic:blipFill>
                    <a:blip r:embed="rId11"/>
                    <a:stretch>
                      <a:fillRect/>
                    </a:stretch>
                  </pic:blipFill>
                  <pic:spPr>
                    <a:xfrm>
                      <a:off x="0" y="0"/>
                      <a:ext cx="4572000" cy="3599527"/>
                    </a:xfrm>
                    <a:prstGeom prst="rect"/>
                  </pic:spPr>
                </pic:pic>
              </a:graphicData>
            </a:graphic>
          </wp:inline>
        </w:drawing>
      </w:r>
    </w:p>
    <w:p>
      <w:pPr>
        <w:spacing w:after="280" w:before="40"/>
        <w:jc w:val="center"/>
      </w:pPr>
      <w:r>
        <w:rPr>
          <w:rFonts w:ascii="Times New Roman" w:hAnsi="Times New Roman"/>
          <w:b/>
          <w:i/>
          <w:sz w:val="20"/>
        </w:rPr>
        <w:t xml:space="preserve">Figure 2. </w:t>
      </w:r>
      <w:r>
        <w:rPr>
          <w:rFonts w:ascii="Times New Roman" w:hAnsi="Times New Roman"/>
          <w:i/>
          <w:sz w:val="20"/>
        </w:rPr>
        <w:t>Corpus-wide justification split (Explicit vs. Null).</w:t>
      </w:r>
    </w:p>
    <w:p>
      <w:pPr>
        <w:pStyle w:val="Heading3"/>
      </w:pPr>
      <w:r>
        <w:t>4.2.2 The Axiomatic Acceptance Gap (RQ1 Answer)</w:t>
      </w:r>
    </w:p>
    <w:p>
      <w:pPr>
        <w:spacing w:after="60" w:before="20"/>
        <w:ind w:left="720" w:hanging="283"/>
      </w:pPr>
      <w:r>
        <w:rPr>
          <w:rFonts w:ascii="Times New Roman" w:hAnsi="Times New Roman"/>
          <w:sz w:val="22"/>
        </w:rPr>
        <w:t xml:space="preserve">•  </w:t>
      </w:r>
      <w:r>
        <w:rPr>
          <w:rFonts w:ascii="Times New Roman" w:hAnsi="Times New Roman"/>
          <w:b/>
          <w:sz w:val="22"/>
        </w:rPr>
        <w:t>*Escherichia coli*:</w:t>
      </w:r>
      <w:r>
        <w:rPr>
          <w:rFonts w:ascii="Times New Roman" w:hAnsi="Times New Roman"/>
          <w:sz w:val="22"/>
        </w:rPr>
        <w:t xml:space="preserve"> </w:t>
      </w:r>
      <w:r>
        <w:rPr>
          <w:rFonts w:ascii="Times New Roman" w:hAnsi="Times New Roman"/>
          <w:b/>
          <w:sz w:val="22"/>
        </w:rPr>
        <w:t>61.6% Null</w:t>
      </w:r>
      <w:r>
        <w:rPr>
          <w:rFonts w:ascii="Times New Roman" w:hAnsi="Times New Roman"/>
          <w:sz w:val="22"/>
        </w:rPr>
        <w:t xml:space="preserve"> [95% CI: 59.5%–63.7%] (1,263 out of 2,051 papers contain no justification; only 788 papers explicitly justify its use).</w:t>
      </w:r>
    </w:p>
    <w:p>
      <w:pPr>
        <w:spacing w:after="60" w:before="20"/>
        <w:ind w:left="720" w:hanging="283"/>
      </w:pPr>
      <w:r>
        <w:rPr>
          <w:rFonts w:ascii="Times New Roman" w:hAnsi="Times New Roman"/>
          <w:sz w:val="22"/>
        </w:rPr>
        <w:t xml:space="preserve">•  </w:t>
      </w:r>
      <w:r>
        <w:rPr>
          <w:rFonts w:ascii="Times New Roman" w:hAnsi="Times New Roman"/>
          <w:b/>
          <w:sz w:val="22"/>
        </w:rPr>
        <w:t>*Saccharomyces cerevisiae*:</w:t>
      </w:r>
      <w:r>
        <w:rPr>
          <w:rFonts w:ascii="Times New Roman" w:hAnsi="Times New Roman"/>
          <w:sz w:val="22"/>
        </w:rPr>
        <w:t xml:space="preserve"> </w:t>
      </w:r>
      <w:r>
        <w:rPr>
          <w:rFonts w:ascii="Times New Roman" w:hAnsi="Times New Roman"/>
          <w:b/>
          <w:sz w:val="22"/>
        </w:rPr>
        <w:t>31.2% Null</w:t>
      </w:r>
      <w:r>
        <w:rPr>
          <w:rFonts w:ascii="Times New Roman" w:hAnsi="Times New Roman"/>
          <w:sz w:val="22"/>
        </w:rPr>
        <w:t xml:space="preserve"> [95% CI: 28.2%–34.1%] (296 out of 950 papers contain no justification; 654 papers explicitly justify its use).</w:t>
      </w:r>
    </w:p>
    <w:p>
      <w:pPr>
        <w:spacing w:after="60" w:before="20"/>
        <w:ind w:left="720" w:hanging="283"/>
      </w:pPr>
      <w:r>
        <w:rPr>
          <w:rFonts w:ascii="Times New Roman" w:hAnsi="Times New Roman"/>
          <w:sz w:val="22"/>
        </w:rPr>
        <w:t xml:space="preserve">•  </w:t>
      </w:r>
      <w:r>
        <w:rPr>
          <w:rFonts w:ascii="Times New Roman" w:hAnsi="Times New Roman"/>
          <w:b/>
          <w:sz w:val="22"/>
        </w:rPr>
        <w:t>*Bacillus subtilis*:</w:t>
      </w:r>
      <w:r>
        <w:rPr>
          <w:rFonts w:ascii="Times New Roman" w:hAnsi="Times New Roman"/>
          <w:sz w:val="22"/>
        </w:rPr>
        <w:t xml:space="preserve"> </w:t>
      </w:r>
      <w:r>
        <w:rPr>
          <w:rFonts w:ascii="Times New Roman" w:hAnsi="Times New Roman"/>
          <w:b/>
          <w:sz w:val="22"/>
        </w:rPr>
        <w:t>32.4% Null</w:t>
      </w:r>
      <w:r>
        <w:rPr>
          <w:rFonts w:ascii="Times New Roman" w:hAnsi="Times New Roman"/>
          <w:sz w:val="22"/>
        </w:rPr>
        <w:t xml:space="preserve"> [95% CI: 26.8%–37.9%] (88 out of 272 papers contain no justification; 184 papers explicitly justify its use).</w:t>
      </w:r>
    </w:p>
    <w:p>
      <w:pPr>
        <w:spacing w:after="120"/>
        <w:ind w:firstLine="0"/>
      </w:pPr>
      <w:r>
        <w:rPr>
          <w:rFonts w:ascii="Times New Roman" w:hAnsi="Times New Roman"/>
          <w:sz w:val="24"/>
        </w:rPr>
        <w:t xml:space="preserve">To test whether the difference in justification rates across the three organisms is statistically significant, a Chi-square test of independence was performed on the </w:t>
      </w:r>
      <w:r>
        <w:rPr>
          <w:rFonts w:ascii="Times New Roman" w:hAnsi="Times New Roman"/>
          <w:i/>
          <w:sz w:val="24"/>
        </w:rPr>
        <w:t>3 \times 2</w:t>
      </w:r>
      <w:r>
        <w:rPr>
          <w:rFonts w:ascii="Times New Roman" w:hAnsi="Times New Roman"/>
          <w:sz w:val="24"/>
        </w:rPr>
        <w:t xml:space="preserve"> contingency table of organism versus justification status (implicit vs. explicit). The difference was found to be highly significant (</w:t>
      </w:r>
      <w:r>
        <w:rPr>
          <w:rFonts w:ascii="Times New Roman" w:hAnsi="Times New Roman"/>
          <w:i/>
          <w:sz w:val="24"/>
        </w:rPr>
        <w:t>\chi^2(2) = 278.68</w:t>
      </w:r>
      <w:r>
        <w:rPr>
          <w:rFonts w:ascii="Times New Roman" w:hAnsi="Times New Roman"/>
          <w:sz w:val="24"/>
        </w:rPr>
        <w:t xml:space="preserve">, </w:t>
      </w:r>
      <w:r>
        <w:rPr>
          <w:rFonts w:ascii="Times New Roman" w:hAnsi="Times New Roman"/>
          <w:i/>
          <w:sz w:val="24"/>
        </w:rPr>
        <w:t>p &lt; 0.0001</w:t>
      </w:r>
      <w:r>
        <w:rPr>
          <w:rFonts w:ascii="Times New Roman" w:hAnsi="Times New Roman"/>
          <w:sz w:val="24"/>
        </w:rPr>
        <w:t xml:space="preserve">, raw </w:t>
      </w:r>
      <w:r>
        <w:rPr>
          <w:rFonts w:ascii="Times New Roman" w:hAnsi="Times New Roman"/>
          <w:i/>
          <w:sz w:val="24"/>
        </w:rPr>
        <w:t>p = 3.06 \times 10^{-61}</w:t>
      </w:r>
      <w:r>
        <w:rPr>
          <w:rFonts w:ascii="Times New Roman" w:hAnsi="Times New Roman"/>
          <w:sz w:val="24"/>
        </w:rPr>
        <w:t>).</w:t>
      </w:r>
    </w:p>
    <w:p>
      <w:pPr>
        <w:spacing w:after="120"/>
        <w:ind w:firstLine="0"/>
      </w:pPr>
      <w:r>
        <w:rPr>
          <w:rFonts w:ascii="Times New Roman" w:hAnsi="Times New Roman"/>
          <w:sz w:val="24"/>
        </w:rPr>
        <w:t xml:space="preserve">This </w:t>
      </w:r>
      <w:r>
        <w:rPr>
          <w:rFonts w:ascii="Times New Roman" w:hAnsi="Times New Roman"/>
          <w:b/>
          <w:sz w:val="24"/>
        </w:rPr>
        <w:t>Axiomatic Acceptance Gap</w:t>
      </w:r>
      <w:r>
        <w:rPr>
          <w:rFonts w:ascii="Times New Roman" w:hAnsi="Times New Roman"/>
          <w:sz w:val="24"/>
        </w:rPr>
        <w:t xml:space="preserve"> indicates that in nearly two-thirds (61.6%) of </w:t>
      </w:r>
      <w:r>
        <w:rPr>
          <w:rFonts w:ascii="Times New Roman" w:hAnsi="Times New Roman"/>
          <w:i/>
          <w:sz w:val="24"/>
        </w:rPr>
        <w:t>E. coli</w:t>
      </w:r>
      <w:r>
        <w:rPr>
          <w:rFonts w:ascii="Times New Roman" w:hAnsi="Times New Roman"/>
          <w:sz w:val="24"/>
        </w:rPr>
        <w:t xml:space="preserve"> publications, the model status of the bacterium is treated as a self-evident axiom requiring no validation. In contrast, researchers using Yeast and Bacillus feel compelled to explicitly justify their model choice in more than two-thirds of their papers (~68.8% and ~67.6% respectively, visualized in Figure 1).</w:t>
      </w:r>
    </w:p>
    <w:p>
      <w:pPr>
        <w:spacing w:after="120"/>
        <w:ind w:firstLine="0"/>
      </w:pPr>
      <w:r>
        <w:rPr>
          <w:rFonts w:ascii="Times New Roman" w:hAnsi="Times New Roman"/>
          <w:sz w:val="24"/>
        </w:rPr>
        <w:t xml:space="preserve">After removing 7 claims flagged by fuzzy quote verification (0.21% hallucination rate), the papers with explicit justifications yielded a clean dataset of </w:t>
      </w:r>
      <w:r>
        <w:rPr>
          <w:rFonts w:ascii="Times New Roman" w:hAnsi="Times New Roman"/>
          <w:b/>
          <w:sz w:val="24"/>
        </w:rPr>
        <w:t>2,037 explicit claims</w:t>
      </w:r>
      <w:r>
        <w:rPr>
          <w:rFonts w:ascii="Times New Roman" w:hAnsi="Times New Roman"/>
          <w:sz w:val="24"/>
        </w:rPr>
        <w:t xml:space="preserve"> (867 </w:t>
      </w:r>
      <w:r>
        <w:rPr>
          <w:rFonts w:ascii="Times New Roman" w:hAnsi="Times New Roman"/>
          <w:i/>
          <w:sz w:val="24"/>
        </w:rPr>
        <w:t>E. coli</w:t>
      </w:r>
      <w:r>
        <w:rPr>
          <w:rFonts w:ascii="Times New Roman" w:hAnsi="Times New Roman"/>
          <w:sz w:val="24"/>
        </w:rPr>
        <w:t xml:space="preserve">, 944 </w:t>
      </w:r>
      <w:r>
        <w:rPr>
          <w:rFonts w:ascii="Times New Roman" w:hAnsi="Times New Roman"/>
          <w:i/>
          <w:sz w:val="24"/>
        </w:rPr>
        <w:t>S. cerevisiae</w:t>
      </w:r>
      <w:r>
        <w:rPr>
          <w:rFonts w:ascii="Times New Roman" w:hAnsi="Times New Roman"/>
          <w:sz w:val="24"/>
        </w:rPr>
        <w:t xml:space="preserve">, and 226 </w:t>
      </w:r>
      <w:r>
        <w:rPr>
          <w:rFonts w:ascii="Times New Roman" w:hAnsi="Times New Roman"/>
          <w:i/>
          <w:sz w:val="24"/>
        </w:rPr>
        <w:t>B. subtilis</w:t>
      </w:r>
      <w:r>
        <w:rPr>
          <w:rFonts w:ascii="Times New Roman" w:hAnsi="Times New Roman"/>
          <w:sz w:val="24"/>
        </w:rPr>
        <w:t>) for clustering.</w:t>
      </w:r>
    </w:p>
    <w:p>
      <w:pPr>
        <w:spacing w:before="240" w:after="80"/>
        <w:jc w:val="center"/>
      </w:pPr>
      <w:r>
        <w:drawing>
          <wp:inline xmlns:a="http://schemas.openxmlformats.org/drawingml/2006/main" xmlns:pic="http://schemas.openxmlformats.org/drawingml/2006/picture">
            <wp:extent cx="4572000" cy="3013208"/>
            <wp:docPr id="7" name="Picture 7"/>
            <wp:cNvGraphicFramePr>
              <a:graphicFrameLocks noChangeAspect="1"/>
            </wp:cNvGraphicFramePr>
            <a:graphic>
              <a:graphicData uri="http://schemas.openxmlformats.org/drawingml/2006/picture">
                <pic:pic>
                  <pic:nvPicPr>
                    <pic:cNvPr id="0" name="fig1_axiomatic_acceptance_gap.png"/>
                    <pic:cNvPicPr/>
                  </pic:nvPicPr>
                  <pic:blipFill>
                    <a:blip r:embed="rId10"/>
                    <a:stretch>
                      <a:fillRect/>
                    </a:stretch>
                  </pic:blipFill>
                  <pic:spPr>
                    <a:xfrm>
                      <a:off x="0" y="0"/>
                      <a:ext cx="4572000" cy="3013208"/>
                    </a:xfrm>
                    <a:prstGeom prst="rect"/>
                  </pic:spPr>
                </pic:pic>
              </a:graphicData>
            </a:graphic>
          </wp:inline>
        </w:drawing>
      </w:r>
    </w:p>
    <w:p>
      <w:pPr>
        <w:spacing w:after="280" w:before="40"/>
        <w:jc w:val="center"/>
      </w:pPr>
      <w:r>
        <w:rPr>
          <w:rFonts w:ascii="Times New Roman" w:hAnsi="Times New Roman"/>
          <w:b/>
          <w:i/>
          <w:sz w:val="20"/>
        </w:rPr>
        <w:t xml:space="preserve">Figure 1. </w:t>
      </w:r>
      <w:r>
        <w:rPr>
          <w:rFonts w:ascii="Times New Roman" w:hAnsi="Times New Roman"/>
          <w:i/>
          <w:sz w:val="20"/>
        </w:rPr>
        <w:t>The Axiomatic Acceptance Gap — Justification rates across E. coli, S. cerevisiae, and B. subtilis.</w:t>
      </w:r>
    </w:p>
    <w:p>
      <w:pPr>
        <w:spacing w:before="240" w:after="80"/>
        <w:jc w:val="center"/>
      </w:pPr>
      <w:r>
        <w:drawing>
          <wp:inline xmlns:a="http://schemas.openxmlformats.org/drawingml/2006/main" xmlns:pic="http://schemas.openxmlformats.org/drawingml/2006/picture">
            <wp:extent cx="4572000" cy="3599527"/>
            <wp:docPr id="8" name="Picture 8"/>
            <wp:cNvGraphicFramePr>
              <a:graphicFrameLocks noChangeAspect="1"/>
            </wp:cNvGraphicFramePr>
            <a:graphic>
              <a:graphicData uri="http://schemas.openxmlformats.org/drawingml/2006/picture">
                <pic:pic>
                  <pic:nvPicPr>
                    <pic:cNvPr id="0" name="fig2_ecoli_donut.png"/>
                    <pic:cNvPicPr/>
                  </pic:nvPicPr>
                  <pic:blipFill>
                    <a:blip r:embed="rId11"/>
                    <a:stretch>
                      <a:fillRect/>
                    </a:stretch>
                  </pic:blipFill>
                  <pic:spPr>
                    <a:xfrm>
                      <a:off x="0" y="0"/>
                      <a:ext cx="4572000" cy="3599527"/>
                    </a:xfrm>
                    <a:prstGeom prst="rect"/>
                  </pic:spPr>
                </pic:pic>
              </a:graphicData>
            </a:graphic>
          </wp:inline>
        </w:drawing>
      </w:r>
    </w:p>
    <w:p>
      <w:pPr>
        <w:spacing w:after="280" w:before="40"/>
        <w:jc w:val="center"/>
      </w:pPr>
      <w:r>
        <w:rPr>
          <w:rFonts w:ascii="Times New Roman" w:hAnsi="Times New Roman"/>
          <w:b/>
          <w:i/>
          <w:sz w:val="20"/>
        </w:rPr>
        <w:t xml:space="preserve">Figure 2. </w:t>
      </w:r>
      <w:r>
        <w:rPr>
          <w:rFonts w:ascii="Times New Roman" w:hAnsi="Times New Roman"/>
          <w:i/>
          <w:sz w:val="20"/>
        </w:rPr>
        <w:t>Corpus-wide justification split (Explicit vs. Null).</w:t>
      </w:r>
    </w:p>
    <w:p>
      <w:pPr>
        <w:spacing w:before="240" w:after="80"/>
        <w:jc w:val="center"/>
      </w:pPr>
      <w:r>
        <w:drawing>
          <wp:inline xmlns:a="http://schemas.openxmlformats.org/drawingml/2006/main" xmlns:pic="http://schemas.openxmlformats.org/drawingml/2006/picture">
            <wp:extent cx="4572000" cy="3013208"/>
            <wp:docPr id="9" name="Picture 9"/>
            <wp:cNvGraphicFramePr>
              <a:graphicFrameLocks noChangeAspect="1"/>
            </wp:cNvGraphicFramePr>
            <a:graphic>
              <a:graphicData uri="http://schemas.openxmlformats.org/drawingml/2006/picture">
                <pic:pic>
                  <pic:nvPicPr>
                    <pic:cNvPr id="0" name="fig1_axiomatic_acceptance_gap.png"/>
                    <pic:cNvPicPr/>
                  </pic:nvPicPr>
                  <pic:blipFill>
                    <a:blip r:embed="rId10"/>
                    <a:stretch>
                      <a:fillRect/>
                    </a:stretch>
                  </pic:blipFill>
                  <pic:spPr>
                    <a:xfrm>
                      <a:off x="0" y="0"/>
                      <a:ext cx="4572000" cy="3013208"/>
                    </a:xfrm>
                    <a:prstGeom prst="rect"/>
                  </pic:spPr>
                </pic:pic>
              </a:graphicData>
            </a:graphic>
          </wp:inline>
        </w:drawing>
      </w:r>
    </w:p>
    <w:p>
      <w:pPr>
        <w:spacing w:after="280" w:before="40"/>
        <w:jc w:val="center"/>
      </w:pPr>
      <w:r>
        <w:rPr>
          <w:rFonts w:ascii="Times New Roman" w:hAnsi="Times New Roman"/>
          <w:b/>
          <w:i/>
          <w:sz w:val="20"/>
        </w:rPr>
        <w:t xml:space="preserve">Figure 1. </w:t>
      </w:r>
      <w:r>
        <w:rPr>
          <w:rFonts w:ascii="Times New Roman" w:hAnsi="Times New Roman"/>
          <w:i/>
          <w:sz w:val="20"/>
        </w:rPr>
        <w:t>The Axiomatic Acceptance Gap — Justification rates across E. coli, S. cerevisiae, and B. subtilis.</w:t>
      </w:r>
    </w:p>
    <w:p>
      <w:pPr>
        <w:spacing w:before="240" w:after="80"/>
        <w:jc w:val="center"/>
      </w:pPr>
      <w:r>
        <w:drawing>
          <wp:inline xmlns:a="http://schemas.openxmlformats.org/drawingml/2006/main" xmlns:pic="http://schemas.openxmlformats.org/drawingml/2006/picture">
            <wp:extent cx="4572000" cy="3599527"/>
            <wp:docPr id="10" name="Picture 10"/>
            <wp:cNvGraphicFramePr>
              <a:graphicFrameLocks noChangeAspect="1"/>
            </wp:cNvGraphicFramePr>
            <a:graphic>
              <a:graphicData uri="http://schemas.openxmlformats.org/drawingml/2006/picture">
                <pic:pic>
                  <pic:nvPicPr>
                    <pic:cNvPr id="0" name="fig2_ecoli_donut.png"/>
                    <pic:cNvPicPr/>
                  </pic:nvPicPr>
                  <pic:blipFill>
                    <a:blip r:embed="rId11"/>
                    <a:stretch>
                      <a:fillRect/>
                    </a:stretch>
                  </pic:blipFill>
                  <pic:spPr>
                    <a:xfrm>
                      <a:off x="0" y="0"/>
                      <a:ext cx="4572000" cy="3599527"/>
                    </a:xfrm>
                    <a:prstGeom prst="rect"/>
                  </pic:spPr>
                </pic:pic>
              </a:graphicData>
            </a:graphic>
          </wp:inline>
        </w:drawing>
      </w:r>
    </w:p>
    <w:p>
      <w:pPr>
        <w:spacing w:after="280" w:before="40"/>
        <w:jc w:val="center"/>
      </w:pPr>
      <w:r>
        <w:rPr>
          <w:rFonts w:ascii="Times New Roman" w:hAnsi="Times New Roman"/>
          <w:b/>
          <w:i/>
          <w:sz w:val="20"/>
        </w:rPr>
        <w:t xml:space="preserve">Figure 2. </w:t>
      </w:r>
      <w:r>
        <w:rPr>
          <w:rFonts w:ascii="Times New Roman" w:hAnsi="Times New Roman"/>
          <w:i/>
          <w:sz w:val="20"/>
        </w:rPr>
        <w:t>Corpus-wide justification split (Explicit vs. Null).</w:t>
      </w:r>
    </w:p>
    <w:p>
      <w:pPr>
        <w:pStyle w:val="Heading2"/>
      </w:pPr>
      <w:r>
        <w:t>4.3 Thematic Justification Clusters (RQ2 Answer)</w:t>
      </w:r>
    </w:p>
    <w:p>
      <w:pPr>
        <w:spacing w:after="120"/>
        <w:ind w:firstLine="0"/>
      </w:pPr>
      <w:r>
        <w:rPr>
          <w:rFonts w:ascii="Times New Roman" w:hAnsi="Times New Roman"/>
          <w:sz w:val="24"/>
        </w:rPr>
        <w:t xml:space="preserve">Unsupervised density-based clustering (HDBSCAN) of the 2,037 PubMedBERT embeddings in the 10D UMAP space identified </w:t>
      </w:r>
      <w:r>
        <w:rPr>
          <w:rFonts w:ascii="Times New Roman" w:hAnsi="Times New Roman"/>
          <w:b/>
          <w:sz w:val="24"/>
        </w:rPr>
        <w:t>13 distinct clusters</w:t>
      </w:r>
      <w:r>
        <w:rPr>
          <w:rFonts w:ascii="Times New Roman" w:hAnsi="Times New Roman"/>
          <w:sz w:val="24"/>
        </w:rPr>
        <w:t xml:space="preserve"> (Cluster 0 to 12) representing primary themes of scientific justification. A total of 487 claims (23.91%) were classified as noise (outliers, Cluster -1). The Silhouette score of the clustered points was </w:t>
      </w:r>
      <w:r>
        <w:rPr>
          <w:rFonts w:ascii="Times New Roman" w:hAnsi="Times New Roman"/>
          <w:b/>
          <w:sz w:val="24"/>
        </w:rPr>
        <w:t>0.5388</w:t>
      </w:r>
      <w:r>
        <w:rPr>
          <w:rFonts w:ascii="Times New Roman" w:hAnsi="Times New Roman"/>
          <w:sz w:val="24"/>
        </w:rPr>
        <w:t>, confirming robust semantic separation.</w:t>
      </w:r>
    </w:p>
    <w:p>
      <w:pPr>
        <w:spacing w:after="120"/>
        <w:ind w:firstLine="0"/>
      </w:pPr>
      <w:r>
        <w:rPr>
          <w:rFonts w:ascii="Times New Roman" w:hAnsi="Times New Roman"/>
          <w:sz w:val="24"/>
        </w:rPr>
        <w:t>Table 4.1 summarizes the size, dominant organism, dominant category, and representative exemplar claims for the 13 clusters. The spatial separation of the semantic clusters is projected in 2D UMAP space (Figure 5). Additionally, Figure 4 () provides a treemap of E. coli's explicit justifications across the 9 dominant E. coli themes, showing the relative size and share of each category.</w:t>
      </w:r>
    </w:p>
    <w:p>
      <w:pPr>
        <w:spacing w:before="240" w:after="120"/>
        <w:jc w:val="center"/>
      </w:pPr>
      <w:r>
        <w:rPr>
          <w:rFonts w:ascii="Times New Roman" w:hAnsi="Times New Roman"/>
          <w:b/>
          <w:sz w:val="20"/>
        </w:rPr>
        <w:t>Table 4.1: Thematic Cluster Analysis Summary</w:t>
      </w:r>
    </w:p>
    <w:tbl>
      <w:tblPr>
        <w:tblStyle w:val="TableGrid"/>
        <w:tblW w:type="auto" w:w="0"/>
        <w:jc w:val="center"/>
        <w:tblLook w:firstColumn="1" w:firstRow="1" w:lastColumn="0" w:lastRow="0" w:noHBand="0" w:noVBand="1" w:val="04A0"/>
      </w:tblPr>
      <w:tblGrid>
        <w:gridCol w:w="1499"/>
        <w:gridCol w:w="1499"/>
        <w:gridCol w:w="1499"/>
        <w:gridCol w:w="1499"/>
        <w:gridCol w:w="1499"/>
        <w:gridCol w:w="1499"/>
      </w:tblGrid>
      <w:tr>
        <w:tc>
          <w:tcPr>
            <w:tcW w:type="dxa" w:w="850"/>
            <w:shd w:fill="2E4057"/>
          </w:tcPr>
          <w:p>
            <w:pPr>
              <w:spacing w:after="40" w:before="40"/>
              <w:jc w:val="center"/>
            </w:pPr>
            <w:r/>
            <w:r>
              <w:rPr>
                <w:rFonts w:ascii="Times New Roman" w:hAnsi="Times New Roman"/>
                <w:b/>
                <w:color w:val="FFFFFF"/>
                <w:sz w:val="16"/>
              </w:rPr>
              <w:t>Cluster ID</w:t>
            </w:r>
          </w:p>
        </w:tc>
        <w:tc>
          <w:tcPr>
            <w:tcW w:type="dxa" w:w="2268"/>
            <w:shd w:fill="2E4057"/>
          </w:tcPr>
          <w:p>
            <w:pPr>
              <w:spacing w:after="40" w:before="40"/>
              <w:jc w:val="center"/>
            </w:pPr>
            <w:r/>
            <w:r>
              <w:rPr>
                <w:rFonts w:ascii="Times New Roman" w:hAnsi="Times New Roman"/>
                <w:b/>
                <w:color w:val="FFFFFF"/>
                <w:sz w:val="16"/>
              </w:rPr>
              <w:t>Theme Name</w:t>
            </w:r>
          </w:p>
        </w:tc>
        <w:tc>
          <w:tcPr>
            <w:tcW w:type="dxa" w:w="680"/>
            <w:shd w:fill="2E4057"/>
          </w:tcPr>
          <w:p>
            <w:pPr>
              <w:spacing w:after="40" w:before="40"/>
              <w:jc w:val="center"/>
            </w:pPr>
            <w:r/>
            <w:r>
              <w:rPr>
                <w:rFonts w:ascii="Times New Roman" w:hAnsi="Times New Roman"/>
                <w:b/>
                <w:color w:val="FFFFFF"/>
                <w:sz w:val="16"/>
              </w:rPr>
              <w:t>Size</w:t>
            </w:r>
          </w:p>
        </w:tc>
        <w:tc>
          <w:tcPr>
            <w:tcW w:type="dxa" w:w="1417"/>
            <w:shd w:fill="2E4057"/>
          </w:tcPr>
          <w:p>
            <w:pPr>
              <w:spacing w:after="40" w:before="40"/>
              <w:jc w:val="center"/>
            </w:pPr>
            <w:r/>
            <w:r>
              <w:rPr>
                <w:rFonts w:ascii="Times New Roman" w:hAnsi="Times New Roman"/>
                <w:b/>
                <w:color w:val="FFFFFF"/>
                <w:sz w:val="16"/>
              </w:rPr>
              <w:t>Dom. Organism (%)</w:t>
            </w:r>
          </w:p>
        </w:tc>
        <w:tc>
          <w:tcPr>
            <w:tcW w:type="dxa" w:w="1134"/>
            <w:shd w:fill="2E4057"/>
          </w:tcPr>
          <w:p>
            <w:pPr>
              <w:spacing w:after="40" w:before="40"/>
              <w:jc w:val="center"/>
            </w:pPr>
            <w:r/>
            <w:r>
              <w:rPr>
                <w:rFonts w:ascii="Times New Roman" w:hAnsi="Times New Roman"/>
                <w:b/>
                <w:color w:val="FFFFFF"/>
                <w:sz w:val="16"/>
              </w:rPr>
              <w:t>Dom. Category</w:t>
            </w:r>
          </w:p>
        </w:tc>
        <w:tc>
          <w:tcPr>
            <w:tcW w:type="dxa" w:w="3118"/>
            <w:shd w:fill="2E4057"/>
          </w:tcPr>
          <w:p>
            <w:pPr>
              <w:spacing w:after="40" w:before="40"/>
              <w:jc w:val="center"/>
            </w:pPr>
            <w:r/>
            <w:r>
              <w:rPr>
                <w:rFonts w:ascii="Times New Roman" w:hAnsi="Times New Roman"/>
                <w:b/>
                <w:color w:val="FFFFFF"/>
                <w:sz w:val="16"/>
              </w:rPr>
              <w:t>Exemplar Claim (Closest to Centroid)</w:t>
            </w:r>
          </w:p>
        </w:tc>
      </w:tr>
      <w:tr>
        <w:tc>
          <w:tcPr>
            <w:tcW w:type="dxa" w:w="850"/>
          </w:tcPr>
          <w:p>
            <w:pPr>
              <w:spacing w:after="40" w:before="40"/>
            </w:pPr>
            <w:r/>
            <w:r>
              <w:rPr>
                <w:rFonts w:ascii="Times New Roman" w:hAnsi="Times New Roman"/>
                <w:sz w:val="16"/>
              </w:rPr>
              <w:t>0</w:t>
            </w:r>
          </w:p>
        </w:tc>
        <w:tc>
          <w:tcPr>
            <w:tcW w:type="dxa" w:w="2268"/>
          </w:tcPr>
          <w:p>
            <w:pPr>
              <w:spacing w:after="40" w:before="40"/>
            </w:pPr>
            <w:r/>
            <w:r>
              <w:rPr>
                <w:rFonts w:ascii="Times New Roman" w:hAnsi="Times New Roman"/>
                <w:sz w:val="16"/>
              </w:rPr>
              <w:t>Gram-Positive Physiology, Endospore Formation, and Industrial Bioprocessing (B. subtilis)</w:t>
            </w:r>
          </w:p>
        </w:tc>
        <w:tc>
          <w:tcPr>
            <w:tcW w:type="dxa" w:w="680"/>
          </w:tcPr>
          <w:p>
            <w:pPr>
              <w:spacing w:after="40" w:before="40"/>
            </w:pPr>
            <w:r/>
            <w:r>
              <w:rPr>
                <w:rFonts w:ascii="Times New Roman" w:hAnsi="Times New Roman"/>
                <w:sz w:val="16"/>
              </w:rPr>
              <w:t>166</w:t>
            </w:r>
          </w:p>
        </w:tc>
        <w:tc>
          <w:tcPr>
            <w:tcW w:type="dxa" w:w="1417"/>
          </w:tcPr>
          <w:p>
            <w:pPr>
              <w:spacing w:after="40" w:before="40"/>
            </w:pPr>
            <w:r/>
            <w:r>
              <w:rPr>
                <w:rFonts w:ascii="Times New Roman" w:hAnsi="Times New Roman"/>
                <w:sz w:val="16"/>
              </w:rPr>
              <w:t>B. subtilis (88.6%)</w:t>
            </w:r>
          </w:p>
        </w:tc>
        <w:tc>
          <w:tcPr>
            <w:tcW w:type="dxa" w:w="1134"/>
          </w:tcPr>
          <w:p>
            <w:pPr>
              <w:spacing w:after="40" w:before="40"/>
            </w:pPr>
            <w:r/>
            <w:r>
              <w:rPr>
                <w:rFonts w:ascii="Times New Roman" w:hAnsi="Times New Roman"/>
                <w:sz w:val="16"/>
              </w:rPr>
              <w:t>biological</w:t>
            </w:r>
          </w:p>
        </w:tc>
        <w:tc>
          <w:tcPr>
            <w:tcW w:type="dxa" w:w="3118"/>
          </w:tcPr>
          <w:p>
            <w:pPr>
              <w:spacing w:after="40" w:before="40"/>
            </w:pPr>
            <w:r/>
            <w:r>
              <w:rPr>
                <w:rFonts w:ascii="Times New Roman" w:hAnsi="Times New Roman"/>
                <w:sz w:val="16"/>
              </w:rPr>
              <w:t>"B. subtilis is used because it serves as a model organism for Gram-positive spore-forming bacteria"</w:t>
            </w:r>
          </w:p>
        </w:tc>
      </w:tr>
      <w:tr>
        <w:tc>
          <w:tcPr>
            <w:tcW w:type="dxa" w:w="850"/>
            <w:shd w:fill="F2F6FA"/>
          </w:tcPr>
          <w:p>
            <w:pPr>
              <w:spacing w:after="40" w:before="40"/>
            </w:pPr>
            <w:r/>
            <w:r>
              <w:rPr>
                <w:rFonts w:ascii="Times New Roman" w:hAnsi="Times New Roman"/>
                <w:sz w:val="16"/>
              </w:rPr>
              <w:t>1</w:t>
            </w:r>
          </w:p>
        </w:tc>
        <w:tc>
          <w:tcPr>
            <w:tcW w:type="dxa" w:w="2268"/>
            <w:shd w:fill="F2F6FA"/>
          </w:tcPr>
          <w:p>
            <w:pPr>
              <w:spacing w:after="40" w:before="40"/>
            </w:pPr>
            <w:r/>
            <w:r>
              <w:rPr>
                <w:rFonts w:ascii="Times New Roman" w:hAnsi="Times New Roman"/>
                <w:sz w:val="16"/>
              </w:rPr>
              <w:t>Gram-Positive Bacterium Model Definition</w:t>
            </w:r>
          </w:p>
        </w:tc>
        <w:tc>
          <w:tcPr>
            <w:tcW w:type="dxa" w:w="680"/>
            <w:shd w:fill="F2F6FA"/>
          </w:tcPr>
          <w:p>
            <w:pPr>
              <w:spacing w:after="40" w:before="40"/>
            </w:pPr>
            <w:r/>
            <w:r>
              <w:rPr>
                <w:rFonts w:ascii="Times New Roman" w:hAnsi="Times New Roman"/>
                <w:sz w:val="16"/>
              </w:rPr>
              <w:t>29</w:t>
            </w:r>
          </w:p>
        </w:tc>
        <w:tc>
          <w:tcPr>
            <w:tcW w:type="dxa" w:w="1417"/>
            <w:shd w:fill="F2F6FA"/>
          </w:tcPr>
          <w:p>
            <w:pPr>
              <w:spacing w:after="40" w:before="40"/>
            </w:pPr>
            <w:r/>
            <w:r>
              <w:rPr>
                <w:rFonts w:ascii="Times New Roman" w:hAnsi="Times New Roman"/>
                <w:sz w:val="16"/>
              </w:rPr>
              <w:t>B. subtilis (82.8%)</w:t>
            </w:r>
          </w:p>
        </w:tc>
        <w:tc>
          <w:tcPr>
            <w:tcW w:type="dxa" w:w="1134"/>
            <w:shd w:fill="F2F6FA"/>
          </w:tcPr>
          <w:p>
            <w:pPr>
              <w:spacing w:after="40" w:before="40"/>
            </w:pPr>
            <w:r/>
            <w:r>
              <w:rPr>
                <w:rFonts w:ascii="Times New Roman" w:hAnsi="Times New Roman"/>
                <w:sz w:val="16"/>
              </w:rPr>
              <w:t>biological</w:t>
            </w:r>
          </w:p>
        </w:tc>
        <w:tc>
          <w:tcPr>
            <w:tcW w:type="dxa" w:w="3118"/>
            <w:shd w:fill="F2F6FA"/>
          </w:tcPr>
          <w:p>
            <w:pPr>
              <w:spacing w:after="40" w:before="40"/>
            </w:pPr>
            <w:r/>
            <w:r>
              <w:rPr>
                <w:rFonts w:ascii="Times New Roman" w:hAnsi="Times New Roman"/>
                <w:sz w:val="16"/>
              </w:rPr>
              <w:t>"It is a model organism of Gram-positive bacteria"</w:t>
            </w:r>
          </w:p>
        </w:tc>
      </w:tr>
      <w:tr>
        <w:tc>
          <w:tcPr>
            <w:tcW w:type="dxa" w:w="850"/>
          </w:tcPr>
          <w:p>
            <w:pPr>
              <w:spacing w:after="40" w:before="40"/>
            </w:pPr>
            <w:r/>
            <w:r>
              <w:rPr>
                <w:rFonts w:ascii="Times New Roman" w:hAnsi="Times New Roman"/>
                <w:sz w:val="16"/>
              </w:rPr>
              <w:t>2</w:t>
            </w:r>
          </w:p>
        </w:tc>
        <w:tc>
          <w:tcPr>
            <w:tcW w:type="dxa" w:w="2268"/>
          </w:tcPr>
          <w:p>
            <w:pPr>
              <w:spacing w:after="40" w:before="40"/>
            </w:pPr>
            <w:r/>
            <w:r>
              <w:rPr>
                <w:rFonts w:ascii="Times New Roman" w:hAnsi="Times New Roman"/>
                <w:sz w:val="16"/>
              </w:rPr>
              <w:t>Eukaryotic Cell Biology, Conserved Metabolic Pathways, and Human Disease Modeling (S. cerevisiae)</w:t>
            </w:r>
          </w:p>
        </w:tc>
        <w:tc>
          <w:tcPr>
            <w:tcW w:type="dxa" w:w="680"/>
          </w:tcPr>
          <w:p>
            <w:pPr>
              <w:spacing w:after="40" w:before="40"/>
            </w:pPr>
            <w:r/>
            <w:r>
              <w:rPr>
                <w:rFonts w:ascii="Times New Roman" w:hAnsi="Times New Roman"/>
                <w:sz w:val="16"/>
              </w:rPr>
              <w:t>530</w:t>
            </w:r>
          </w:p>
        </w:tc>
        <w:tc>
          <w:tcPr>
            <w:tcW w:type="dxa" w:w="1417"/>
          </w:tcPr>
          <w:p>
            <w:pPr>
              <w:spacing w:after="40" w:before="40"/>
            </w:pPr>
            <w:r/>
            <w:r>
              <w:rPr>
                <w:rFonts w:ascii="Times New Roman" w:hAnsi="Times New Roman"/>
                <w:sz w:val="16"/>
              </w:rPr>
              <w:t>S. cerevisiae (98.5%)</w:t>
            </w:r>
          </w:p>
        </w:tc>
        <w:tc>
          <w:tcPr>
            <w:tcW w:type="dxa" w:w="1134"/>
          </w:tcPr>
          <w:p>
            <w:pPr>
              <w:spacing w:after="40" w:before="40"/>
            </w:pPr>
            <w:r/>
            <w:r>
              <w:rPr>
                <w:rFonts w:ascii="Times New Roman" w:hAnsi="Times New Roman"/>
                <w:sz w:val="16"/>
              </w:rPr>
              <w:t>biological</w:t>
            </w:r>
          </w:p>
        </w:tc>
        <w:tc>
          <w:tcPr>
            <w:tcW w:type="dxa" w:w="3118"/>
          </w:tcPr>
          <w:p>
            <w:pPr>
              <w:spacing w:after="40" w:before="40"/>
            </w:pPr>
            <w:r/>
            <w:r>
              <w:rPr>
                <w:rFonts w:ascii="Times New Roman" w:hAnsi="Times New Roman"/>
                <w:sz w:val="16"/>
              </w:rPr>
              <w:t>"Yeast is used because it serves as a model organism for studying genetic mechanisms that are difficult to investigate in mammalian cells"</w:t>
            </w:r>
          </w:p>
        </w:tc>
      </w:tr>
      <w:tr>
        <w:tc>
          <w:tcPr>
            <w:tcW w:type="dxa" w:w="850"/>
            <w:shd w:fill="F2F6FA"/>
          </w:tcPr>
          <w:p>
            <w:pPr>
              <w:spacing w:after="40" w:before="40"/>
            </w:pPr>
            <w:r/>
            <w:r>
              <w:rPr>
                <w:rFonts w:ascii="Times New Roman" w:hAnsi="Times New Roman"/>
                <w:sz w:val="16"/>
              </w:rPr>
              <w:t>3</w:t>
            </w:r>
          </w:p>
        </w:tc>
        <w:tc>
          <w:tcPr>
            <w:tcW w:type="dxa" w:w="2268"/>
            <w:shd w:fill="F2F6FA"/>
          </w:tcPr>
          <w:p>
            <w:pPr>
              <w:spacing w:after="40" w:before="40"/>
            </w:pPr>
            <w:r/>
            <w:r>
              <w:rPr>
                <w:rFonts w:ascii="Times New Roman" w:hAnsi="Times New Roman"/>
                <w:sz w:val="16"/>
              </w:rPr>
              <w:t>Genetic Tractability, Molecular Tooling, and Industrial Cell Factories</w:t>
            </w:r>
          </w:p>
        </w:tc>
        <w:tc>
          <w:tcPr>
            <w:tcW w:type="dxa" w:w="680"/>
            <w:shd w:fill="F2F6FA"/>
          </w:tcPr>
          <w:p>
            <w:pPr>
              <w:spacing w:after="40" w:before="40"/>
            </w:pPr>
            <w:r/>
            <w:r>
              <w:rPr>
                <w:rFonts w:ascii="Times New Roman" w:hAnsi="Times New Roman"/>
                <w:sz w:val="16"/>
              </w:rPr>
              <w:t>433</w:t>
            </w:r>
          </w:p>
        </w:tc>
        <w:tc>
          <w:tcPr>
            <w:tcW w:type="dxa" w:w="1417"/>
            <w:shd w:fill="F2F6FA"/>
          </w:tcPr>
          <w:p>
            <w:pPr>
              <w:spacing w:after="40" w:before="40"/>
            </w:pPr>
            <w:r/>
            <w:r>
              <w:rPr>
                <w:rFonts w:ascii="Times New Roman" w:hAnsi="Times New Roman"/>
                <w:sz w:val="16"/>
              </w:rPr>
              <w:t>S. cerevisiae (80.6%)</w:t>
            </w:r>
          </w:p>
        </w:tc>
        <w:tc>
          <w:tcPr>
            <w:tcW w:type="dxa" w:w="1134"/>
            <w:shd w:fill="F2F6FA"/>
          </w:tcPr>
          <w:p>
            <w:pPr>
              <w:spacing w:after="40" w:before="40"/>
            </w:pPr>
            <w:r/>
            <w:r>
              <w:rPr>
                <w:rFonts w:ascii="Times New Roman" w:hAnsi="Times New Roman"/>
                <w:sz w:val="16"/>
              </w:rPr>
              <w:t>biological</w:t>
            </w:r>
          </w:p>
        </w:tc>
        <w:tc>
          <w:tcPr>
            <w:tcW w:type="dxa" w:w="3118"/>
            <w:shd w:fill="F2F6FA"/>
          </w:tcPr>
          <w:p>
            <w:pPr>
              <w:spacing w:after="40" w:before="40"/>
            </w:pPr>
            <w:r/>
            <w:r>
              <w:rPr>
                <w:rFonts w:ascii="Times New Roman" w:hAnsi="Times New Roman"/>
                <w:sz w:val="16"/>
              </w:rPr>
              <w:t>"Vast knowledge accumulated over decades of research"</w:t>
            </w:r>
          </w:p>
        </w:tc>
      </w:tr>
      <w:tr>
        <w:tc>
          <w:tcPr>
            <w:tcW w:type="dxa" w:w="850"/>
          </w:tcPr>
          <w:p>
            <w:pPr>
              <w:spacing w:after="40" w:before="40"/>
            </w:pPr>
            <w:r/>
            <w:r>
              <w:rPr>
                <w:rFonts w:ascii="Times New Roman" w:hAnsi="Times New Roman"/>
                <w:sz w:val="16"/>
              </w:rPr>
              <w:t>4</w:t>
            </w:r>
          </w:p>
        </w:tc>
        <w:tc>
          <w:tcPr>
            <w:tcW w:type="dxa" w:w="2268"/>
          </w:tcPr>
          <w:p>
            <w:pPr>
              <w:spacing w:after="40" w:before="40"/>
            </w:pPr>
            <w:r/>
            <w:r>
              <w:rPr>
                <w:rFonts w:ascii="Times New Roman" w:hAnsi="Times New Roman"/>
                <w:sz w:val="16"/>
              </w:rPr>
              <w:t>Experimental Rationale for Organism Selection (E. coli)</w:t>
            </w:r>
          </w:p>
        </w:tc>
        <w:tc>
          <w:tcPr>
            <w:tcW w:type="dxa" w:w="680"/>
          </w:tcPr>
          <w:p>
            <w:pPr>
              <w:spacing w:after="40" w:before="40"/>
            </w:pPr>
            <w:r/>
            <w:r>
              <w:rPr>
                <w:rFonts w:ascii="Times New Roman" w:hAnsi="Times New Roman"/>
                <w:sz w:val="16"/>
              </w:rPr>
              <w:t>25</w:t>
            </w:r>
          </w:p>
        </w:tc>
        <w:tc>
          <w:tcPr>
            <w:tcW w:type="dxa" w:w="1417"/>
          </w:tcPr>
          <w:p>
            <w:pPr>
              <w:spacing w:after="40" w:before="40"/>
            </w:pPr>
            <w:r/>
            <w:r>
              <w:rPr>
                <w:rFonts w:ascii="Times New Roman" w:hAnsi="Times New Roman"/>
                <w:sz w:val="16"/>
              </w:rPr>
              <w:t>E. coli (100.0%)</w:t>
            </w:r>
          </w:p>
        </w:tc>
        <w:tc>
          <w:tcPr>
            <w:tcW w:type="dxa" w:w="1134"/>
          </w:tcPr>
          <w:p>
            <w:pPr>
              <w:spacing w:after="40" w:before="40"/>
            </w:pPr>
            <w:r/>
            <w:r>
              <w:rPr>
                <w:rFonts w:ascii="Times New Roman" w:hAnsi="Times New Roman"/>
                <w:sz w:val="16"/>
              </w:rPr>
              <w:t>biological</w:t>
            </w:r>
          </w:p>
        </w:tc>
        <w:tc>
          <w:tcPr>
            <w:tcW w:type="dxa" w:w="3118"/>
          </w:tcPr>
          <w:p>
            <w:pPr>
              <w:spacing w:after="40" w:before="40"/>
            </w:pPr>
            <w:r/>
            <w:r>
              <w:rPr>
                <w:rFonts w:ascii="Times New Roman" w:hAnsi="Times New Roman"/>
                <w:sz w:val="16"/>
              </w:rPr>
              <w:t>"E. coli was chosen because it is a model bacterium"</w:t>
            </w:r>
          </w:p>
        </w:tc>
      </w:tr>
      <w:tr>
        <w:tc>
          <w:tcPr>
            <w:tcW w:type="dxa" w:w="850"/>
            <w:shd w:fill="F2F6FA"/>
          </w:tcPr>
          <w:p>
            <w:pPr>
              <w:spacing w:after="40" w:before="40"/>
            </w:pPr>
            <w:r/>
            <w:r>
              <w:rPr>
                <w:rFonts w:ascii="Times New Roman" w:hAnsi="Times New Roman"/>
                <w:sz w:val="16"/>
              </w:rPr>
              <w:t>5</w:t>
            </w:r>
          </w:p>
        </w:tc>
        <w:tc>
          <w:tcPr>
            <w:tcW w:type="dxa" w:w="2268"/>
            <w:shd w:fill="F2F6FA"/>
          </w:tcPr>
          <w:p>
            <w:pPr>
              <w:spacing w:after="40" w:before="40"/>
            </w:pPr>
            <w:r/>
            <w:r>
              <w:rPr>
                <w:rFonts w:ascii="Times New Roman" w:hAnsi="Times New Roman"/>
                <w:sz w:val="16"/>
              </w:rPr>
              <w:t>Standard Model Bacterium Utility and Characterization (E. coli)</w:t>
            </w:r>
          </w:p>
        </w:tc>
        <w:tc>
          <w:tcPr>
            <w:tcW w:type="dxa" w:w="680"/>
            <w:shd w:fill="F2F6FA"/>
          </w:tcPr>
          <w:p>
            <w:pPr>
              <w:spacing w:after="40" w:before="40"/>
            </w:pPr>
            <w:r/>
            <w:r>
              <w:rPr>
                <w:rFonts w:ascii="Times New Roman" w:hAnsi="Times New Roman"/>
                <w:sz w:val="16"/>
              </w:rPr>
              <w:t>40</w:t>
            </w:r>
          </w:p>
        </w:tc>
        <w:tc>
          <w:tcPr>
            <w:tcW w:type="dxa" w:w="1417"/>
            <w:shd w:fill="F2F6FA"/>
          </w:tcPr>
          <w:p>
            <w:pPr>
              <w:spacing w:after="40" w:before="40"/>
            </w:pPr>
            <w:r/>
            <w:r>
              <w:rPr>
                <w:rFonts w:ascii="Times New Roman" w:hAnsi="Times New Roman"/>
                <w:sz w:val="16"/>
              </w:rPr>
              <w:t>E. coli (100.0%)</w:t>
            </w:r>
          </w:p>
        </w:tc>
        <w:tc>
          <w:tcPr>
            <w:tcW w:type="dxa" w:w="1134"/>
            <w:shd w:fill="F2F6FA"/>
          </w:tcPr>
          <w:p>
            <w:pPr>
              <w:spacing w:after="40" w:before="40"/>
            </w:pPr>
            <w:r/>
            <w:r>
              <w:rPr>
                <w:rFonts w:ascii="Times New Roman" w:hAnsi="Times New Roman"/>
                <w:sz w:val="16"/>
              </w:rPr>
              <w:t>biological</w:t>
            </w:r>
          </w:p>
        </w:tc>
        <w:tc>
          <w:tcPr>
            <w:tcW w:type="dxa" w:w="3118"/>
            <w:shd w:fill="F2F6FA"/>
          </w:tcPr>
          <w:p>
            <w:pPr>
              <w:spacing w:after="40" w:before="40"/>
            </w:pPr>
            <w:r/>
            <w:r>
              <w:rPr>
                <w:rFonts w:ascii="Times New Roman" w:hAnsi="Times New Roman"/>
                <w:sz w:val="16"/>
              </w:rPr>
              <w:t>"E. coli is used because it is a well-established model bacterium"</w:t>
            </w:r>
          </w:p>
        </w:tc>
      </w:tr>
      <w:tr>
        <w:tc>
          <w:tcPr>
            <w:tcW w:type="dxa" w:w="850"/>
          </w:tcPr>
          <w:p>
            <w:pPr>
              <w:spacing w:after="40" w:before="40"/>
            </w:pPr>
            <w:r/>
            <w:r>
              <w:rPr>
                <w:rFonts w:ascii="Times New Roman" w:hAnsi="Times New Roman"/>
                <w:sz w:val="16"/>
              </w:rPr>
              <w:t>6</w:t>
            </w:r>
          </w:p>
        </w:tc>
        <w:tc>
          <w:tcPr>
            <w:tcW w:type="dxa" w:w="2268"/>
          </w:tcPr>
          <w:p>
            <w:pPr>
              <w:spacing w:after="40" w:before="40"/>
            </w:pPr>
            <w:r/>
            <w:r>
              <w:rPr>
                <w:rFonts w:ascii="Times New Roman" w:hAnsi="Times New Roman"/>
                <w:sz w:val="16"/>
              </w:rPr>
              <w:t>Heterologous Protein Expression and Recombinant Production Chassis (E. coli)</w:t>
            </w:r>
          </w:p>
        </w:tc>
        <w:tc>
          <w:tcPr>
            <w:tcW w:type="dxa" w:w="680"/>
          </w:tcPr>
          <w:p>
            <w:pPr>
              <w:spacing w:after="40" w:before="40"/>
            </w:pPr>
            <w:r/>
            <w:r>
              <w:rPr>
                <w:rFonts w:ascii="Times New Roman" w:hAnsi="Times New Roman"/>
                <w:sz w:val="16"/>
              </w:rPr>
              <w:t>64</w:t>
            </w:r>
          </w:p>
        </w:tc>
        <w:tc>
          <w:tcPr>
            <w:tcW w:type="dxa" w:w="1417"/>
          </w:tcPr>
          <w:p>
            <w:pPr>
              <w:spacing w:after="40" w:before="40"/>
            </w:pPr>
            <w:r/>
            <w:r>
              <w:rPr>
                <w:rFonts w:ascii="Times New Roman" w:hAnsi="Times New Roman"/>
                <w:sz w:val="16"/>
              </w:rPr>
              <w:t>E. coli (92.2%)</w:t>
            </w:r>
          </w:p>
        </w:tc>
        <w:tc>
          <w:tcPr>
            <w:tcW w:type="dxa" w:w="1134"/>
          </w:tcPr>
          <w:p>
            <w:pPr>
              <w:spacing w:after="40" w:before="40"/>
            </w:pPr>
            <w:r/>
            <w:r>
              <w:rPr>
                <w:rFonts w:ascii="Times New Roman" w:hAnsi="Times New Roman"/>
                <w:sz w:val="16"/>
              </w:rPr>
              <w:t>technical</w:t>
            </w:r>
          </w:p>
        </w:tc>
        <w:tc>
          <w:tcPr>
            <w:tcW w:type="dxa" w:w="3118"/>
          </w:tcPr>
          <w:p>
            <w:pPr>
              <w:spacing w:after="40" w:before="40"/>
            </w:pPr>
            <w:r/>
            <w:r>
              <w:rPr>
                <w:rFonts w:ascii="Times New Roman" w:hAnsi="Times New Roman"/>
                <w:sz w:val="16"/>
              </w:rPr>
              <w:t>"E. coli was used as a host for producing purified transducible Cre protein"</w:t>
            </w:r>
          </w:p>
        </w:tc>
      </w:tr>
      <w:tr>
        <w:tc>
          <w:tcPr>
            <w:tcW w:type="dxa" w:w="850"/>
            <w:shd w:fill="F2F6FA"/>
          </w:tcPr>
          <w:p>
            <w:pPr>
              <w:spacing w:after="40" w:before="40"/>
            </w:pPr>
            <w:r/>
            <w:r>
              <w:rPr>
                <w:rFonts w:ascii="Times New Roman" w:hAnsi="Times New Roman"/>
                <w:sz w:val="16"/>
              </w:rPr>
              <w:t>7</w:t>
            </w:r>
          </w:p>
        </w:tc>
        <w:tc>
          <w:tcPr>
            <w:tcW w:type="dxa" w:w="2268"/>
            <w:shd w:fill="F2F6FA"/>
          </w:tcPr>
          <w:p>
            <w:pPr>
              <w:spacing w:after="40" w:before="40"/>
            </w:pPr>
            <w:r/>
            <w:r>
              <w:rPr>
                <w:rFonts w:ascii="Times New Roman" w:hAnsi="Times New Roman"/>
                <w:sz w:val="16"/>
              </w:rPr>
              <w:t>Clinical Pathogenesis, Virulence Modeling, and Infectious Disease (E. coli)</w:t>
            </w:r>
          </w:p>
        </w:tc>
        <w:tc>
          <w:tcPr>
            <w:tcW w:type="dxa" w:w="680"/>
            <w:shd w:fill="F2F6FA"/>
          </w:tcPr>
          <w:p>
            <w:pPr>
              <w:spacing w:after="40" w:before="40"/>
            </w:pPr>
            <w:r/>
            <w:r>
              <w:rPr>
                <w:rFonts w:ascii="Times New Roman" w:hAnsi="Times New Roman"/>
                <w:sz w:val="16"/>
              </w:rPr>
              <w:t>55</w:t>
            </w:r>
          </w:p>
        </w:tc>
        <w:tc>
          <w:tcPr>
            <w:tcW w:type="dxa" w:w="1417"/>
            <w:shd w:fill="F2F6FA"/>
          </w:tcPr>
          <w:p>
            <w:pPr>
              <w:spacing w:after="40" w:before="40"/>
            </w:pPr>
            <w:r/>
            <w:r>
              <w:rPr>
                <w:rFonts w:ascii="Times New Roman" w:hAnsi="Times New Roman"/>
                <w:sz w:val="16"/>
              </w:rPr>
              <w:t>E. coli (96.4%)</w:t>
            </w:r>
          </w:p>
        </w:tc>
        <w:tc>
          <w:tcPr>
            <w:tcW w:type="dxa" w:w="1134"/>
            <w:shd w:fill="F2F6FA"/>
          </w:tcPr>
          <w:p>
            <w:pPr>
              <w:spacing w:after="40" w:before="40"/>
            </w:pPr>
            <w:r/>
            <w:r>
              <w:rPr>
                <w:rFonts w:ascii="Times New Roman" w:hAnsi="Times New Roman"/>
                <w:sz w:val="16"/>
              </w:rPr>
              <w:t>biological</w:t>
            </w:r>
          </w:p>
        </w:tc>
        <w:tc>
          <w:tcPr>
            <w:tcW w:type="dxa" w:w="3118"/>
            <w:shd w:fill="F2F6FA"/>
          </w:tcPr>
          <w:p>
            <w:pPr>
              <w:spacing w:after="40" w:before="40"/>
            </w:pPr>
            <w:r/>
            <w:r>
              <w:rPr>
                <w:rFonts w:ascii="Times New Roman" w:hAnsi="Times New Roman"/>
                <w:sz w:val="16"/>
              </w:rPr>
              <w:t>"E. coli is associated with human diarrheal disease, making it relevant for study"</w:t>
            </w:r>
          </w:p>
        </w:tc>
      </w:tr>
      <w:tr>
        <w:tc>
          <w:tcPr>
            <w:tcW w:type="dxa" w:w="850"/>
          </w:tcPr>
          <w:p>
            <w:pPr>
              <w:spacing w:after="40" w:before="40"/>
            </w:pPr>
            <w:r/>
            <w:r>
              <w:rPr>
                <w:rFonts w:ascii="Times New Roman" w:hAnsi="Times New Roman"/>
                <w:sz w:val="16"/>
              </w:rPr>
              <w:t>8</w:t>
            </w:r>
          </w:p>
        </w:tc>
        <w:tc>
          <w:tcPr>
            <w:tcW w:type="dxa" w:w="2268"/>
          </w:tcPr>
          <w:p>
            <w:pPr>
              <w:spacing w:after="40" w:before="40"/>
            </w:pPr>
            <w:r/>
            <w:r>
              <w:rPr>
                <w:rFonts w:ascii="Times New Roman" w:hAnsi="Times New Roman"/>
                <w:sz w:val="16"/>
              </w:rPr>
              <w:t>Gram-Negative Reference Organism and Cell Envelope Modeling (E. coli)</w:t>
            </w:r>
          </w:p>
        </w:tc>
        <w:tc>
          <w:tcPr>
            <w:tcW w:type="dxa" w:w="680"/>
          </w:tcPr>
          <w:p>
            <w:pPr>
              <w:spacing w:after="40" w:before="40"/>
            </w:pPr>
            <w:r/>
            <w:r>
              <w:rPr>
                <w:rFonts w:ascii="Times New Roman" w:hAnsi="Times New Roman"/>
                <w:sz w:val="16"/>
              </w:rPr>
              <w:t>24</w:t>
            </w:r>
          </w:p>
        </w:tc>
        <w:tc>
          <w:tcPr>
            <w:tcW w:type="dxa" w:w="1417"/>
          </w:tcPr>
          <w:p>
            <w:pPr>
              <w:spacing w:after="40" w:before="40"/>
            </w:pPr>
            <w:r/>
            <w:r>
              <w:rPr>
                <w:rFonts w:ascii="Times New Roman" w:hAnsi="Times New Roman"/>
                <w:sz w:val="16"/>
              </w:rPr>
              <w:t>E. coli (100.0%)</w:t>
            </w:r>
          </w:p>
        </w:tc>
        <w:tc>
          <w:tcPr>
            <w:tcW w:type="dxa" w:w="1134"/>
          </w:tcPr>
          <w:p>
            <w:pPr>
              <w:spacing w:after="40" w:before="40"/>
            </w:pPr>
            <w:r/>
            <w:r>
              <w:rPr>
                <w:rFonts w:ascii="Times New Roman" w:hAnsi="Times New Roman"/>
                <w:sz w:val="16"/>
              </w:rPr>
              <w:t>biological</w:t>
            </w:r>
          </w:p>
        </w:tc>
        <w:tc>
          <w:tcPr>
            <w:tcW w:type="dxa" w:w="3118"/>
          </w:tcPr>
          <w:p>
            <w:pPr>
              <w:spacing w:after="40" w:before="40"/>
            </w:pPr>
            <w:r/>
            <w:r>
              <w:rPr>
                <w:rFonts w:ascii="Times New Roman" w:hAnsi="Times New Roman"/>
                <w:sz w:val="16"/>
              </w:rPr>
              <w:t>"E. coli is used as a representative model organism for Gram-negative bacteria"</w:t>
            </w:r>
          </w:p>
        </w:tc>
      </w:tr>
      <w:tr>
        <w:tc>
          <w:tcPr>
            <w:tcW w:type="dxa" w:w="850"/>
            <w:shd w:fill="F2F6FA"/>
          </w:tcPr>
          <w:p>
            <w:pPr>
              <w:spacing w:after="40" w:before="40"/>
            </w:pPr>
            <w:r/>
            <w:r>
              <w:rPr>
                <w:rFonts w:ascii="Times New Roman" w:hAnsi="Times New Roman"/>
                <w:sz w:val="16"/>
              </w:rPr>
              <w:t>9</w:t>
            </w:r>
          </w:p>
        </w:tc>
        <w:tc>
          <w:tcPr>
            <w:tcW w:type="dxa" w:w="2268"/>
            <w:shd w:fill="F2F6FA"/>
          </w:tcPr>
          <w:p>
            <w:pPr>
              <w:spacing w:after="40" w:before="40"/>
            </w:pPr>
            <w:r/>
            <w:r>
              <w:rPr>
                <w:rFonts w:ascii="Times New Roman" w:hAnsi="Times New Roman"/>
                <w:sz w:val="16"/>
              </w:rPr>
              <w:t>Antimicrobial Screening, Drug Tolerance, and Resistance Mechanisms (E. coli)</w:t>
            </w:r>
          </w:p>
        </w:tc>
        <w:tc>
          <w:tcPr>
            <w:tcW w:type="dxa" w:w="680"/>
            <w:shd w:fill="F2F6FA"/>
          </w:tcPr>
          <w:p>
            <w:pPr>
              <w:spacing w:after="40" w:before="40"/>
            </w:pPr>
            <w:r/>
            <w:r>
              <w:rPr>
                <w:rFonts w:ascii="Times New Roman" w:hAnsi="Times New Roman"/>
                <w:sz w:val="16"/>
              </w:rPr>
              <w:t>28</w:t>
            </w:r>
          </w:p>
        </w:tc>
        <w:tc>
          <w:tcPr>
            <w:tcW w:type="dxa" w:w="1417"/>
            <w:shd w:fill="F2F6FA"/>
          </w:tcPr>
          <w:p>
            <w:pPr>
              <w:spacing w:after="40" w:before="40"/>
            </w:pPr>
            <w:r/>
            <w:r>
              <w:rPr>
                <w:rFonts w:ascii="Times New Roman" w:hAnsi="Times New Roman"/>
                <w:sz w:val="16"/>
              </w:rPr>
              <w:t>E. coli (100.0%)</w:t>
            </w:r>
          </w:p>
        </w:tc>
        <w:tc>
          <w:tcPr>
            <w:tcW w:type="dxa" w:w="1134"/>
            <w:shd w:fill="F2F6FA"/>
          </w:tcPr>
          <w:p>
            <w:pPr>
              <w:spacing w:after="40" w:before="40"/>
            </w:pPr>
            <w:r/>
            <w:r>
              <w:rPr>
                <w:rFonts w:ascii="Times New Roman" w:hAnsi="Times New Roman"/>
                <w:sz w:val="16"/>
              </w:rPr>
              <w:t>biological</w:t>
            </w:r>
          </w:p>
        </w:tc>
        <w:tc>
          <w:tcPr>
            <w:tcW w:type="dxa" w:w="3118"/>
            <w:shd w:fill="F2F6FA"/>
          </w:tcPr>
          <w:p>
            <w:pPr>
              <w:spacing w:after="40" w:before="40"/>
            </w:pPr>
            <w:r/>
            <w:r>
              <w:rPr>
                <w:rFonts w:ascii="Times New Roman" w:hAnsi="Times New Roman"/>
                <w:sz w:val="16"/>
              </w:rPr>
              <w:t>"E. coli is used as a model organism for studying antibiotic responses"</w:t>
            </w:r>
          </w:p>
        </w:tc>
      </w:tr>
      <w:tr>
        <w:tc>
          <w:tcPr>
            <w:tcW w:type="dxa" w:w="850"/>
          </w:tcPr>
          <w:p>
            <w:pPr>
              <w:spacing w:after="40" w:before="40"/>
            </w:pPr>
            <w:r/>
            <w:r>
              <w:rPr>
                <w:rFonts w:ascii="Times New Roman" w:hAnsi="Times New Roman"/>
                <w:sz w:val="16"/>
              </w:rPr>
              <w:t>10</w:t>
            </w:r>
          </w:p>
        </w:tc>
        <w:tc>
          <w:tcPr>
            <w:tcW w:type="dxa" w:w="2268"/>
          </w:tcPr>
          <w:p>
            <w:pPr>
              <w:spacing w:after="40" w:before="40"/>
            </w:pPr>
            <w:r/>
            <w:r>
              <w:rPr>
                <w:rFonts w:ascii="Times New Roman" w:hAnsi="Times New Roman"/>
                <w:sz w:val="16"/>
              </w:rPr>
              <w:t>DNA Replication, Recombination, Repair, and Replication Fidelity (E. coli)</w:t>
            </w:r>
          </w:p>
        </w:tc>
        <w:tc>
          <w:tcPr>
            <w:tcW w:type="dxa" w:w="680"/>
          </w:tcPr>
          <w:p>
            <w:pPr>
              <w:spacing w:after="40" w:before="40"/>
            </w:pPr>
            <w:r/>
            <w:r>
              <w:rPr>
                <w:rFonts w:ascii="Times New Roman" w:hAnsi="Times New Roman"/>
                <w:sz w:val="16"/>
              </w:rPr>
              <w:t>29</w:t>
            </w:r>
          </w:p>
        </w:tc>
        <w:tc>
          <w:tcPr>
            <w:tcW w:type="dxa" w:w="1417"/>
          </w:tcPr>
          <w:p>
            <w:pPr>
              <w:spacing w:after="40" w:before="40"/>
            </w:pPr>
            <w:r/>
            <w:r>
              <w:rPr>
                <w:rFonts w:ascii="Times New Roman" w:hAnsi="Times New Roman"/>
                <w:sz w:val="16"/>
              </w:rPr>
              <w:t>E. coli (93.1%)</w:t>
            </w:r>
          </w:p>
        </w:tc>
        <w:tc>
          <w:tcPr>
            <w:tcW w:type="dxa" w:w="1134"/>
          </w:tcPr>
          <w:p>
            <w:pPr>
              <w:spacing w:after="40" w:before="40"/>
            </w:pPr>
            <w:r/>
            <w:r>
              <w:rPr>
                <w:rFonts w:ascii="Times New Roman" w:hAnsi="Times New Roman"/>
                <w:sz w:val="16"/>
              </w:rPr>
              <w:t>biological</w:t>
            </w:r>
          </w:p>
        </w:tc>
        <w:tc>
          <w:tcPr>
            <w:tcW w:type="dxa" w:w="3118"/>
          </w:tcPr>
          <w:p>
            <w:pPr>
              <w:spacing w:after="40" w:before="40"/>
            </w:pPr>
            <w:r/>
            <w:r>
              <w:rPr>
                <w:rFonts w:ascii="Times New Roman" w:hAnsi="Times New Roman"/>
                <w:sz w:val="16"/>
              </w:rPr>
              <w:t>"E. coli is used as a model system for studying chromosomal replication fidelity"</w:t>
            </w:r>
          </w:p>
        </w:tc>
      </w:tr>
      <w:tr>
        <w:tc>
          <w:tcPr>
            <w:tcW w:type="dxa" w:w="850"/>
            <w:shd w:fill="F2F6FA"/>
          </w:tcPr>
          <w:p>
            <w:pPr>
              <w:spacing w:after="40" w:before="40"/>
            </w:pPr>
            <w:r/>
            <w:r>
              <w:rPr>
                <w:rFonts w:ascii="Times New Roman" w:hAnsi="Times New Roman"/>
                <w:sz w:val="16"/>
              </w:rPr>
              <w:t>11</w:t>
            </w:r>
          </w:p>
        </w:tc>
        <w:tc>
          <w:tcPr>
            <w:tcW w:type="dxa" w:w="2268"/>
            <w:shd w:fill="F2F6FA"/>
          </w:tcPr>
          <w:p>
            <w:pPr>
              <w:spacing w:after="40" w:before="40"/>
            </w:pPr>
            <w:r/>
            <w:r>
              <w:rPr>
                <w:rFonts w:ascii="Times New Roman" w:hAnsi="Times New Roman"/>
                <w:sz w:val="16"/>
              </w:rPr>
              <w:t>Bacterial Reference Standard and Legacy Model Characterization (E. coli)</w:t>
            </w:r>
          </w:p>
        </w:tc>
        <w:tc>
          <w:tcPr>
            <w:tcW w:type="dxa" w:w="680"/>
            <w:shd w:fill="F2F6FA"/>
          </w:tcPr>
          <w:p>
            <w:pPr>
              <w:spacing w:after="40" w:before="40"/>
            </w:pPr>
            <w:r/>
            <w:r>
              <w:rPr>
                <w:rFonts w:ascii="Times New Roman" w:hAnsi="Times New Roman"/>
                <w:sz w:val="16"/>
              </w:rPr>
              <w:t>101</w:t>
            </w:r>
          </w:p>
        </w:tc>
        <w:tc>
          <w:tcPr>
            <w:tcW w:type="dxa" w:w="1417"/>
            <w:shd w:fill="F2F6FA"/>
          </w:tcPr>
          <w:p>
            <w:pPr>
              <w:spacing w:after="40" w:before="40"/>
            </w:pPr>
            <w:r/>
            <w:r>
              <w:rPr>
                <w:rFonts w:ascii="Times New Roman" w:hAnsi="Times New Roman"/>
                <w:sz w:val="16"/>
              </w:rPr>
              <w:t>E. coli (99.0%)</w:t>
            </w:r>
          </w:p>
        </w:tc>
        <w:tc>
          <w:tcPr>
            <w:tcW w:type="dxa" w:w="1134"/>
            <w:shd w:fill="F2F6FA"/>
          </w:tcPr>
          <w:p>
            <w:pPr>
              <w:spacing w:after="40" w:before="40"/>
            </w:pPr>
            <w:r/>
            <w:r>
              <w:rPr>
                <w:rFonts w:ascii="Times New Roman" w:hAnsi="Times New Roman"/>
                <w:sz w:val="16"/>
              </w:rPr>
              <w:t>biological</w:t>
            </w:r>
          </w:p>
        </w:tc>
        <w:tc>
          <w:tcPr>
            <w:tcW w:type="dxa" w:w="3118"/>
            <w:shd w:fill="F2F6FA"/>
          </w:tcPr>
          <w:p>
            <w:pPr>
              <w:spacing w:after="40" w:before="40"/>
            </w:pPr>
            <w:r/>
            <w:r>
              <w:rPr>
                <w:rFonts w:ascii="Times New Roman" w:hAnsi="Times New Roman"/>
                <w:sz w:val="16"/>
              </w:rPr>
              <w:t>"E. coli is a well-established model organism for studying cellular behavior"</w:t>
            </w:r>
          </w:p>
        </w:tc>
      </w:tr>
      <w:tr>
        <w:tc>
          <w:tcPr>
            <w:tcW w:type="dxa" w:w="850"/>
          </w:tcPr>
          <w:p>
            <w:pPr>
              <w:spacing w:after="40" w:before="40"/>
            </w:pPr>
            <w:r/>
            <w:r>
              <w:rPr>
                <w:rFonts w:ascii="Times New Roman" w:hAnsi="Times New Roman"/>
                <w:sz w:val="16"/>
              </w:rPr>
              <w:t>12</w:t>
            </w:r>
          </w:p>
        </w:tc>
        <w:tc>
          <w:tcPr>
            <w:tcW w:type="dxa" w:w="2268"/>
          </w:tcPr>
          <w:p>
            <w:pPr>
              <w:spacing w:after="40" w:before="40"/>
            </w:pPr>
            <w:r/>
            <w:r>
              <w:rPr>
                <w:rFonts w:ascii="Times New Roman" w:hAnsi="Times New Roman"/>
                <w:sz w:val="16"/>
              </w:rPr>
              <w:t>Genomic Annotation and Molecular Genetics Reference (E. coli)</w:t>
            </w:r>
          </w:p>
        </w:tc>
        <w:tc>
          <w:tcPr>
            <w:tcW w:type="dxa" w:w="680"/>
          </w:tcPr>
          <w:p>
            <w:pPr>
              <w:spacing w:after="40" w:before="40"/>
            </w:pPr>
            <w:r/>
            <w:r>
              <w:rPr>
                <w:rFonts w:ascii="Times New Roman" w:hAnsi="Times New Roman"/>
                <w:sz w:val="16"/>
              </w:rPr>
              <w:t>26</w:t>
            </w:r>
          </w:p>
        </w:tc>
        <w:tc>
          <w:tcPr>
            <w:tcW w:type="dxa" w:w="1417"/>
          </w:tcPr>
          <w:p>
            <w:pPr>
              <w:spacing w:after="40" w:before="40"/>
            </w:pPr>
            <w:r/>
            <w:r>
              <w:rPr>
                <w:rFonts w:ascii="Times New Roman" w:hAnsi="Times New Roman"/>
                <w:sz w:val="16"/>
              </w:rPr>
              <w:t>E. coli (100.0%)</w:t>
            </w:r>
          </w:p>
        </w:tc>
        <w:tc>
          <w:tcPr>
            <w:tcW w:type="dxa" w:w="1134"/>
          </w:tcPr>
          <w:p>
            <w:pPr>
              <w:spacing w:after="40" w:before="40"/>
            </w:pPr>
            <w:r/>
            <w:r>
              <w:rPr>
                <w:rFonts w:ascii="Times New Roman" w:hAnsi="Times New Roman"/>
                <w:sz w:val="16"/>
              </w:rPr>
              <w:t>historical</w:t>
            </w:r>
          </w:p>
        </w:tc>
        <w:tc>
          <w:tcPr>
            <w:tcW w:type="dxa" w:w="3118"/>
          </w:tcPr>
          <w:p>
            <w:pPr>
              <w:spacing w:after="40" w:before="40"/>
            </w:pPr>
            <w:r/>
            <w:r>
              <w:rPr>
                <w:rFonts w:ascii="Times New Roman" w:hAnsi="Times New Roman"/>
                <w:sz w:val="16"/>
              </w:rPr>
              <w:t>"E. coli is used as a model organism"</w:t>
            </w:r>
          </w:p>
        </w:tc>
      </w:tr>
    </w:tbl>
    <w:p/>
    <w:p>
      <w:pPr>
        <w:spacing w:before="240" w:after="80"/>
        <w:jc w:val="center"/>
      </w:pPr>
      <w:r>
        <w:drawing>
          <wp:inline xmlns:a="http://schemas.openxmlformats.org/drawingml/2006/main" xmlns:pic="http://schemas.openxmlformats.org/drawingml/2006/picture">
            <wp:extent cx="4572000" cy="3031728"/>
            <wp:docPr id="11" name="Picture 11"/>
            <wp:cNvGraphicFramePr>
              <a:graphicFrameLocks noChangeAspect="1"/>
            </wp:cNvGraphicFramePr>
            <a:graphic>
              <a:graphicData uri="http://schemas.openxmlformats.org/drawingml/2006/picture">
                <pic:pic>
                  <pic:nvPicPr>
                    <pic:cNvPr id="0" name="fig5_umap_publication.png"/>
                    <pic:cNvPicPr/>
                  </pic:nvPicPr>
                  <pic:blipFill>
                    <a:blip r:embed="rId12"/>
                    <a:stretch>
                      <a:fillRect/>
                    </a:stretch>
                  </pic:blipFill>
                  <pic:spPr>
                    <a:xfrm>
                      <a:off x="0" y="0"/>
                      <a:ext cx="4572000" cy="3031728"/>
                    </a:xfrm>
                    <a:prstGeom prst="rect"/>
                  </pic:spPr>
                </pic:pic>
              </a:graphicData>
            </a:graphic>
          </wp:inline>
        </w:drawing>
      </w:r>
    </w:p>
    <w:p>
      <w:pPr>
        <w:spacing w:after="280" w:before="40"/>
        <w:jc w:val="center"/>
      </w:pPr>
      <w:r>
        <w:rPr>
          <w:rFonts w:ascii="Times New Roman" w:hAnsi="Times New Roman"/>
          <w:b/>
          <w:i/>
          <w:sz w:val="20"/>
        </w:rPr>
        <w:t xml:space="preserve">Figure 5. </w:t>
      </w:r>
      <w:r>
        <w:rPr>
          <w:rFonts w:ascii="Times New Roman" w:hAnsi="Times New Roman"/>
          <w:i/>
          <w:sz w:val="20"/>
        </w:rPr>
        <w:t>2D UMAP projection of 2,037 justification claim embeddings, colored by cluster.</w:t>
      </w:r>
    </w:p>
    <w:p>
      <w:pPr>
        <w:spacing w:before="240" w:after="80"/>
        <w:jc w:val="center"/>
      </w:pPr>
      <w:r>
        <w:drawing>
          <wp:inline xmlns:a="http://schemas.openxmlformats.org/drawingml/2006/main" xmlns:pic="http://schemas.openxmlformats.org/drawingml/2006/picture">
            <wp:extent cx="4572000" cy="2444166"/>
            <wp:docPr id="12" name="Picture 12"/>
            <wp:cNvGraphicFramePr>
              <a:graphicFrameLocks noChangeAspect="1"/>
            </wp:cNvGraphicFramePr>
            <a:graphic>
              <a:graphicData uri="http://schemas.openxmlformats.org/drawingml/2006/picture">
                <pic:pic>
                  <pic:nvPicPr>
                    <pic:cNvPr id="0" name="fig4_ecoli_treemap.png"/>
                    <pic:cNvPicPr/>
                  </pic:nvPicPr>
                  <pic:blipFill>
                    <a:blip r:embed="rId13"/>
                    <a:stretch>
                      <a:fillRect/>
                    </a:stretch>
                  </pic:blipFill>
                  <pic:spPr>
                    <a:xfrm>
                      <a:off x="0" y="0"/>
                      <a:ext cx="4572000" cy="2444166"/>
                    </a:xfrm>
                    <a:prstGeom prst="rect"/>
                  </pic:spPr>
                </pic:pic>
              </a:graphicData>
            </a:graphic>
          </wp:inline>
        </w:drawing>
      </w:r>
    </w:p>
    <w:p>
      <w:pPr>
        <w:spacing w:after="280" w:before="40"/>
        <w:jc w:val="center"/>
      </w:pPr>
      <w:r>
        <w:rPr>
          <w:rFonts w:ascii="Times New Roman" w:hAnsi="Times New Roman"/>
          <w:b/>
          <w:i/>
          <w:sz w:val="20"/>
        </w:rPr>
        <w:t xml:space="preserve">Figure 4. </w:t>
      </w:r>
      <w:r>
        <w:rPr>
          <w:rFonts w:ascii="Times New Roman" w:hAnsi="Times New Roman"/>
          <w:i/>
          <w:sz w:val="20"/>
        </w:rPr>
        <w:t>Treemap of E. coli explicit justification themes.</w:t>
      </w:r>
    </w:p>
    <w:p>
      <w:pPr>
        <w:spacing w:before="240" w:after="80"/>
        <w:jc w:val="center"/>
      </w:pPr>
      <w:r>
        <w:drawing>
          <wp:inline xmlns:a="http://schemas.openxmlformats.org/drawingml/2006/main" xmlns:pic="http://schemas.openxmlformats.org/drawingml/2006/picture">
            <wp:extent cx="4572000" cy="3031728"/>
            <wp:docPr id="13" name="Picture 13"/>
            <wp:cNvGraphicFramePr>
              <a:graphicFrameLocks noChangeAspect="1"/>
            </wp:cNvGraphicFramePr>
            <a:graphic>
              <a:graphicData uri="http://schemas.openxmlformats.org/drawingml/2006/picture">
                <pic:pic>
                  <pic:nvPicPr>
                    <pic:cNvPr id="0" name="fig5_umap_publication.png"/>
                    <pic:cNvPicPr/>
                  </pic:nvPicPr>
                  <pic:blipFill>
                    <a:blip r:embed="rId12"/>
                    <a:stretch>
                      <a:fillRect/>
                    </a:stretch>
                  </pic:blipFill>
                  <pic:spPr>
                    <a:xfrm>
                      <a:off x="0" y="0"/>
                      <a:ext cx="4572000" cy="3031728"/>
                    </a:xfrm>
                    <a:prstGeom prst="rect"/>
                  </pic:spPr>
                </pic:pic>
              </a:graphicData>
            </a:graphic>
          </wp:inline>
        </w:drawing>
      </w:r>
    </w:p>
    <w:p>
      <w:pPr>
        <w:spacing w:after="280" w:before="40"/>
        <w:jc w:val="center"/>
      </w:pPr>
      <w:r>
        <w:rPr>
          <w:rFonts w:ascii="Times New Roman" w:hAnsi="Times New Roman"/>
          <w:b/>
          <w:i/>
          <w:sz w:val="20"/>
        </w:rPr>
        <w:t xml:space="preserve">Figure 5. </w:t>
      </w:r>
      <w:r>
        <w:rPr>
          <w:rFonts w:ascii="Times New Roman" w:hAnsi="Times New Roman"/>
          <w:i/>
          <w:sz w:val="20"/>
        </w:rPr>
        <w:t>2D UMAP projection of 2,037 justification claim embeddings, colored by cluster.</w:t>
      </w:r>
    </w:p>
    <w:p>
      <w:pPr>
        <w:spacing w:before="240" w:after="80"/>
        <w:jc w:val="center"/>
      </w:pPr>
      <w:r>
        <w:drawing>
          <wp:inline xmlns:a="http://schemas.openxmlformats.org/drawingml/2006/main" xmlns:pic="http://schemas.openxmlformats.org/drawingml/2006/picture">
            <wp:extent cx="4572000" cy="2444166"/>
            <wp:docPr id="14" name="Picture 14"/>
            <wp:cNvGraphicFramePr>
              <a:graphicFrameLocks noChangeAspect="1"/>
            </wp:cNvGraphicFramePr>
            <a:graphic>
              <a:graphicData uri="http://schemas.openxmlformats.org/drawingml/2006/picture">
                <pic:pic>
                  <pic:nvPicPr>
                    <pic:cNvPr id="0" name="fig4_ecoli_treemap.png"/>
                    <pic:cNvPicPr/>
                  </pic:nvPicPr>
                  <pic:blipFill>
                    <a:blip r:embed="rId13"/>
                    <a:stretch>
                      <a:fillRect/>
                    </a:stretch>
                  </pic:blipFill>
                  <pic:spPr>
                    <a:xfrm>
                      <a:off x="0" y="0"/>
                      <a:ext cx="4572000" cy="2444166"/>
                    </a:xfrm>
                    <a:prstGeom prst="rect"/>
                  </pic:spPr>
                </pic:pic>
              </a:graphicData>
            </a:graphic>
          </wp:inline>
        </w:drawing>
      </w:r>
    </w:p>
    <w:p>
      <w:pPr>
        <w:spacing w:after="280" w:before="40"/>
        <w:jc w:val="center"/>
      </w:pPr>
      <w:r>
        <w:rPr>
          <w:rFonts w:ascii="Times New Roman" w:hAnsi="Times New Roman"/>
          <w:b/>
          <w:i/>
          <w:sz w:val="20"/>
        </w:rPr>
        <w:t xml:space="preserve">Figure 4. </w:t>
      </w:r>
      <w:r>
        <w:rPr>
          <w:rFonts w:ascii="Times New Roman" w:hAnsi="Times New Roman"/>
          <w:i/>
          <w:sz w:val="20"/>
        </w:rPr>
        <w:t>Treemap of E. coli explicit justification themes.</w:t>
      </w:r>
    </w:p>
    <w:p>
      <w:pPr>
        <w:pStyle w:val="Heading2"/>
      </w:pPr>
      <w:r>
        <w:t>4.4 Biological Pathway Database Mapping (RQ5 Answer)</w:t>
      </w:r>
    </w:p>
    <w:p>
      <w:pPr>
        <w:spacing w:after="120"/>
        <w:ind w:firstLine="0"/>
      </w:pPr>
      <w:r>
        <w:rPr>
          <w:rFonts w:ascii="Times New Roman" w:hAnsi="Times New Roman"/>
          <w:sz w:val="24"/>
        </w:rPr>
        <w:t>Phase 4 mapped the 13 clusters to physical biological pathways and regulatory networks (visualized as a network mapping in Figure 6). Mappings were verified against KEGG pathway models (</w:t>
      </w:r>
      <w:r>
        <w:rPr>
          <w:rFonts w:ascii="Times New Roman" w:hAnsi="Times New Roman"/>
          <w:i/>
          <w:sz w:val="22"/>
        </w:rPr>
        <w:t>eco</w:t>
      </w:r>
      <w:r>
        <w:rPr>
          <w:rFonts w:ascii="Times New Roman" w:hAnsi="Times New Roman"/>
          <w:sz w:val="24"/>
        </w:rPr>
        <w:t xml:space="preserve">, </w:t>
      </w:r>
      <w:r>
        <w:rPr>
          <w:rFonts w:ascii="Times New Roman" w:hAnsi="Times New Roman"/>
          <w:i/>
          <w:sz w:val="22"/>
        </w:rPr>
        <w:t>sce</w:t>
      </w:r>
      <w:r>
        <w:rPr>
          <w:rFonts w:ascii="Times New Roman" w:hAnsi="Times New Roman"/>
          <w:sz w:val="24"/>
        </w:rPr>
        <w:t xml:space="preserve">, </w:t>
      </w:r>
      <w:r>
        <w:rPr>
          <w:rFonts w:ascii="Times New Roman" w:hAnsi="Times New Roman"/>
          <w:i/>
          <w:sz w:val="22"/>
        </w:rPr>
        <w:t>bsu</w:t>
      </w:r>
      <w:r>
        <w:rPr>
          <w:rFonts w:ascii="Times New Roman" w:hAnsi="Times New Roman"/>
          <w:sz w:val="24"/>
        </w:rPr>
        <w:t>) and the EcoCyc database:</w:t>
      </w:r>
    </w:p>
    <w:p>
      <w:pPr>
        <w:spacing w:after="60" w:before="20"/>
        <w:ind w:left="720" w:hanging="283"/>
      </w:pPr>
      <w:r>
        <w:rPr>
          <w:rFonts w:ascii="Times New Roman" w:hAnsi="Times New Roman"/>
          <w:sz w:val="22"/>
        </w:rPr>
        <w:t xml:space="preserve">•  </w:t>
      </w:r>
      <w:r>
        <w:rPr>
          <w:rFonts w:ascii="Times New Roman" w:hAnsi="Times New Roman"/>
          <w:b/>
          <w:sz w:val="22"/>
        </w:rPr>
        <w:t>Gram-Positive Regulation (Clusters 0 &amp; 1):</w:t>
      </w:r>
      <w:r>
        <w:rPr>
          <w:rFonts w:ascii="Times New Roman" w:hAnsi="Times New Roman"/>
          <w:sz w:val="22"/>
        </w:rPr>
        <w:t xml:space="preserve"> Map to sporulation quorum sensing and two-component systems (</w:t>
      </w:r>
      <w:r>
        <w:rPr>
          <w:rFonts w:ascii="Times New Roman" w:hAnsi="Times New Roman"/>
          <w:i/>
          <w:sz w:val="22"/>
        </w:rPr>
        <w:t>bsu02020</w:t>
      </w:r>
      <w:r>
        <w:rPr>
          <w:rFonts w:ascii="Times New Roman" w:hAnsi="Times New Roman"/>
          <w:sz w:val="22"/>
        </w:rPr>
        <w:t xml:space="preserve">, </w:t>
      </w:r>
      <w:r>
        <w:rPr>
          <w:rFonts w:ascii="Times New Roman" w:hAnsi="Times New Roman"/>
          <w:i/>
          <w:sz w:val="22"/>
        </w:rPr>
        <w:t>bsu02024</w:t>
      </w:r>
      <w:r>
        <w:rPr>
          <w:rFonts w:ascii="Times New Roman" w:hAnsi="Times New Roman"/>
          <w:sz w:val="22"/>
        </w:rPr>
        <w:t>) and cell wall synthesis (</w:t>
      </w:r>
      <w:r>
        <w:rPr>
          <w:rFonts w:ascii="Times New Roman" w:hAnsi="Times New Roman"/>
          <w:i/>
          <w:sz w:val="22"/>
        </w:rPr>
        <w:t>bsu00550</w:t>
      </w:r>
      <w:r>
        <w:rPr>
          <w:rFonts w:ascii="Times New Roman" w:hAnsi="Times New Roman"/>
          <w:sz w:val="22"/>
        </w:rPr>
        <w:t>).</w:t>
      </w:r>
    </w:p>
    <w:p>
      <w:pPr>
        <w:spacing w:after="60" w:before="20"/>
        <w:ind w:left="720" w:hanging="283"/>
      </w:pPr>
      <w:r>
        <w:rPr>
          <w:rFonts w:ascii="Times New Roman" w:hAnsi="Times New Roman"/>
          <w:sz w:val="22"/>
        </w:rPr>
        <w:t xml:space="preserve">•  </w:t>
      </w:r>
      <w:r>
        <w:rPr>
          <w:rFonts w:ascii="Times New Roman" w:hAnsi="Times New Roman"/>
          <w:b/>
          <w:sz w:val="22"/>
        </w:rPr>
        <w:t>Eukaryotic Cellular Mechanics (Cluster 2):</w:t>
      </w:r>
      <w:r>
        <w:rPr>
          <w:rFonts w:ascii="Times New Roman" w:hAnsi="Times New Roman"/>
          <w:sz w:val="22"/>
        </w:rPr>
        <w:t xml:space="preserve"> Maps to cell cycle/meiosis controls (</w:t>
      </w:r>
      <w:r>
        <w:rPr>
          <w:rFonts w:ascii="Times New Roman" w:hAnsi="Times New Roman"/>
          <w:i/>
          <w:sz w:val="22"/>
        </w:rPr>
        <w:t>sce04111</w:t>
      </w:r>
      <w:r>
        <w:rPr>
          <w:rFonts w:ascii="Times New Roman" w:hAnsi="Times New Roman"/>
          <w:sz w:val="22"/>
        </w:rPr>
        <w:t xml:space="preserve">, </w:t>
      </w:r>
      <w:r>
        <w:rPr>
          <w:rFonts w:ascii="Times New Roman" w:hAnsi="Times New Roman"/>
          <w:i/>
          <w:sz w:val="22"/>
        </w:rPr>
        <w:t>sce04113</w:t>
      </w:r>
      <w:r>
        <w:rPr>
          <w:rFonts w:ascii="Times New Roman" w:hAnsi="Times New Roman"/>
          <w:sz w:val="22"/>
        </w:rPr>
        <w:t>), endoplasmic reticulum protein processing (</w:t>
      </w:r>
      <w:r>
        <w:rPr>
          <w:rFonts w:ascii="Times New Roman" w:hAnsi="Times New Roman"/>
          <w:i/>
          <w:sz w:val="22"/>
        </w:rPr>
        <w:t>sce04141</w:t>
      </w:r>
      <w:r>
        <w:rPr>
          <w:rFonts w:ascii="Times New Roman" w:hAnsi="Times New Roman"/>
          <w:sz w:val="22"/>
        </w:rPr>
        <w:t>), and MAPK signaling (</w:t>
      </w:r>
      <w:r>
        <w:rPr>
          <w:rFonts w:ascii="Times New Roman" w:hAnsi="Times New Roman"/>
          <w:i/>
          <w:sz w:val="22"/>
        </w:rPr>
        <w:t>sce04011</w:t>
      </w:r>
      <w:r>
        <w:rPr>
          <w:rFonts w:ascii="Times New Roman" w:hAnsi="Times New Roman"/>
          <w:sz w:val="22"/>
        </w:rPr>
        <w:t>).</w:t>
      </w:r>
    </w:p>
    <w:p>
      <w:pPr>
        <w:spacing w:after="60" w:before="20"/>
        <w:ind w:left="720" w:hanging="283"/>
      </w:pPr>
      <w:r>
        <w:rPr>
          <w:rFonts w:ascii="Times New Roman" w:hAnsi="Times New Roman"/>
          <w:sz w:val="22"/>
        </w:rPr>
        <w:t xml:space="preserve">•  </w:t>
      </w:r>
      <w:r>
        <w:rPr>
          <w:rFonts w:ascii="Times New Roman" w:hAnsi="Times New Roman"/>
          <w:b/>
          <w:sz w:val="22"/>
        </w:rPr>
        <w:t>Molecular Recombinant Host (Cluster 6):</w:t>
      </w:r>
      <w:r>
        <w:rPr>
          <w:rFonts w:ascii="Times New Roman" w:hAnsi="Times New Roman"/>
          <w:sz w:val="22"/>
        </w:rPr>
        <w:t xml:space="preserve"> Maps to inner membrane translocation systems—the Sec secretion system and Twin-Arginine Translocation (Tat) system (</w:t>
      </w:r>
      <w:r>
        <w:rPr>
          <w:rFonts w:ascii="Times New Roman" w:hAnsi="Times New Roman"/>
          <w:i/>
          <w:sz w:val="22"/>
        </w:rPr>
        <w:t>eco03060</w:t>
      </w:r>
      <w:r>
        <w:rPr>
          <w:rFonts w:ascii="Times New Roman" w:hAnsi="Times New Roman"/>
          <w:sz w:val="22"/>
        </w:rPr>
        <w:t xml:space="preserve"> / EcoCyc: Sec pathway, Tat system).</w:t>
      </w:r>
    </w:p>
    <w:p>
      <w:pPr>
        <w:spacing w:after="60" w:before="20"/>
        <w:ind w:left="720" w:hanging="283"/>
      </w:pPr>
      <w:r>
        <w:rPr>
          <w:rFonts w:ascii="Times New Roman" w:hAnsi="Times New Roman"/>
          <w:sz w:val="22"/>
        </w:rPr>
        <w:t xml:space="preserve">•  </w:t>
      </w:r>
      <w:r>
        <w:rPr>
          <w:rFonts w:ascii="Times New Roman" w:hAnsi="Times New Roman"/>
          <w:b/>
          <w:sz w:val="22"/>
        </w:rPr>
        <w:t>Medically Relevant Infection (Cluster 7):</w:t>
      </w:r>
      <w:r>
        <w:rPr>
          <w:rFonts w:ascii="Times New Roman" w:hAnsi="Times New Roman"/>
          <w:sz w:val="22"/>
        </w:rPr>
        <w:t xml:space="preserve"> Maps to </w:t>
      </w:r>
      <w:r>
        <w:rPr>
          <w:rFonts w:ascii="Times New Roman" w:hAnsi="Times New Roman"/>
          <w:i/>
          <w:sz w:val="22"/>
        </w:rPr>
        <w:t>map05130</w:t>
      </w:r>
      <w:r>
        <w:rPr>
          <w:rFonts w:ascii="Times New Roman" w:hAnsi="Times New Roman"/>
          <w:sz w:val="22"/>
        </w:rPr>
        <w:t xml:space="preserve"> (Pathogenic E. coli infection), focusing on fimbriae adhesion, pili assembly, and Lipid A biosynthesis (</w:t>
      </w:r>
      <w:r>
        <w:rPr>
          <w:rFonts w:ascii="Times New Roman" w:hAnsi="Times New Roman"/>
          <w:i/>
          <w:sz w:val="22"/>
        </w:rPr>
        <w:t>eco00540</w:t>
      </w:r>
      <w:r>
        <w:rPr>
          <w:rFonts w:ascii="Times New Roman" w:hAnsi="Times New Roman"/>
          <w:sz w:val="22"/>
        </w:rPr>
        <w:t>).</w:t>
      </w:r>
    </w:p>
    <w:p>
      <w:pPr>
        <w:spacing w:after="60" w:before="20"/>
        <w:ind w:left="720" w:hanging="283"/>
      </w:pPr>
      <w:r>
        <w:rPr>
          <w:rFonts w:ascii="Times New Roman" w:hAnsi="Times New Roman"/>
          <w:sz w:val="22"/>
        </w:rPr>
        <w:t xml:space="preserve">•  </w:t>
      </w:r>
      <w:r>
        <w:rPr>
          <w:rFonts w:ascii="Times New Roman" w:hAnsi="Times New Roman"/>
          <w:b/>
          <w:sz w:val="22"/>
        </w:rPr>
        <w:t>Antibiotic Assays (Cluster 9):</w:t>
      </w:r>
      <w:r>
        <w:rPr>
          <w:rFonts w:ascii="Times New Roman" w:hAnsi="Times New Roman"/>
          <w:sz w:val="22"/>
        </w:rPr>
        <w:t xml:space="preserve"> Maps to beta-lactam resistance (</w:t>
      </w:r>
      <w:r>
        <w:rPr>
          <w:rFonts w:ascii="Times New Roman" w:hAnsi="Times New Roman"/>
          <w:i/>
          <w:sz w:val="22"/>
        </w:rPr>
        <w:t>eco01501</w:t>
      </w:r>
      <w:r>
        <w:rPr>
          <w:rFonts w:ascii="Times New Roman" w:hAnsi="Times New Roman"/>
          <w:sz w:val="22"/>
        </w:rPr>
        <w:t>) and the AcrAB-TolC multidrug efflux pump (EcoCyc: AcrAB-TolC efflux).</w:t>
      </w:r>
    </w:p>
    <w:p>
      <w:pPr>
        <w:spacing w:after="60" w:before="20"/>
        <w:ind w:left="720" w:hanging="283"/>
      </w:pPr>
      <w:r>
        <w:rPr>
          <w:rFonts w:ascii="Times New Roman" w:hAnsi="Times New Roman"/>
          <w:sz w:val="22"/>
        </w:rPr>
        <w:t xml:space="preserve">•  </w:t>
      </w:r>
      <w:r>
        <w:rPr>
          <w:rFonts w:ascii="Times New Roman" w:hAnsi="Times New Roman"/>
          <w:b/>
          <w:sz w:val="22"/>
        </w:rPr>
        <w:t>Replication Fidelity (Cluster 10):</w:t>
      </w:r>
      <w:r>
        <w:rPr>
          <w:rFonts w:ascii="Times New Roman" w:hAnsi="Times New Roman"/>
          <w:sz w:val="22"/>
        </w:rPr>
        <w:t xml:space="preserve"> Maps to the DNA replication fork machinery (</w:t>
      </w:r>
      <w:r>
        <w:rPr>
          <w:rFonts w:ascii="Times New Roman" w:hAnsi="Times New Roman"/>
          <w:i/>
          <w:sz w:val="22"/>
        </w:rPr>
        <w:t>eco03030</w:t>
      </w:r>
      <w:r>
        <w:rPr>
          <w:rFonts w:ascii="Times New Roman" w:hAnsi="Times New Roman"/>
          <w:sz w:val="22"/>
        </w:rPr>
        <w:t>), methyl-directed mismatch repair (</w:t>
      </w:r>
      <w:r>
        <w:rPr>
          <w:rFonts w:ascii="Times New Roman" w:hAnsi="Times New Roman"/>
          <w:i/>
          <w:sz w:val="22"/>
        </w:rPr>
        <w:t>eco03430</w:t>
      </w:r>
      <w:r>
        <w:rPr>
          <w:rFonts w:ascii="Times New Roman" w:hAnsi="Times New Roman"/>
          <w:sz w:val="22"/>
        </w:rPr>
        <w:t>), and homologous recombination (</w:t>
      </w:r>
      <w:r>
        <w:rPr>
          <w:rFonts w:ascii="Times New Roman" w:hAnsi="Times New Roman"/>
          <w:i/>
          <w:sz w:val="22"/>
        </w:rPr>
        <w:t>eco03440</w:t>
      </w:r>
      <w:r>
        <w:rPr>
          <w:rFonts w:ascii="Times New Roman" w:hAnsi="Times New Roman"/>
          <w:sz w:val="22"/>
        </w:rPr>
        <w:t xml:space="preserve"> / EcoCyc: RecBCD pathway).</w:t>
      </w:r>
    </w:p>
    <w:p>
      <w:pPr>
        <w:spacing w:before="240" w:after="80"/>
        <w:jc w:val="center"/>
      </w:pPr>
      <w:r>
        <w:drawing>
          <wp:inline xmlns:a="http://schemas.openxmlformats.org/drawingml/2006/main" xmlns:pic="http://schemas.openxmlformats.org/drawingml/2006/picture">
            <wp:extent cx="4572000" cy="3862695"/>
            <wp:docPr id="15" name="Picture 15"/>
            <wp:cNvGraphicFramePr>
              <a:graphicFrameLocks noChangeAspect="1"/>
            </wp:cNvGraphicFramePr>
            <a:graphic>
              <a:graphicData uri="http://schemas.openxmlformats.org/drawingml/2006/picture">
                <pic:pic>
                  <pic:nvPicPr>
                    <pic:cNvPr id="0" name="fig6_cluster_pathway_network.png"/>
                    <pic:cNvPicPr/>
                  </pic:nvPicPr>
                  <pic:blipFill>
                    <a:blip r:embed="rId14"/>
                    <a:stretch>
                      <a:fillRect/>
                    </a:stretch>
                  </pic:blipFill>
                  <pic:spPr>
                    <a:xfrm>
                      <a:off x="0" y="0"/>
                      <a:ext cx="4572000" cy="3862695"/>
                    </a:xfrm>
                    <a:prstGeom prst="rect"/>
                  </pic:spPr>
                </pic:pic>
              </a:graphicData>
            </a:graphic>
          </wp:inline>
        </w:drawing>
      </w:r>
    </w:p>
    <w:p>
      <w:pPr>
        <w:spacing w:after="280" w:before="40"/>
        <w:jc w:val="center"/>
      </w:pPr>
      <w:r>
        <w:rPr>
          <w:rFonts w:ascii="Times New Roman" w:hAnsi="Times New Roman"/>
          <w:b/>
          <w:i/>
          <w:sz w:val="20"/>
        </w:rPr>
        <w:t xml:space="preserve">Figure 6. </w:t>
      </w:r>
      <w:r>
        <w:rPr>
          <w:rFonts w:ascii="Times New Roman" w:hAnsi="Times New Roman"/>
          <w:i/>
          <w:sz w:val="20"/>
        </w:rPr>
        <w:t>Cluster-to-pathway network mapping (KEGG and EcoCyc).</w:t>
      </w:r>
    </w:p>
    <w:p>
      <w:pPr>
        <w:spacing w:before="240" w:after="80"/>
        <w:jc w:val="center"/>
      </w:pPr>
      <w:r>
        <w:drawing>
          <wp:inline xmlns:a="http://schemas.openxmlformats.org/drawingml/2006/main" xmlns:pic="http://schemas.openxmlformats.org/drawingml/2006/picture">
            <wp:extent cx="4572000" cy="3862695"/>
            <wp:docPr id="16" name="Picture 16"/>
            <wp:cNvGraphicFramePr>
              <a:graphicFrameLocks noChangeAspect="1"/>
            </wp:cNvGraphicFramePr>
            <a:graphic>
              <a:graphicData uri="http://schemas.openxmlformats.org/drawingml/2006/picture">
                <pic:pic>
                  <pic:nvPicPr>
                    <pic:cNvPr id="0" name="fig6_cluster_pathway_network.png"/>
                    <pic:cNvPicPr/>
                  </pic:nvPicPr>
                  <pic:blipFill>
                    <a:blip r:embed="rId14"/>
                    <a:stretch>
                      <a:fillRect/>
                    </a:stretch>
                  </pic:blipFill>
                  <pic:spPr>
                    <a:xfrm>
                      <a:off x="0" y="0"/>
                      <a:ext cx="4572000" cy="3862695"/>
                    </a:xfrm>
                    <a:prstGeom prst="rect"/>
                  </pic:spPr>
                </pic:pic>
              </a:graphicData>
            </a:graphic>
          </wp:inline>
        </w:drawing>
      </w:r>
    </w:p>
    <w:p>
      <w:pPr>
        <w:spacing w:after="280" w:before="40"/>
        <w:jc w:val="center"/>
      </w:pPr>
      <w:r>
        <w:rPr>
          <w:rFonts w:ascii="Times New Roman" w:hAnsi="Times New Roman"/>
          <w:b/>
          <w:i/>
          <w:sz w:val="20"/>
        </w:rPr>
        <w:t xml:space="preserve">Figure 6. </w:t>
      </w:r>
      <w:r>
        <w:rPr>
          <w:rFonts w:ascii="Times New Roman" w:hAnsi="Times New Roman"/>
          <w:i/>
          <w:sz w:val="20"/>
        </w:rPr>
        <w:t>Cluster-to-pathway network mapping (KEGG and EcoCyc).</w:t>
      </w:r>
    </w:p>
    <w:p>
      <w:pPr>
        <w:pStyle w:val="Heading2"/>
      </w:pPr>
      <w:r>
        <w:t>4.5 Temporal Justification Trajectories (RQ3 Answer)</w:t>
      </w:r>
    </w:p>
    <w:p>
      <w:pPr>
        <w:spacing w:after="120"/>
        <w:ind w:firstLine="0"/>
      </w:pPr>
      <w:r>
        <w:rPr>
          <w:rFonts w:ascii="Times New Roman" w:hAnsi="Times New Roman"/>
          <w:sz w:val="24"/>
        </w:rPr>
        <w:t xml:space="preserve">Phase 5 tracked shifts in the justification for using </w:t>
      </w:r>
      <w:r>
        <w:rPr>
          <w:rFonts w:ascii="Times New Roman" w:hAnsi="Times New Roman"/>
          <w:i/>
          <w:sz w:val="24"/>
        </w:rPr>
        <w:t>E. coli</w:t>
      </w:r>
      <w:r>
        <w:rPr>
          <w:rFonts w:ascii="Times New Roman" w:hAnsi="Times New Roman"/>
          <w:sz w:val="24"/>
        </w:rPr>
        <w:t xml:space="preserve"> over time. The 458 clustered </w:t>
      </w:r>
      <w:r>
        <w:rPr>
          <w:rFonts w:ascii="Times New Roman" w:hAnsi="Times New Roman"/>
          <w:i/>
          <w:sz w:val="24"/>
        </w:rPr>
        <w:t>E. coli</w:t>
      </w:r>
      <w:r>
        <w:rPr>
          <w:rFonts w:ascii="Times New Roman" w:hAnsi="Times New Roman"/>
          <w:sz w:val="24"/>
        </w:rPr>
        <w:t xml:space="preserve"> explicit claims were binned into four decadal periods. The temporal trajectories (visualized as a stacked area chart in Figure 7) revealed three major shifts:</w:t>
      </w:r>
    </w:p>
    <w:p>
      <w:pPr>
        <w:spacing w:after="80" w:before="40"/>
        <w:ind w:left="720" w:hanging="357"/>
      </w:pPr>
      <w:r>
        <w:rPr>
          <w:rFonts w:ascii="Times New Roman" w:hAnsi="Times New Roman"/>
          <w:sz w:val="22"/>
        </w:rPr>
        <w:t xml:space="preserve">1.  </w:t>
      </w:r>
      <w:r>
        <w:rPr>
          <w:rFonts w:ascii="Times New Roman" w:hAnsi="Times New Roman"/>
          <w:b/>
          <w:sz w:val="22"/>
        </w:rPr>
        <w:t>Rise of the "Bacterial Reference Standard":</w:t>
      </w:r>
      <w:r>
        <w:rPr>
          <w:rFonts w:ascii="Times New Roman" w:hAnsi="Times New Roman"/>
          <w:sz w:val="22"/>
        </w:rPr>
        <w:t xml:space="preserve"> Justifications selecting E. coli as the definitive bacterial reference standard rose continuously from </w:t>
      </w:r>
      <w:r>
        <w:rPr>
          <w:rFonts w:ascii="Times New Roman" w:hAnsi="Times New Roman"/>
          <w:b/>
          <w:sz w:val="22"/>
        </w:rPr>
        <w:t>2.9% in the 1990s</w:t>
      </w:r>
      <w:r>
        <w:rPr>
          <w:rFonts w:ascii="Times New Roman" w:hAnsi="Times New Roman"/>
          <w:sz w:val="22"/>
        </w:rPr>
        <w:t xml:space="preserve"> to </w:t>
      </w:r>
      <w:r>
        <w:rPr>
          <w:rFonts w:ascii="Times New Roman" w:hAnsi="Times New Roman"/>
          <w:b/>
          <w:sz w:val="22"/>
        </w:rPr>
        <w:t>26.0% in the 2000s</w:t>
      </w:r>
      <w:r>
        <w:rPr>
          <w:rFonts w:ascii="Times New Roman" w:hAnsi="Times New Roman"/>
          <w:sz w:val="22"/>
        </w:rPr>
        <w:t xml:space="preserve">, reaching </w:t>
      </w:r>
      <w:r>
        <w:rPr>
          <w:rFonts w:ascii="Times New Roman" w:hAnsi="Times New Roman"/>
          <w:b/>
          <w:sz w:val="22"/>
        </w:rPr>
        <w:t>30.3% in the 2020s</w:t>
      </w:r>
      <w:r>
        <w:rPr>
          <w:rFonts w:ascii="Times New Roman" w:hAnsi="Times New Roman"/>
          <w:sz w:val="22"/>
        </w:rPr>
        <w:t xml:space="preserve">. This corresponds directly with the completion of the </w:t>
      </w:r>
      <w:r>
        <w:rPr>
          <w:rFonts w:ascii="Times New Roman" w:hAnsi="Times New Roman"/>
          <w:i/>
          <w:sz w:val="22"/>
        </w:rPr>
        <w:t>E. coli</w:t>
      </w:r>
      <w:r>
        <w:rPr>
          <w:rFonts w:ascii="Times New Roman" w:hAnsi="Times New Roman"/>
          <w:sz w:val="22"/>
        </w:rPr>
        <w:t xml:space="preserve"> genome sequencing in 1997.</w:t>
      </w:r>
    </w:p>
    <w:p>
      <w:pPr>
        <w:spacing w:after="80" w:before="40"/>
        <w:ind w:left="720" w:hanging="357"/>
      </w:pPr>
      <w:r>
        <w:rPr>
          <w:rFonts w:ascii="Times New Roman" w:hAnsi="Times New Roman"/>
          <w:sz w:val="22"/>
        </w:rPr>
        <w:t xml:space="preserve">2.  </w:t>
      </w:r>
      <w:r>
        <w:rPr>
          <w:rFonts w:ascii="Times New Roman" w:hAnsi="Times New Roman"/>
          <w:b/>
          <w:sz w:val="22"/>
        </w:rPr>
        <w:t>Decline of "DNA Replication &amp; Repair":</w:t>
      </w:r>
      <w:r>
        <w:rPr>
          <w:rFonts w:ascii="Times New Roman" w:hAnsi="Times New Roman"/>
          <w:sz w:val="22"/>
        </w:rPr>
        <w:t xml:space="preserve"> Claims based on E. coli DNA replication fork and repair mechanics fell continuously from </w:t>
      </w:r>
      <w:r>
        <w:rPr>
          <w:rFonts w:ascii="Times New Roman" w:hAnsi="Times New Roman"/>
          <w:b/>
          <w:sz w:val="22"/>
        </w:rPr>
        <w:t>20.6% in the 1990s</w:t>
      </w:r>
      <w:r>
        <w:rPr>
          <w:rFonts w:ascii="Times New Roman" w:hAnsi="Times New Roman"/>
          <w:sz w:val="22"/>
        </w:rPr>
        <w:t xml:space="preserve"> to just </w:t>
      </w:r>
      <w:r>
        <w:rPr>
          <w:rFonts w:ascii="Times New Roman" w:hAnsi="Times New Roman"/>
          <w:b/>
          <w:sz w:val="22"/>
        </w:rPr>
        <w:t>2.5% in the 2020s</w:t>
      </w:r>
      <w:r>
        <w:rPr>
          <w:rFonts w:ascii="Times New Roman" w:hAnsi="Times New Roman"/>
          <w:sz w:val="22"/>
        </w:rPr>
        <w:t>, reflecting the transition of molecular genetics research toward eukaryotic hosts.</w:t>
      </w:r>
    </w:p>
    <w:p>
      <w:pPr>
        <w:spacing w:after="80" w:before="40"/>
        <w:ind w:left="720" w:hanging="357"/>
      </w:pPr>
      <w:r>
        <w:rPr>
          <w:rFonts w:ascii="Times New Roman" w:hAnsi="Times New Roman"/>
          <w:sz w:val="22"/>
        </w:rPr>
        <w:t xml:space="preserve">3.  </w:t>
      </w:r>
      <w:r>
        <w:rPr>
          <w:rFonts w:ascii="Times New Roman" w:hAnsi="Times New Roman"/>
          <w:b/>
          <w:sz w:val="22"/>
        </w:rPr>
        <w:t>Normalization of Heterologous Expression:</w:t>
      </w:r>
      <w:r>
        <w:rPr>
          <w:rFonts w:ascii="Times New Roman" w:hAnsi="Times New Roman"/>
          <w:sz w:val="22"/>
        </w:rPr>
        <w:t xml:space="preserve"> Claims based on </w:t>
      </w:r>
      <w:r>
        <w:rPr>
          <w:rFonts w:ascii="Times New Roman" w:hAnsi="Times New Roman"/>
          <w:i/>
          <w:sz w:val="22"/>
        </w:rPr>
        <w:t>Heterologous Expression Host</w:t>
      </w:r>
      <w:r>
        <w:rPr>
          <w:rFonts w:ascii="Times New Roman" w:hAnsi="Times New Roman"/>
          <w:sz w:val="22"/>
        </w:rPr>
        <w:t xml:space="preserve"> utility dropped sharply from </w:t>
      </w:r>
      <w:r>
        <w:rPr>
          <w:rFonts w:ascii="Times New Roman" w:hAnsi="Times New Roman"/>
          <w:b/>
          <w:sz w:val="22"/>
        </w:rPr>
        <w:t>44.1% in the 1990s</w:t>
      </w:r>
      <w:r>
        <w:rPr>
          <w:rFonts w:ascii="Times New Roman" w:hAnsi="Times New Roman"/>
          <w:sz w:val="22"/>
        </w:rPr>
        <w:t xml:space="preserve"> to </w:t>
      </w:r>
      <w:r>
        <w:rPr>
          <w:rFonts w:ascii="Times New Roman" w:hAnsi="Times New Roman"/>
          <w:b/>
          <w:sz w:val="22"/>
        </w:rPr>
        <w:t>14.3% in the 2000s</w:t>
      </w:r>
      <w:r>
        <w:rPr>
          <w:rFonts w:ascii="Times New Roman" w:hAnsi="Times New Roman"/>
          <w:sz w:val="22"/>
        </w:rPr>
        <w:t xml:space="preserve"> and </w:t>
      </w:r>
      <w:r>
        <w:rPr>
          <w:rFonts w:ascii="Times New Roman" w:hAnsi="Times New Roman"/>
          <w:b/>
          <w:sz w:val="22"/>
        </w:rPr>
        <w:t>12.6% in the 2020s</w:t>
      </w:r>
      <w:r>
        <w:rPr>
          <w:rFonts w:ascii="Times New Roman" w:hAnsi="Times New Roman"/>
          <w:sz w:val="22"/>
        </w:rPr>
        <w:t>, showing that protein expression has become an implicit utility requiring less explicit justification.</w:t>
      </w:r>
    </w:p>
    <w:p>
      <w:pPr>
        <w:spacing w:before="240" w:after="80"/>
        <w:jc w:val="center"/>
      </w:pPr>
      <w:r>
        <w:drawing>
          <wp:inline xmlns:a="http://schemas.openxmlformats.org/drawingml/2006/main" xmlns:pic="http://schemas.openxmlformats.org/drawingml/2006/picture">
            <wp:extent cx="4572000" cy="2894524"/>
            <wp:docPr id="17" name="Picture 17"/>
            <wp:cNvGraphicFramePr>
              <a:graphicFrameLocks noChangeAspect="1"/>
            </wp:cNvGraphicFramePr>
            <a:graphic>
              <a:graphicData uri="http://schemas.openxmlformats.org/drawingml/2006/picture">
                <pic:pic>
                  <pic:nvPicPr>
                    <pic:cNvPr id="0" name="fig7_temporal_stacked_area.png"/>
                    <pic:cNvPicPr/>
                  </pic:nvPicPr>
                  <pic:blipFill>
                    <a:blip r:embed="rId15"/>
                    <a:stretch>
                      <a:fillRect/>
                    </a:stretch>
                  </pic:blipFill>
                  <pic:spPr>
                    <a:xfrm>
                      <a:off x="0" y="0"/>
                      <a:ext cx="4572000" cy="2894524"/>
                    </a:xfrm>
                    <a:prstGeom prst="rect"/>
                  </pic:spPr>
                </pic:pic>
              </a:graphicData>
            </a:graphic>
          </wp:inline>
        </w:drawing>
      </w:r>
    </w:p>
    <w:p>
      <w:pPr>
        <w:spacing w:after="280" w:before="40"/>
        <w:jc w:val="center"/>
      </w:pPr>
      <w:r>
        <w:rPr>
          <w:rFonts w:ascii="Times New Roman" w:hAnsi="Times New Roman"/>
          <w:b/>
          <w:i/>
          <w:sz w:val="20"/>
        </w:rPr>
        <w:t xml:space="preserve">Figure 7. </w:t>
      </w:r>
      <w:r>
        <w:rPr>
          <w:rFonts w:ascii="Times New Roman" w:hAnsi="Times New Roman"/>
          <w:i/>
          <w:sz w:val="20"/>
        </w:rPr>
        <w:t>Temporal trajectories of E. coli justification themes (1990–2025).</w:t>
      </w:r>
    </w:p>
    <w:p>
      <w:pPr>
        <w:spacing w:before="240" w:after="80"/>
        <w:jc w:val="center"/>
      </w:pPr>
      <w:r>
        <w:drawing>
          <wp:inline xmlns:a="http://schemas.openxmlformats.org/drawingml/2006/main" xmlns:pic="http://schemas.openxmlformats.org/drawingml/2006/picture">
            <wp:extent cx="4572000" cy="2894524"/>
            <wp:docPr id="18" name="Picture 18"/>
            <wp:cNvGraphicFramePr>
              <a:graphicFrameLocks noChangeAspect="1"/>
            </wp:cNvGraphicFramePr>
            <a:graphic>
              <a:graphicData uri="http://schemas.openxmlformats.org/drawingml/2006/picture">
                <pic:pic>
                  <pic:nvPicPr>
                    <pic:cNvPr id="0" name="fig7_temporal_stacked_area.png"/>
                    <pic:cNvPicPr/>
                  </pic:nvPicPr>
                  <pic:blipFill>
                    <a:blip r:embed="rId15"/>
                    <a:stretch>
                      <a:fillRect/>
                    </a:stretch>
                  </pic:blipFill>
                  <pic:spPr>
                    <a:xfrm>
                      <a:off x="0" y="0"/>
                      <a:ext cx="4572000" cy="2894524"/>
                    </a:xfrm>
                    <a:prstGeom prst="rect"/>
                  </pic:spPr>
                </pic:pic>
              </a:graphicData>
            </a:graphic>
          </wp:inline>
        </w:drawing>
      </w:r>
    </w:p>
    <w:p>
      <w:pPr>
        <w:spacing w:after="280" w:before="40"/>
        <w:jc w:val="center"/>
      </w:pPr>
      <w:r>
        <w:rPr>
          <w:rFonts w:ascii="Times New Roman" w:hAnsi="Times New Roman"/>
          <w:b/>
          <w:i/>
          <w:sz w:val="20"/>
        </w:rPr>
        <w:t xml:space="preserve">Figure 7. </w:t>
      </w:r>
      <w:r>
        <w:rPr>
          <w:rFonts w:ascii="Times New Roman" w:hAnsi="Times New Roman"/>
          <w:i/>
          <w:sz w:val="20"/>
        </w:rPr>
        <w:t>Temporal trajectories of E. coli justification themes (1990–2025).</w:t>
      </w:r>
    </w:p>
    <w:p>
      <w:pPr>
        <w:pStyle w:val="Heading2"/>
      </w:pPr>
      <w:r>
        <w:t>4.6 Cross-Organism Comparative Profile Analysis (RQ4 Answer)</w:t>
      </w:r>
    </w:p>
    <w:p>
      <w:pPr>
        <w:spacing w:after="120"/>
        <w:ind w:firstLine="0"/>
      </w:pPr>
      <w:r>
        <w:rPr>
          <w:rFonts w:ascii="Times New Roman" w:hAnsi="Times New Roman"/>
          <w:sz w:val="24"/>
        </w:rPr>
        <w:t>Phase 6 normalized the cluster frequencies for each organism to compare their scientific profiles. The relative specialization of each organism is illustrated via a radar chart profile (Figure 8), and the normalized distribution of justification themes is compared in the cross-organism comparative matrix heatmap (Figure 9), showing that:</w:t>
      </w:r>
    </w:p>
    <w:p>
      <w:pPr>
        <w:spacing w:after="60" w:before="20"/>
        <w:ind w:left="720" w:hanging="283"/>
      </w:pPr>
      <w:r>
        <w:rPr>
          <w:rFonts w:ascii="Times New Roman" w:hAnsi="Times New Roman"/>
          <w:sz w:val="22"/>
        </w:rPr>
        <w:t xml:space="preserve">•  </w:t>
      </w:r>
      <w:r>
        <w:rPr>
          <w:rFonts w:ascii="Times New Roman" w:hAnsi="Times New Roman"/>
          <w:b/>
          <w:sz w:val="22"/>
        </w:rPr>
        <w:t>S. cerevisiae (Yeast)</w:t>
      </w:r>
      <w:r>
        <w:rPr>
          <w:rFonts w:ascii="Times New Roman" w:hAnsi="Times New Roman"/>
          <w:sz w:val="22"/>
        </w:rPr>
        <w:t xml:space="preserve"> is a highly specialized model, with </w:t>
      </w:r>
      <w:r>
        <w:rPr>
          <w:rFonts w:ascii="Times New Roman" w:hAnsi="Times New Roman"/>
          <w:b/>
          <w:sz w:val="22"/>
        </w:rPr>
        <w:t>99.0%</w:t>
      </w:r>
      <w:r>
        <w:rPr>
          <w:rFonts w:ascii="Times New Roman" w:hAnsi="Times New Roman"/>
          <w:sz w:val="22"/>
        </w:rPr>
        <w:t xml:space="preserve"> of its justifications concentrated in just </w:t>
      </w:r>
      <w:r>
        <w:rPr>
          <w:rFonts w:ascii="Times New Roman" w:hAnsi="Times New Roman"/>
          <w:b/>
          <w:sz w:val="22"/>
        </w:rPr>
        <w:t>two themes</w:t>
      </w:r>
      <w:r>
        <w:rPr>
          <w:rFonts w:ascii="Times New Roman" w:hAnsi="Times New Roman"/>
          <w:sz w:val="22"/>
        </w:rPr>
        <w:t xml:space="preserve">: </w:t>
      </w:r>
      <w:r>
        <w:rPr>
          <w:rFonts w:ascii="Times New Roman" w:hAnsi="Times New Roman"/>
          <w:i/>
          <w:sz w:val="22"/>
        </w:rPr>
        <w:t>Eukaryotic Biology &amp; Disease Modeling</w:t>
      </w:r>
      <w:r>
        <w:rPr>
          <w:rFonts w:ascii="Times New Roman" w:hAnsi="Times New Roman"/>
          <w:sz w:val="22"/>
        </w:rPr>
        <w:t xml:space="preserve"> (59.3%) and </w:t>
      </w:r>
      <w:r>
        <w:rPr>
          <w:rFonts w:ascii="Times New Roman" w:hAnsi="Times New Roman"/>
          <w:i/>
          <w:sz w:val="22"/>
        </w:rPr>
        <w:t>Genetic Tractability &amp; Workhorse Tools</w:t>
      </w:r>
      <w:r>
        <w:rPr>
          <w:rFonts w:ascii="Times New Roman" w:hAnsi="Times New Roman"/>
          <w:sz w:val="22"/>
        </w:rPr>
        <w:t xml:space="preserve"> (39.7%).</w:t>
      </w:r>
    </w:p>
    <w:p>
      <w:pPr>
        <w:spacing w:after="60" w:before="20"/>
        <w:ind w:left="720" w:hanging="283"/>
      </w:pPr>
      <w:r>
        <w:rPr>
          <w:rFonts w:ascii="Times New Roman" w:hAnsi="Times New Roman"/>
          <w:sz w:val="22"/>
        </w:rPr>
        <w:t xml:space="preserve">•  </w:t>
      </w:r>
      <w:r>
        <w:rPr>
          <w:rFonts w:ascii="Times New Roman" w:hAnsi="Times New Roman"/>
          <w:b/>
          <w:sz w:val="22"/>
        </w:rPr>
        <w:t>B. subtilis</w:t>
      </w:r>
      <w:r>
        <w:rPr>
          <w:rFonts w:ascii="Times New Roman" w:hAnsi="Times New Roman"/>
          <w:sz w:val="22"/>
        </w:rPr>
        <w:t xml:space="preserve"> is similarly specialized, with </w:t>
      </w:r>
      <w:r>
        <w:rPr>
          <w:rFonts w:ascii="Times New Roman" w:hAnsi="Times New Roman"/>
          <w:b/>
          <w:sz w:val="22"/>
        </w:rPr>
        <w:t>98.1%</w:t>
      </w:r>
      <w:r>
        <w:rPr>
          <w:rFonts w:ascii="Times New Roman" w:hAnsi="Times New Roman"/>
          <w:sz w:val="22"/>
        </w:rPr>
        <w:t xml:space="preserve"> of justifications concentrated in just </w:t>
      </w:r>
      <w:r>
        <w:rPr>
          <w:rFonts w:ascii="Times New Roman" w:hAnsi="Times New Roman"/>
          <w:b/>
          <w:sz w:val="22"/>
        </w:rPr>
        <w:t>three themes</w:t>
      </w:r>
      <w:r>
        <w:rPr>
          <w:rFonts w:ascii="Times New Roman" w:hAnsi="Times New Roman"/>
          <w:sz w:val="22"/>
        </w:rPr>
        <w:t xml:space="preserve">: </w:t>
      </w:r>
      <w:r>
        <w:rPr>
          <w:rFonts w:ascii="Times New Roman" w:hAnsi="Times New Roman"/>
          <w:i/>
          <w:sz w:val="22"/>
        </w:rPr>
        <w:t>Gram-Positive Physiology &amp; Bioprocess</w:t>
      </w:r>
      <w:r>
        <w:rPr>
          <w:rFonts w:ascii="Times New Roman" w:hAnsi="Times New Roman"/>
          <w:sz w:val="22"/>
        </w:rPr>
        <w:t xml:space="preserve"> (69.3%), </w:t>
      </w:r>
      <w:r>
        <w:rPr>
          <w:rFonts w:ascii="Times New Roman" w:hAnsi="Times New Roman"/>
          <w:i/>
          <w:sz w:val="22"/>
        </w:rPr>
        <w:t>Genetic Tractability</w:t>
      </w:r>
      <w:r>
        <w:rPr>
          <w:rFonts w:ascii="Times New Roman" w:hAnsi="Times New Roman"/>
          <w:sz w:val="22"/>
        </w:rPr>
        <w:t xml:space="preserve"> (17.5%), and </w:t>
      </w:r>
      <w:r>
        <w:rPr>
          <w:rFonts w:ascii="Times New Roman" w:hAnsi="Times New Roman"/>
          <w:i/>
          <w:sz w:val="22"/>
        </w:rPr>
        <w:t>Gram-Positive Definition</w:t>
      </w:r>
      <w:r>
        <w:rPr>
          <w:rFonts w:ascii="Times New Roman" w:hAnsi="Times New Roman"/>
          <w:sz w:val="22"/>
        </w:rPr>
        <w:t xml:space="preserve"> (11.3%).</w:t>
      </w:r>
    </w:p>
    <w:p>
      <w:pPr>
        <w:spacing w:after="60" w:before="20"/>
        <w:ind w:left="720" w:hanging="283"/>
      </w:pPr>
      <w:r>
        <w:rPr>
          <w:rFonts w:ascii="Times New Roman" w:hAnsi="Times New Roman"/>
          <w:sz w:val="22"/>
        </w:rPr>
        <w:t xml:space="preserve">•  </w:t>
      </w:r>
      <w:r>
        <w:rPr>
          <w:rFonts w:ascii="Times New Roman" w:hAnsi="Times New Roman"/>
          <w:b/>
          <w:sz w:val="22"/>
        </w:rPr>
        <w:t>*Escherichia coli</w:t>
      </w:r>
      <w:r>
        <w:rPr>
          <w:rFonts w:ascii="Times New Roman" w:hAnsi="Times New Roman"/>
          <w:i/>
          <w:sz w:val="22"/>
        </w:rPr>
        <w:t xml:space="preserve"> exhibits a highly balanced, multifaceted profile, with its justifications distributed across </w:t>
      </w:r>
      <w:r>
        <w:rPr>
          <w:rFonts w:ascii="Times New Roman" w:hAnsi="Times New Roman"/>
          <w:i/>
          <w:sz w:val="22"/>
        </w:rPr>
        <w:t>9 distinct themes</w:t>
      </w:r>
      <w:r>
        <w:rPr>
          <w:rFonts w:ascii="Times New Roman" w:hAnsi="Times New Roman"/>
          <w:sz w:val="22"/>
        </w:rPr>
        <w:t>* (Themes 4 to 12). No single theme represents more than 22% of E. coli claims, proving E. coli is uniquely suited as a general-purpose biological reference, technical cell factory, and pathogenesis model.</w:t>
      </w:r>
    </w:p>
    <w:p>
      <w:pPr>
        <w:spacing w:before="240" w:after="80"/>
        <w:jc w:val="center"/>
      </w:pPr>
      <w:r>
        <w:drawing>
          <wp:inline xmlns:a="http://schemas.openxmlformats.org/drawingml/2006/main" xmlns:pic="http://schemas.openxmlformats.org/drawingml/2006/picture">
            <wp:extent cx="4572000" cy="4071688"/>
            <wp:docPr id="19" name="Picture 19"/>
            <wp:cNvGraphicFramePr>
              <a:graphicFrameLocks noChangeAspect="1"/>
            </wp:cNvGraphicFramePr>
            <a:graphic>
              <a:graphicData uri="http://schemas.openxmlformats.org/drawingml/2006/picture">
                <pic:pic>
                  <pic:nvPicPr>
                    <pic:cNvPr id="0" name="fig8_radar_organism_profiles.png"/>
                    <pic:cNvPicPr/>
                  </pic:nvPicPr>
                  <pic:blipFill>
                    <a:blip r:embed="rId16"/>
                    <a:stretch>
                      <a:fillRect/>
                    </a:stretch>
                  </pic:blipFill>
                  <pic:spPr>
                    <a:xfrm>
                      <a:off x="0" y="0"/>
                      <a:ext cx="4572000" cy="4071688"/>
                    </a:xfrm>
                    <a:prstGeom prst="rect"/>
                  </pic:spPr>
                </pic:pic>
              </a:graphicData>
            </a:graphic>
          </wp:inline>
        </w:drawing>
      </w:r>
    </w:p>
    <w:p>
      <w:pPr>
        <w:spacing w:after="280" w:before="40"/>
        <w:jc w:val="center"/>
      </w:pPr>
      <w:r>
        <w:rPr>
          <w:rFonts w:ascii="Times New Roman" w:hAnsi="Times New Roman"/>
          <w:b/>
          <w:i/>
          <w:sz w:val="20"/>
        </w:rPr>
        <w:t xml:space="preserve">Figure 8. </w:t>
      </w:r>
      <w:r>
        <w:rPr>
          <w:rFonts w:ascii="Times New Roman" w:hAnsi="Times New Roman"/>
          <w:i/>
          <w:sz w:val="20"/>
        </w:rPr>
        <w:t>Radar chart — Comparative organism justification profiles.</w:t>
      </w:r>
    </w:p>
    <w:p>
      <w:pPr>
        <w:spacing w:before="240" w:after="80"/>
        <w:jc w:val="center"/>
      </w:pPr>
      <w:r>
        <w:drawing>
          <wp:inline xmlns:a="http://schemas.openxmlformats.org/drawingml/2006/main" xmlns:pic="http://schemas.openxmlformats.org/drawingml/2006/picture">
            <wp:extent cx="4572000" cy="1551690"/>
            <wp:docPr id="20" name="Picture 20"/>
            <wp:cNvGraphicFramePr>
              <a:graphicFrameLocks noChangeAspect="1"/>
            </wp:cNvGraphicFramePr>
            <a:graphic>
              <a:graphicData uri="http://schemas.openxmlformats.org/drawingml/2006/picture">
                <pic:pic>
                  <pic:nvPicPr>
                    <pic:cNvPr id="0" name="fig9_heatmap_redesigned.png"/>
                    <pic:cNvPicPr/>
                  </pic:nvPicPr>
                  <pic:blipFill>
                    <a:blip r:embed="rId17"/>
                    <a:stretch>
                      <a:fillRect/>
                    </a:stretch>
                  </pic:blipFill>
                  <pic:spPr>
                    <a:xfrm>
                      <a:off x="0" y="0"/>
                      <a:ext cx="4572000" cy="1551690"/>
                    </a:xfrm>
                    <a:prstGeom prst="rect"/>
                  </pic:spPr>
                </pic:pic>
              </a:graphicData>
            </a:graphic>
          </wp:inline>
        </w:drawing>
      </w:r>
    </w:p>
    <w:p>
      <w:pPr>
        <w:spacing w:after="280" w:before="40"/>
        <w:jc w:val="center"/>
      </w:pPr>
      <w:r>
        <w:rPr>
          <w:rFonts w:ascii="Times New Roman" w:hAnsi="Times New Roman"/>
          <w:b/>
          <w:i/>
          <w:sz w:val="20"/>
        </w:rPr>
        <w:t xml:space="preserve">Figure 9. </w:t>
      </w:r>
      <w:r>
        <w:rPr>
          <w:rFonts w:ascii="Times New Roman" w:hAnsi="Times New Roman"/>
          <w:i/>
          <w:sz w:val="20"/>
        </w:rPr>
        <w:t>Cross-organism comparative matrix heatmap of normalized justification themes.</w:t>
      </w:r>
    </w:p>
    <w:p>
      <w:r>
        <w:br w:type="page"/>
      </w:r>
    </w:p>
    <w:p>
      <w:pPr>
        <w:pStyle w:val="Heading1"/>
      </w:pPr>
      <w:r>
        <w:t>5. Discussion</w:t>
      </w:r>
    </w:p>
    <w:p>
      <w:pPr>
        <w:spacing w:after="120"/>
        <w:ind w:firstLine="0"/>
      </w:pPr>
      <w:r>
        <w:rPr>
          <w:rFonts w:ascii="Times New Roman" w:hAnsi="Times New Roman"/>
          <w:sz w:val="24"/>
        </w:rPr>
        <w:t xml:space="preserve">The results of this study provide the first large-scale computational quantification of the biological, technical, and historical drivers underlying the premier status of </w:t>
      </w:r>
      <w:r>
        <w:rPr>
          <w:rFonts w:ascii="Times New Roman" w:hAnsi="Times New Roman"/>
          <w:i/>
          <w:sz w:val="24"/>
        </w:rPr>
        <w:t>Escherichia coli</w:t>
      </w:r>
      <w:r>
        <w:rPr>
          <w:rFonts w:ascii="Times New Roman" w:hAnsi="Times New Roman"/>
          <w:sz w:val="24"/>
        </w:rPr>
        <w:t xml:space="preserve"> as a model microorganism. By analyzing 3,273 peer-reviewed publications spanning 35 years, this research transitions the traditional consensus surrounding </w:t>
      </w:r>
      <w:r>
        <w:rPr>
          <w:rFonts w:ascii="Times New Roman" w:hAnsi="Times New Roman"/>
          <w:i/>
          <w:sz w:val="24"/>
        </w:rPr>
        <w:t>E. coli</w:t>
      </w:r>
      <w:r>
        <w:rPr>
          <w:rFonts w:ascii="Times New Roman" w:hAnsi="Times New Roman"/>
          <w:sz w:val="24"/>
        </w:rPr>
        <w:t>'s dominance from a qualitative academic assumption to a measurable, empirical phenomenon.</w:t>
      </w:r>
    </w:p>
    <w:p>
      <w:pPr>
        <w:pStyle w:val="Heading2"/>
      </w:pPr>
      <w:r>
        <w:t>5.1 Biological vs. Institutional Drivers (RQ1: The Axiomatic Acceptance Gap)</w:t>
      </w:r>
    </w:p>
    <w:p>
      <w:pPr>
        <w:spacing w:after="120"/>
        <w:ind w:firstLine="0"/>
      </w:pPr>
      <w:r>
        <w:rPr>
          <w:rFonts w:ascii="Times New Roman" w:hAnsi="Times New Roman"/>
          <w:sz w:val="24"/>
        </w:rPr>
        <w:t xml:space="preserve">The most striking finding of this study is the </w:t>
      </w:r>
      <w:r>
        <w:rPr>
          <w:rFonts w:ascii="Times New Roman" w:hAnsi="Times New Roman"/>
          <w:b/>
          <w:sz w:val="24"/>
        </w:rPr>
        <w:t>Axiomatic Acceptance Gap</w:t>
      </w:r>
      <w:r>
        <w:rPr>
          <w:rFonts w:ascii="Times New Roman" w:hAnsi="Times New Roman"/>
          <w:sz w:val="24"/>
        </w:rPr>
        <w:t xml:space="preserve"> (presented in Section 4.2.2). In 61.6% of </w:t>
      </w:r>
      <w:r>
        <w:rPr>
          <w:rFonts w:ascii="Times New Roman" w:hAnsi="Times New Roman"/>
          <w:i/>
          <w:sz w:val="24"/>
        </w:rPr>
        <w:t>E. coli</w:t>
      </w:r>
      <w:r>
        <w:rPr>
          <w:rFonts w:ascii="Times New Roman" w:hAnsi="Times New Roman"/>
          <w:sz w:val="24"/>
        </w:rPr>
        <w:t xml:space="preserve"> papers, authors felt no need to explicitly justify their choice of model organism, whereas authors using the eukaryotic control (</w:t>
      </w:r>
      <w:r>
        <w:rPr>
          <w:rFonts w:ascii="Times New Roman" w:hAnsi="Times New Roman"/>
          <w:i/>
          <w:sz w:val="24"/>
        </w:rPr>
        <w:t>S. cerevisiae</w:t>
      </w:r>
      <w:r>
        <w:rPr>
          <w:rFonts w:ascii="Times New Roman" w:hAnsi="Times New Roman"/>
          <w:sz w:val="24"/>
        </w:rPr>
        <w:t>) and the Gram-positive control (</w:t>
      </w:r>
      <w:r>
        <w:rPr>
          <w:rFonts w:ascii="Times New Roman" w:hAnsi="Times New Roman"/>
          <w:i/>
          <w:sz w:val="24"/>
        </w:rPr>
        <w:t>B. subtilis</w:t>
      </w:r>
      <w:r>
        <w:rPr>
          <w:rFonts w:ascii="Times New Roman" w:hAnsi="Times New Roman"/>
          <w:sz w:val="24"/>
        </w:rPr>
        <w:t>) left their model choices unjustified in only 31.2% and 32.4% of papers, respectively.</w:t>
      </w:r>
    </w:p>
    <w:p>
      <w:pPr>
        <w:spacing w:after="120"/>
        <w:ind w:firstLine="0"/>
      </w:pPr>
      <w:r>
        <w:rPr>
          <w:rFonts w:ascii="Times New Roman" w:hAnsi="Times New Roman"/>
          <w:sz w:val="24"/>
        </w:rPr>
        <w:t xml:space="preserve">This quantitative disparity represents the computational proof that </w:t>
      </w:r>
      <w:r>
        <w:rPr>
          <w:rFonts w:ascii="Times New Roman" w:hAnsi="Times New Roman"/>
          <w:i/>
          <w:sz w:val="24"/>
        </w:rPr>
        <w:t>E. coli</w:t>
      </w:r>
      <w:r>
        <w:rPr>
          <w:rFonts w:ascii="Times New Roman" w:hAnsi="Times New Roman"/>
          <w:sz w:val="24"/>
        </w:rPr>
        <w:t xml:space="preserve">'s premier status is not merely a reflection of ongoing biological utility, but is a deeply institutionalized paradigm. In the framework of Thomas Kuhn’s </w:t>
      </w:r>
      <w:r>
        <w:rPr>
          <w:rFonts w:ascii="Times New Roman" w:hAnsi="Times New Roman"/>
          <w:i/>
          <w:sz w:val="24"/>
        </w:rPr>
        <w:t>The Structure of Scientific Revolutions</w:t>
      </w:r>
      <w:r>
        <w:rPr>
          <w:rFonts w:ascii="Times New Roman" w:hAnsi="Times New Roman"/>
          <w:sz w:val="24"/>
        </w:rPr>
        <w:t xml:space="preserve"> </w:t>
      </w:r>
      <w:r>
        <w:rPr>
          <w:rFonts w:ascii="Times New Roman" w:hAnsi="Times New Roman"/>
          <w:i/>
          <w:sz w:val="22"/>
        </w:rPr>
        <w:t>[4]</w:t>
      </w:r>
      <w:r>
        <w:rPr>
          <w:rFonts w:ascii="Times New Roman" w:hAnsi="Times New Roman"/>
          <w:sz w:val="24"/>
        </w:rPr>
        <w:t xml:space="preserve">, </w:t>
      </w:r>
      <w:r>
        <w:rPr>
          <w:rFonts w:ascii="Times New Roman" w:hAnsi="Times New Roman"/>
          <w:i/>
          <w:sz w:val="24"/>
        </w:rPr>
        <w:t>E. coli</w:t>
      </w:r>
      <w:r>
        <w:rPr>
          <w:rFonts w:ascii="Times New Roman" w:hAnsi="Times New Roman"/>
          <w:sz w:val="24"/>
        </w:rPr>
        <w:t xml:space="preserve"> has ascended to the level of "normal science" where its utility is an implicit baseline axiom. For the majority of researchers, </w:t>
      </w:r>
      <w:r>
        <w:rPr>
          <w:rFonts w:ascii="Times New Roman" w:hAnsi="Times New Roman"/>
          <w:i/>
          <w:sz w:val="24"/>
        </w:rPr>
        <w:t>E. coli</w:t>
      </w:r>
      <w:r>
        <w:rPr>
          <w:rFonts w:ascii="Times New Roman" w:hAnsi="Times New Roman"/>
          <w:sz w:val="24"/>
        </w:rPr>
        <w:t xml:space="preserve"> is not an active choice; it is the default environment.</w:t>
      </w:r>
    </w:p>
    <w:p>
      <w:pPr>
        <w:spacing w:after="120"/>
        <w:ind w:firstLine="0"/>
      </w:pPr>
      <w:r>
        <w:rPr>
          <w:rFonts w:ascii="Times New Roman" w:hAnsi="Times New Roman"/>
          <w:sz w:val="24"/>
        </w:rPr>
        <w:t xml:space="preserve">In contrast, researchers working with </w:t>
      </w:r>
      <w:r>
        <w:rPr>
          <w:rFonts w:ascii="Times New Roman" w:hAnsi="Times New Roman"/>
          <w:i/>
          <w:sz w:val="24"/>
        </w:rPr>
        <w:t>S. cerevisiae</w:t>
      </w:r>
      <w:r>
        <w:rPr>
          <w:rFonts w:ascii="Times New Roman" w:hAnsi="Times New Roman"/>
          <w:sz w:val="24"/>
        </w:rPr>
        <w:t xml:space="preserve"> and </w:t>
      </w:r>
      <w:r>
        <w:rPr>
          <w:rFonts w:ascii="Times New Roman" w:hAnsi="Times New Roman"/>
          <w:i/>
          <w:sz w:val="24"/>
        </w:rPr>
        <w:t>B. subtilis</w:t>
      </w:r>
      <w:r>
        <w:rPr>
          <w:rFonts w:ascii="Times New Roman" w:hAnsi="Times New Roman"/>
          <w:sz w:val="24"/>
        </w:rPr>
        <w:t xml:space="preserve"> operate within specialized niches that require them to continuously validate their selection—typically by citing eukaryotic homology or Gram-positive cell-wall physiology. The requirement for justification in over two-thirds of Yeast and Bacillus papers suggests these organisms are viewed as representative models for specific biological kingdoms or phyla, whereas </w:t>
      </w:r>
      <w:r>
        <w:rPr>
          <w:rFonts w:ascii="Times New Roman" w:hAnsi="Times New Roman"/>
          <w:i/>
          <w:sz w:val="24"/>
        </w:rPr>
        <w:t>E. coli</w:t>
      </w:r>
      <w:r>
        <w:rPr>
          <w:rFonts w:ascii="Times New Roman" w:hAnsi="Times New Roman"/>
          <w:sz w:val="24"/>
        </w:rPr>
        <w:t xml:space="preserve"> is treated as the default, universal host of molecular biology. This cultural entrenchment means that institutional momentum (established protocols, commercial kits, historical legacy, and training familiarity) plays a role in </w:t>
      </w:r>
      <w:r>
        <w:rPr>
          <w:rFonts w:ascii="Times New Roman" w:hAnsi="Times New Roman"/>
          <w:i/>
          <w:sz w:val="24"/>
        </w:rPr>
        <w:t>E. coli</w:t>
      </w:r>
      <w:r>
        <w:rPr>
          <w:rFonts w:ascii="Times New Roman" w:hAnsi="Times New Roman"/>
          <w:sz w:val="24"/>
        </w:rPr>
        <w:t>'s dominance that is quantitatively distinct from its controls.</w:t>
      </w:r>
    </w:p>
    <w:p>
      <w:pPr>
        <w:pStyle w:val="Heading2"/>
      </w:pPr>
      <w:r>
        <w:t>5.2 Thematic Architecture and Niche Specialization (RQ2 &amp; RQ4)</w:t>
      </w:r>
    </w:p>
    <w:p>
      <w:pPr>
        <w:spacing w:after="120"/>
        <w:ind w:firstLine="0"/>
      </w:pPr>
      <w:r>
        <w:rPr>
          <w:rFonts w:ascii="Times New Roman" w:hAnsi="Times New Roman"/>
          <w:sz w:val="24"/>
        </w:rPr>
        <w:t xml:space="preserve">The unsupervised clustering of 2,037 explicit claims into 13 semantic clusters (Section 4.3) reveals the distinct conceptual structures underlying how the scientific community utilizes these models. The most significant architectural difference between </w:t>
      </w:r>
      <w:r>
        <w:rPr>
          <w:rFonts w:ascii="Times New Roman" w:hAnsi="Times New Roman"/>
          <w:i/>
          <w:sz w:val="24"/>
        </w:rPr>
        <w:t>E. coli</w:t>
      </w:r>
      <w:r>
        <w:rPr>
          <w:rFonts w:ascii="Times New Roman" w:hAnsi="Times New Roman"/>
          <w:sz w:val="24"/>
        </w:rPr>
        <w:t xml:space="preserve"> and its controls lies in the </w:t>
      </w:r>
      <w:r>
        <w:rPr>
          <w:rFonts w:ascii="Times New Roman" w:hAnsi="Times New Roman"/>
          <w:b/>
          <w:sz w:val="24"/>
        </w:rPr>
        <w:t>breadth of justification</w:t>
      </w:r>
      <w:r>
        <w:rPr>
          <w:rFonts w:ascii="Times New Roman" w:hAnsi="Times New Roman"/>
          <w:sz w:val="24"/>
        </w:rPr>
        <w:t>.</w:t>
      </w:r>
    </w:p>
    <w:p>
      <w:pPr>
        <w:spacing w:after="120"/>
        <w:ind w:firstLine="0"/>
      </w:pPr>
      <w:r>
        <w:rPr>
          <w:rFonts w:ascii="Times New Roman" w:hAnsi="Times New Roman"/>
          <w:i/>
          <w:sz w:val="24"/>
        </w:rPr>
        <w:t>S. cerevisiae</w:t>
      </w:r>
      <w:r>
        <w:rPr>
          <w:rFonts w:ascii="Times New Roman" w:hAnsi="Times New Roman"/>
          <w:sz w:val="24"/>
        </w:rPr>
        <w:t xml:space="preserve"> and </w:t>
      </w:r>
      <w:r>
        <w:rPr>
          <w:rFonts w:ascii="Times New Roman" w:hAnsi="Times New Roman"/>
          <w:i/>
          <w:sz w:val="24"/>
        </w:rPr>
        <w:t>B. subtilis</w:t>
      </w:r>
      <w:r>
        <w:rPr>
          <w:rFonts w:ascii="Times New Roman" w:hAnsi="Times New Roman"/>
          <w:sz w:val="24"/>
        </w:rPr>
        <w:t xml:space="preserve"> exhibit extreme niche specialization:</w:t>
      </w:r>
    </w:p>
    <w:p>
      <w:pPr>
        <w:spacing w:after="60" w:before="20"/>
        <w:ind w:left="720" w:hanging="283"/>
      </w:pPr>
      <w:r>
        <w:rPr>
          <w:rFonts w:ascii="Times New Roman" w:hAnsi="Times New Roman"/>
          <w:sz w:val="22"/>
        </w:rPr>
        <w:t xml:space="preserve">•  </w:t>
      </w:r>
      <w:r>
        <w:rPr>
          <w:rFonts w:ascii="Times New Roman" w:hAnsi="Times New Roman"/>
          <w:b/>
          <w:sz w:val="22"/>
        </w:rPr>
        <w:t>Yeast Specialization:</w:t>
      </w:r>
      <w:r>
        <w:rPr>
          <w:rFonts w:ascii="Times New Roman" w:hAnsi="Times New Roman"/>
          <w:sz w:val="22"/>
        </w:rPr>
        <w:t xml:space="preserve"> A remarkable </w:t>
      </w:r>
      <w:r>
        <w:rPr>
          <w:rFonts w:ascii="Times New Roman" w:hAnsi="Times New Roman"/>
          <w:b/>
          <w:sz w:val="22"/>
        </w:rPr>
        <w:t>99.0%</w:t>
      </w:r>
      <w:r>
        <w:rPr>
          <w:rFonts w:ascii="Times New Roman" w:hAnsi="Times New Roman"/>
          <w:sz w:val="22"/>
        </w:rPr>
        <w:t xml:space="preserve"> of </w:t>
      </w:r>
      <w:r>
        <w:rPr>
          <w:rFonts w:ascii="Times New Roman" w:hAnsi="Times New Roman"/>
          <w:i/>
          <w:sz w:val="22"/>
        </w:rPr>
        <w:t>S. cerevisiae</w:t>
      </w:r>
      <w:r>
        <w:rPr>
          <w:rFonts w:ascii="Times New Roman" w:hAnsi="Times New Roman"/>
          <w:sz w:val="22"/>
        </w:rPr>
        <w:t xml:space="preserve"> justifications are compressed into just two themes: </w:t>
      </w:r>
      <w:r>
        <w:rPr>
          <w:rFonts w:ascii="Times New Roman" w:hAnsi="Times New Roman"/>
          <w:i/>
          <w:sz w:val="22"/>
        </w:rPr>
        <w:t>Eukaryotic Cell Biology</w:t>
      </w:r>
      <w:r>
        <w:rPr>
          <w:rFonts w:ascii="Times New Roman" w:hAnsi="Times New Roman"/>
          <w:sz w:val="22"/>
        </w:rPr>
        <w:t xml:space="preserve"> (represented by Cluster 2 </w:t>
      </w:r>
      <w:r>
        <w:rPr>
          <w:rFonts w:ascii="Times New Roman" w:hAnsi="Times New Roman"/>
          <w:i/>
          <w:sz w:val="22"/>
        </w:rPr>
        <w:t>[7]</w:t>
      </w:r>
      <w:r>
        <w:rPr>
          <w:rFonts w:ascii="Times New Roman" w:hAnsi="Times New Roman"/>
          <w:sz w:val="22"/>
        </w:rPr>
        <w:t xml:space="preserve">: 59.3%) and </w:t>
      </w:r>
      <w:r>
        <w:rPr>
          <w:rFonts w:ascii="Times New Roman" w:hAnsi="Times New Roman"/>
          <w:i/>
          <w:sz w:val="22"/>
        </w:rPr>
        <w:t>Genetic Tractability &amp; Industrial Cell Factories</w:t>
      </w:r>
      <w:r>
        <w:rPr>
          <w:rFonts w:ascii="Times New Roman" w:hAnsi="Times New Roman"/>
          <w:sz w:val="22"/>
        </w:rPr>
        <w:t xml:space="preserve"> (represented by Cluster 3 </w:t>
      </w:r>
      <w:r>
        <w:rPr>
          <w:rFonts w:ascii="Times New Roman" w:hAnsi="Times New Roman"/>
          <w:i/>
          <w:sz w:val="22"/>
        </w:rPr>
        <w:t>[8]</w:t>
      </w:r>
      <w:r>
        <w:rPr>
          <w:rFonts w:ascii="Times New Roman" w:hAnsi="Times New Roman"/>
          <w:sz w:val="22"/>
        </w:rPr>
        <w:t>: 39.7%). This indicates that Yeast is almost exclusively justified as either a simplified surrogate for human disease/metabolic modeling or a genetic workhorse.</w:t>
      </w:r>
    </w:p>
    <w:p>
      <w:pPr>
        <w:spacing w:after="60" w:before="20"/>
        <w:ind w:left="720" w:hanging="283"/>
      </w:pPr>
      <w:r>
        <w:rPr>
          <w:rFonts w:ascii="Times New Roman" w:hAnsi="Times New Roman"/>
          <w:sz w:val="22"/>
        </w:rPr>
        <w:t xml:space="preserve">•  </w:t>
      </w:r>
      <w:r>
        <w:rPr>
          <w:rFonts w:ascii="Times New Roman" w:hAnsi="Times New Roman"/>
          <w:b/>
          <w:sz w:val="22"/>
        </w:rPr>
        <w:t>Bacillus Specialization:</w:t>
      </w:r>
      <w:r>
        <w:rPr>
          <w:rFonts w:ascii="Times New Roman" w:hAnsi="Times New Roman"/>
          <w:sz w:val="22"/>
        </w:rPr>
        <w:t xml:space="preserve"> Similarly, </w:t>
      </w:r>
      <w:r>
        <w:rPr>
          <w:rFonts w:ascii="Times New Roman" w:hAnsi="Times New Roman"/>
          <w:b/>
          <w:sz w:val="22"/>
        </w:rPr>
        <w:t>98.1%</w:t>
      </w:r>
      <w:r>
        <w:rPr>
          <w:rFonts w:ascii="Times New Roman" w:hAnsi="Times New Roman"/>
          <w:sz w:val="22"/>
        </w:rPr>
        <w:t xml:space="preserve"> of </w:t>
      </w:r>
      <w:r>
        <w:rPr>
          <w:rFonts w:ascii="Times New Roman" w:hAnsi="Times New Roman"/>
          <w:i/>
          <w:sz w:val="22"/>
        </w:rPr>
        <w:t>B. subtilis</w:t>
      </w:r>
      <w:r>
        <w:rPr>
          <w:rFonts w:ascii="Times New Roman" w:hAnsi="Times New Roman"/>
          <w:sz w:val="22"/>
        </w:rPr>
        <w:t xml:space="preserve"> justifications are concentrated in three themes: </w:t>
      </w:r>
      <w:r>
        <w:rPr>
          <w:rFonts w:ascii="Times New Roman" w:hAnsi="Times New Roman"/>
          <w:i/>
          <w:sz w:val="22"/>
        </w:rPr>
        <w:t>Gram-Positive Physiology</w:t>
      </w:r>
      <w:r>
        <w:rPr>
          <w:rFonts w:ascii="Times New Roman" w:hAnsi="Times New Roman"/>
          <w:sz w:val="22"/>
        </w:rPr>
        <w:t xml:space="preserve"> (represented by Cluster 0 </w:t>
      </w:r>
      <w:r>
        <w:rPr>
          <w:rFonts w:ascii="Times New Roman" w:hAnsi="Times New Roman"/>
          <w:i/>
          <w:sz w:val="22"/>
        </w:rPr>
        <w:t>[5]</w:t>
      </w:r>
      <w:r>
        <w:rPr>
          <w:rFonts w:ascii="Times New Roman" w:hAnsi="Times New Roman"/>
          <w:sz w:val="22"/>
        </w:rPr>
        <w:t xml:space="preserve">: 69.3%), </w:t>
      </w:r>
      <w:r>
        <w:rPr>
          <w:rFonts w:ascii="Times New Roman" w:hAnsi="Times New Roman"/>
          <w:i/>
          <w:sz w:val="22"/>
        </w:rPr>
        <w:t>Genetic Tractability</w:t>
      </w:r>
      <w:r>
        <w:rPr>
          <w:rFonts w:ascii="Times New Roman" w:hAnsi="Times New Roman"/>
          <w:sz w:val="22"/>
        </w:rPr>
        <w:t xml:space="preserve"> (Cluster 3 </w:t>
      </w:r>
      <w:r>
        <w:rPr>
          <w:rFonts w:ascii="Times New Roman" w:hAnsi="Times New Roman"/>
          <w:i/>
          <w:sz w:val="22"/>
        </w:rPr>
        <w:t>[8]</w:t>
      </w:r>
      <w:r>
        <w:rPr>
          <w:rFonts w:ascii="Times New Roman" w:hAnsi="Times New Roman"/>
          <w:sz w:val="22"/>
        </w:rPr>
        <w:t xml:space="preserve">: 17.5%), and </w:t>
      </w:r>
      <w:r>
        <w:rPr>
          <w:rFonts w:ascii="Times New Roman" w:hAnsi="Times New Roman"/>
          <w:i/>
          <w:sz w:val="22"/>
        </w:rPr>
        <w:t>Gram-Positive Definition</w:t>
      </w:r>
      <w:r>
        <w:rPr>
          <w:rFonts w:ascii="Times New Roman" w:hAnsi="Times New Roman"/>
          <w:sz w:val="22"/>
        </w:rPr>
        <w:t xml:space="preserve"> (represented by Cluster 1 </w:t>
      </w:r>
      <w:r>
        <w:rPr>
          <w:rFonts w:ascii="Times New Roman" w:hAnsi="Times New Roman"/>
          <w:i/>
          <w:sz w:val="22"/>
        </w:rPr>
        <w:t>[6]</w:t>
      </w:r>
      <w:r>
        <w:rPr>
          <w:rFonts w:ascii="Times New Roman" w:hAnsi="Times New Roman"/>
          <w:sz w:val="22"/>
        </w:rPr>
        <w:t>: 11.3%). Its primary utility is tightly bound to its role as the Gram-positive cell wall and sporulation paradigm.</w:t>
      </w:r>
    </w:p>
    <w:p>
      <w:pPr>
        <w:spacing w:after="120"/>
        <w:ind w:firstLine="0"/>
      </w:pPr>
      <w:r>
        <w:rPr>
          <w:rFonts w:ascii="Times New Roman" w:hAnsi="Times New Roman"/>
          <w:sz w:val="24"/>
        </w:rPr>
        <w:t xml:space="preserve">Conversely, </w:t>
      </w:r>
      <w:r>
        <w:rPr>
          <w:rFonts w:ascii="Times New Roman" w:hAnsi="Times New Roman"/>
          <w:i/>
          <w:sz w:val="24"/>
        </w:rPr>
        <w:t>E. coli</w:t>
      </w:r>
      <w:r>
        <w:rPr>
          <w:rFonts w:ascii="Times New Roman" w:hAnsi="Times New Roman"/>
          <w:sz w:val="24"/>
        </w:rPr>
        <w:t xml:space="preserve"> shows no such thematic restriction, distributing its justifications across </w:t>
      </w:r>
      <w:r>
        <w:rPr>
          <w:rFonts w:ascii="Times New Roman" w:hAnsi="Times New Roman"/>
          <w:b/>
          <w:sz w:val="24"/>
        </w:rPr>
        <w:t>nine distinct clusters</w:t>
      </w:r>
      <w:r>
        <w:rPr>
          <w:rFonts w:ascii="Times New Roman" w:hAnsi="Times New Roman"/>
          <w:sz w:val="24"/>
        </w:rPr>
        <w:t xml:space="preserve"> (Clusters 4 to 12). Its profile is balanced, covering technical utilities like heterologous expression (represented by Cluster 6 </w:t>
      </w:r>
      <w:r>
        <w:rPr>
          <w:rFonts w:ascii="Times New Roman" w:hAnsi="Times New Roman"/>
          <w:i/>
          <w:sz w:val="22"/>
        </w:rPr>
        <w:t>[11]</w:t>
      </w:r>
      <w:r>
        <w:rPr>
          <w:rFonts w:ascii="Times New Roman" w:hAnsi="Times New Roman"/>
          <w:sz w:val="24"/>
        </w:rPr>
        <w:t xml:space="preserve">: 14.0% of E. coli claims), biological investigations like antimicrobial screening (represented by Cluster 9 </w:t>
      </w:r>
      <w:r>
        <w:rPr>
          <w:rFonts w:ascii="Times New Roman" w:hAnsi="Times New Roman"/>
          <w:i/>
          <w:sz w:val="22"/>
        </w:rPr>
        <w:t>[14]</w:t>
      </w:r>
      <w:r>
        <w:rPr>
          <w:rFonts w:ascii="Times New Roman" w:hAnsi="Times New Roman"/>
          <w:sz w:val="24"/>
        </w:rPr>
        <w:t xml:space="preserve">: 6.1%), clinical pathogenesis modeling (represented by Cluster 7 </w:t>
      </w:r>
      <w:r>
        <w:rPr>
          <w:rFonts w:ascii="Times New Roman" w:hAnsi="Times New Roman"/>
          <w:i/>
          <w:sz w:val="22"/>
        </w:rPr>
        <w:t>[12]</w:t>
      </w:r>
      <w:r>
        <w:rPr>
          <w:rFonts w:ascii="Times New Roman" w:hAnsi="Times New Roman"/>
          <w:sz w:val="24"/>
        </w:rPr>
        <w:t xml:space="preserve">: 12.0%), basic molecular genetics (represented by Cluster 10 </w:t>
      </w:r>
      <w:r>
        <w:rPr>
          <w:rFonts w:ascii="Times New Roman" w:hAnsi="Times New Roman"/>
          <w:i/>
          <w:sz w:val="22"/>
        </w:rPr>
        <w:t>[15]</w:t>
      </w:r>
      <w:r>
        <w:rPr>
          <w:rFonts w:ascii="Times New Roman" w:hAnsi="Times New Roman"/>
          <w:sz w:val="24"/>
        </w:rPr>
        <w:t xml:space="preserve">: 6.3%), and general bacterial reference standards (represented by Cluster 11 </w:t>
      </w:r>
      <w:r>
        <w:rPr>
          <w:rFonts w:ascii="Times New Roman" w:hAnsi="Times New Roman"/>
          <w:i/>
          <w:sz w:val="22"/>
        </w:rPr>
        <w:t>[16]</w:t>
      </w:r>
      <w:r>
        <w:rPr>
          <w:rFonts w:ascii="Times New Roman" w:hAnsi="Times New Roman"/>
          <w:sz w:val="24"/>
        </w:rPr>
        <w:t xml:space="preserve">: 22.1%). Additional clusters capture experimental selection rationale (Cluster 4 </w:t>
      </w:r>
      <w:r>
        <w:rPr>
          <w:rFonts w:ascii="Times New Roman" w:hAnsi="Times New Roman"/>
          <w:i/>
          <w:sz w:val="22"/>
        </w:rPr>
        <w:t>[9]</w:t>
      </w:r>
      <w:r>
        <w:rPr>
          <w:rFonts w:ascii="Times New Roman" w:hAnsi="Times New Roman"/>
          <w:sz w:val="24"/>
        </w:rPr>
        <w:t xml:space="preserve">), standard utility definitions (Cluster 5 </w:t>
      </w:r>
      <w:r>
        <w:rPr>
          <w:rFonts w:ascii="Times New Roman" w:hAnsi="Times New Roman"/>
          <w:i/>
          <w:sz w:val="22"/>
        </w:rPr>
        <w:t>[10]</w:t>
      </w:r>
      <w:r>
        <w:rPr>
          <w:rFonts w:ascii="Times New Roman" w:hAnsi="Times New Roman"/>
          <w:sz w:val="24"/>
        </w:rPr>
        <w:t xml:space="preserve">), envelope modeling (Cluster 8 </w:t>
      </w:r>
      <w:r>
        <w:rPr>
          <w:rFonts w:ascii="Times New Roman" w:hAnsi="Times New Roman"/>
          <w:i/>
          <w:sz w:val="22"/>
        </w:rPr>
        <w:t>[13]</w:t>
      </w:r>
      <w:r>
        <w:rPr>
          <w:rFonts w:ascii="Times New Roman" w:hAnsi="Times New Roman"/>
          <w:sz w:val="24"/>
        </w:rPr>
        <w:t xml:space="preserve">), and annotation reference (Cluster 12 </w:t>
      </w:r>
      <w:r>
        <w:rPr>
          <w:rFonts w:ascii="Times New Roman" w:hAnsi="Times New Roman"/>
          <w:i/>
          <w:sz w:val="22"/>
        </w:rPr>
        <w:t>[17]</w:t>
      </w:r>
      <w:r>
        <w:rPr>
          <w:rFonts w:ascii="Times New Roman" w:hAnsi="Times New Roman"/>
          <w:sz w:val="24"/>
        </w:rPr>
        <w:t>).</w:t>
      </w:r>
    </w:p>
    <w:p>
      <w:pPr>
        <w:spacing w:after="120"/>
        <w:ind w:firstLine="0"/>
      </w:pPr>
      <w:r>
        <w:rPr>
          <w:rFonts w:ascii="Times New Roman" w:hAnsi="Times New Roman"/>
          <w:sz w:val="24"/>
        </w:rPr>
        <w:t xml:space="preserve">This comparative profile indicates that </w:t>
      </w:r>
      <w:r>
        <w:rPr>
          <w:rFonts w:ascii="Times New Roman" w:hAnsi="Times New Roman"/>
          <w:i/>
          <w:sz w:val="24"/>
        </w:rPr>
        <w:t>E. coli</w:t>
      </w:r>
      <w:r>
        <w:rPr>
          <w:rFonts w:ascii="Times New Roman" w:hAnsi="Times New Roman"/>
          <w:sz w:val="24"/>
        </w:rPr>
        <w:t xml:space="preserve">'s premier status is supported by a multi-dimensional utility. It is simultaneously a tool (recombinant expression), a pathogen model (infectious disease), a basic biology model (replication and translation), and a genetic reference. </w:t>
      </w:r>
      <w:r>
        <w:rPr>
          <w:rFonts w:ascii="Times New Roman" w:hAnsi="Times New Roman"/>
          <w:i/>
          <w:sz w:val="24"/>
        </w:rPr>
        <w:t>E. coli</w:t>
      </w:r>
      <w:r>
        <w:rPr>
          <w:rFonts w:ascii="Times New Roman" w:hAnsi="Times New Roman"/>
          <w:sz w:val="24"/>
        </w:rPr>
        <w:t xml:space="preserve"> remains the premier model because it has successfully straddled the boundary between being an object of biological inquiry in its own right and a universal tool for examining other organisms.</w:t>
      </w:r>
    </w:p>
    <w:p>
      <w:pPr>
        <w:pStyle w:val="Heading2"/>
      </w:pPr>
      <w:r>
        <w:t>5.3 Historical Shifts and Technological Adaptation (RQ3)</w:t>
      </w:r>
    </w:p>
    <w:p>
      <w:pPr>
        <w:spacing w:after="120"/>
        <w:ind w:firstLine="0"/>
      </w:pPr>
      <w:r>
        <w:rPr>
          <w:rFonts w:ascii="Times New Roman" w:hAnsi="Times New Roman"/>
          <w:sz w:val="24"/>
        </w:rPr>
        <w:t xml:space="preserve">The decade-stratified temporal analysis (Section 4.5) captures the evolution of molecular biology and genomics over the past 35 years. The trajectory of </w:t>
      </w:r>
      <w:r>
        <w:rPr>
          <w:rFonts w:ascii="Times New Roman" w:hAnsi="Times New Roman"/>
          <w:i/>
          <w:sz w:val="24"/>
        </w:rPr>
        <w:t>E. coli</w:t>
      </w:r>
      <w:r>
        <w:rPr>
          <w:rFonts w:ascii="Times New Roman" w:hAnsi="Times New Roman"/>
          <w:sz w:val="24"/>
        </w:rPr>
        <w:t xml:space="preserve"> justifications highlights how technical breakthroughs rewrite the scientific literature.</w:t>
      </w:r>
    </w:p>
    <w:p>
      <w:pPr>
        <w:spacing w:after="120"/>
        <w:ind w:firstLine="0"/>
      </w:pPr>
      <w:r>
        <w:rPr>
          <w:rFonts w:ascii="Times New Roman" w:hAnsi="Times New Roman"/>
          <w:sz w:val="24"/>
        </w:rPr>
        <w:t xml:space="preserve">The dramatic decline of </w:t>
      </w:r>
      <w:r>
        <w:rPr>
          <w:rFonts w:ascii="Times New Roman" w:hAnsi="Times New Roman"/>
          <w:b/>
          <w:sz w:val="24"/>
        </w:rPr>
        <w:t>DNA Replication, Recombination, and Repair</w:t>
      </w:r>
      <w:r>
        <w:rPr>
          <w:rFonts w:ascii="Times New Roman" w:hAnsi="Times New Roman"/>
          <w:sz w:val="24"/>
        </w:rPr>
        <w:t xml:space="preserve"> justifications (Cluster 10 </w:t>
      </w:r>
      <w:r>
        <w:rPr>
          <w:rFonts w:ascii="Times New Roman" w:hAnsi="Times New Roman"/>
          <w:i/>
          <w:sz w:val="22"/>
        </w:rPr>
        <w:t>[15]</w:t>
      </w:r>
      <w:r>
        <w:rPr>
          <w:rFonts w:ascii="Times New Roman" w:hAnsi="Times New Roman"/>
          <w:sz w:val="24"/>
        </w:rPr>
        <w:t xml:space="preserve">)—dropping from </w:t>
      </w:r>
      <w:r>
        <w:rPr>
          <w:rFonts w:ascii="Times New Roman" w:hAnsi="Times New Roman"/>
          <w:b/>
          <w:sz w:val="24"/>
        </w:rPr>
        <w:t>20.6% in the 1990s</w:t>
      </w:r>
      <w:r>
        <w:rPr>
          <w:rFonts w:ascii="Times New Roman" w:hAnsi="Times New Roman"/>
          <w:sz w:val="24"/>
        </w:rPr>
        <w:t xml:space="preserve"> to </w:t>
      </w:r>
      <w:r>
        <w:rPr>
          <w:rFonts w:ascii="Times New Roman" w:hAnsi="Times New Roman"/>
          <w:b/>
          <w:sz w:val="24"/>
        </w:rPr>
        <w:t>2.5% in the 2020s</w:t>
      </w:r>
      <w:r>
        <w:rPr>
          <w:rFonts w:ascii="Times New Roman" w:hAnsi="Times New Roman"/>
          <w:sz w:val="24"/>
        </w:rPr>
        <w:t xml:space="preserve">—reflects a paradigm shift. In the 1990s, </w:t>
      </w:r>
      <w:r>
        <w:rPr>
          <w:rFonts w:ascii="Times New Roman" w:hAnsi="Times New Roman"/>
          <w:i/>
          <w:sz w:val="24"/>
        </w:rPr>
        <w:t>E. coli</w:t>
      </w:r>
      <w:r>
        <w:rPr>
          <w:rFonts w:ascii="Times New Roman" w:hAnsi="Times New Roman"/>
          <w:sz w:val="24"/>
        </w:rPr>
        <w:t xml:space="preserve"> was the primary vehicle for dissecting basic central dogma mechanisms. Over the next three decades, these foundational mechanisms were largely resolved, and the focus of molecular genetics shifted to eukaryotic systems, leaving </w:t>
      </w:r>
      <w:r>
        <w:rPr>
          <w:rFonts w:ascii="Times New Roman" w:hAnsi="Times New Roman"/>
          <w:i/>
          <w:sz w:val="24"/>
        </w:rPr>
        <w:t>E. coli</w:t>
      </w:r>
      <w:r>
        <w:rPr>
          <w:rFonts w:ascii="Times New Roman" w:hAnsi="Times New Roman"/>
          <w:sz w:val="24"/>
        </w:rPr>
        <w:t>'s replication machinery as textbook consensus rather than an active area of justification.</w:t>
      </w:r>
    </w:p>
    <w:p>
      <w:pPr>
        <w:spacing w:after="120"/>
        <w:ind w:firstLine="0"/>
      </w:pPr>
      <w:r>
        <w:rPr>
          <w:rFonts w:ascii="Times New Roman" w:hAnsi="Times New Roman"/>
          <w:sz w:val="24"/>
        </w:rPr>
        <w:t xml:space="preserve">Similarly, the decline of </w:t>
      </w:r>
      <w:r>
        <w:rPr>
          <w:rFonts w:ascii="Times New Roman" w:hAnsi="Times New Roman"/>
          <w:b/>
          <w:sz w:val="24"/>
        </w:rPr>
        <w:t>Heterologous Protein Expression</w:t>
      </w:r>
      <w:r>
        <w:rPr>
          <w:rFonts w:ascii="Times New Roman" w:hAnsi="Times New Roman"/>
          <w:sz w:val="24"/>
        </w:rPr>
        <w:t xml:space="preserve"> (Cluster 6 </w:t>
      </w:r>
      <w:r>
        <w:rPr>
          <w:rFonts w:ascii="Times New Roman" w:hAnsi="Times New Roman"/>
          <w:i/>
          <w:sz w:val="22"/>
        </w:rPr>
        <w:t>[11]</w:t>
      </w:r>
      <w:r>
        <w:rPr>
          <w:rFonts w:ascii="Times New Roman" w:hAnsi="Times New Roman"/>
          <w:sz w:val="24"/>
        </w:rPr>
        <w:t xml:space="preserve">) as an explicit justification from </w:t>
      </w:r>
      <w:r>
        <w:rPr>
          <w:rFonts w:ascii="Times New Roman" w:hAnsi="Times New Roman"/>
          <w:b/>
          <w:sz w:val="24"/>
        </w:rPr>
        <w:t>44.1% in the 1990s</w:t>
      </w:r>
      <w:r>
        <w:rPr>
          <w:rFonts w:ascii="Times New Roman" w:hAnsi="Times New Roman"/>
          <w:sz w:val="24"/>
        </w:rPr>
        <w:t xml:space="preserve"> to </w:t>
      </w:r>
      <w:r>
        <w:rPr>
          <w:rFonts w:ascii="Times New Roman" w:hAnsi="Times New Roman"/>
          <w:b/>
          <w:sz w:val="24"/>
        </w:rPr>
        <w:t>12.6% in the 2020s</w:t>
      </w:r>
      <w:r>
        <w:rPr>
          <w:rFonts w:ascii="Times New Roman" w:hAnsi="Times New Roman"/>
          <w:sz w:val="24"/>
        </w:rPr>
        <w:t xml:space="preserve"> does not indicate that researchers are using </w:t>
      </w:r>
      <w:r>
        <w:rPr>
          <w:rFonts w:ascii="Times New Roman" w:hAnsi="Times New Roman"/>
          <w:i/>
          <w:sz w:val="24"/>
        </w:rPr>
        <w:t>E. coli</w:t>
      </w:r>
      <w:r>
        <w:rPr>
          <w:rFonts w:ascii="Times New Roman" w:hAnsi="Times New Roman"/>
          <w:sz w:val="24"/>
        </w:rPr>
        <w:t xml:space="preserve"> less for protein expression. Rather, it indicates </w:t>
      </w:r>
      <w:r>
        <w:rPr>
          <w:rFonts w:ascii="Times New Roman" w:hAnsi="Times New Roman"/>
          <w:b/>
          <w:sz w:val="24"/>
        </w:rPr>
        <w:t>normalization</w:t>
      </w:r>
      <w:r>
        <w:rPr>
          <w:rFonts w:ascii="Times New Roman" w:hAnsi="Times New Roman"/>
          <w:sz w:val="24"/>
        </w:rPr>
        <w:t xml:space="preserve">. In the 1990s, cloning and expressing a recombinant protein in </w:t>
      </w:r>
      <w:r>
        <w:rPr>
          <w:rFonts w:ascii="Times New Roman" w:hAnsi="Times New Roman"/>
          <w:i/>
          <w:sz w:val="24"/>
        </w:rPr>
        <w:t>E. coli</w:t>
      </w:r>
      <w:r>
        <w:rPr>
          <w:rFonts w:ascii="Times New Roman" w:hAnsi="Times New Roman"/>
          <w:sz w:val="24"/>
        </w:rPr>
        <w:t xml:space="preserve"> was a major technical feat that required explicit methodological justification. Today, recombinant production in </w:t>
      </w:r>
      <w:r>
        <w:rPr>
          <w:rFonts w:ascii="Times New Roman" w:hAnsi="Times New Roman"/>
          <w:i/>
          <w:sz w:val="24"/>
        </w:rPr>
        <w:t>E. coli</w:t>
      </w:r>
      <w:r>
        <w:rPr>
          <w:rFonts w:ascii="Times New Roman" w:hAnsi="Times New Roman"/>
          <w:sz w:val="24"/>
        </w:rPr>
        <w:t xml:space="preserve"> is an implicit, commercialized utility; it is treated as a routine preparation step (like pipetting or centrifugation) that no longer warrants explicit justification in an abstract.</w:t>
      </w:r>
    </w:p>
    <w:p>
      <w:pPr>
        <w:spacing w:after="120"/>
        <w:ind w:firstLine="0"/>
      </w:pPr>
      <w:r>
        <w:rPr>
          <w:rFonts w:ascii="Times New Roman" w:hAnsi="Times New Roman"/>
          <w:sz w:val="24"/>
        </w:rPr>
        <w:t xml:space="preserve">Crucially, this technical decline was offset by the rise of the </w:t>
      </w:r>
      <w:r>
        <w:rPr>
          <w:rFonts w:ascii="Times New Roman" w:hAnsi="Times New Roman"/>
          <w:b/>
          <w:sz w:val="24"/>
        </w:rPr>
        <w:t>Bacterial Reference Standard</w:t>
      </w:r>
      <w:r>
        <w:rPr>
          <w:rFonts w:ascii="Times New Roman" w:hAnsi="Times New Roman"/>
          <w:sz w:val="24"/>
        </w:rPr>
        <w:t xml:space="preserve"> theme (Cluster 11 </w:t>
      </w:r>
      <w:r>
        <w:rPr>
          <w:rFonts w:ascii="Times New Roman" w:hAnsi="Times New Roman"/>
          <w:i/>
          <w:sz w:val="22"/>
        </w:rPr>
        <w:t>[16]</w:t>
      </w:r>
      <w:r>
        <w:rPr>
          <w:rFonts w:ascii="Times New Roman" w:hAnsi="Times New Roman"/>
          <w:sz w:val="24"/>
        </w:rPr>
        <w:t xml:space="preserve">), which surged from </w:t>
      </w:r>
      <w:r>
        <w:rPr>
          <w:rFonts w:ascii="Times New Roman" w:hAnsi="Times New Roman"/>
          <w:b/>
          <w:sz w:val="24"/>
        </w:rPr>
        <w:t>2.9% in the 1990s</w:t>
      </w:r>
      <w:r>
        <w:rPr>
          <w:rFonts w:ascii="Times New Roman" w:hAnsi="Times New Roman"/>
          <w:sz w:val="24"/>
        </w:rPr>
        <w:t xml:space="preserve"> to </w:t>
      </w:r>
      <w:r>
        <w:rPr>
          <w:rFonts w:ascii="Times New Roman" w:hAnsi="Times New Roman"/>
          <w:b/>
          <w:sz w:val="24"/>
        </w:rPr>
        <w:t>30.3% in the 2020s</w:t>
      </w:r>
      <w:r>
        <w:rPr>
          <w:rFonts w:ascii="Times New Roman" w:hAnsi="Times New Roman"/>
          <w:sz w:val="24"/>
        </w:rPr>
        <w:t xml:space="preserve">. The inflection point occurred in the late 1990s, aligning perfectly with the publication of the complete genome sequence of </w:t>
      </w:r>
      <w:r>
        <w:rPr>
          <w:rFonts w:ascii="Times New Roman" w:hAnsi="Times New Roman"/>
          <w:i/>
          <w:sz w:val="24"/>
        </w:rPr>
        <w:t>E. coli</w:t>
      </w:r>
      <w:r>
        <w:rPr>
          <w:rFonts w:ascii="Times New Roman" w:hAnsi="Times New Roman"/>
          <w:sz w:val="24"/>
        </w:rPr>
        <w:t xml:space="preserve"> K-12 MG1655 in 1997 </w:t>
      </w:r>
      <w:r>
        <w:rPr>
          <w:rFonts w:ascii="Times New Roman" w:hAnsi="Times New Roman"/>
          <w:i/>
          <w:sz w:val="22"/>
        </w:rPr>
        <w:t>[3]</w:t>
      </w:r>
      <w:r>
        <w:rPr>
          <w:rFonts w:ascii="Times New Roman" w:hAnsi="Times New Roman"/>
          <w:sz w:val="24"/>
        </w:rPr>
        <w:t xml:space="preserve">. The availability of a fully annotated genome transformed </w:t>
      </w:r>
      <w:r>
        <w:rPr>
          <w:rFonts w:ascii="Times New Roman" w:hAnsi="Times New Roman"/>
          <w:i/>
          <w:sz w:val="24"/>
        </w:rPr>
        <w:t>E. coli</w:t>
      </w:r>
      <w:r>
        <w:rPr>
          <w:rFonts w:ascii="Times New Roman" w:hAnsi="Times New Roman"/>
          <w:sz w:val="24"/>
        </w:rPr>
        <w:t xml:space="preserve"> from an experimental system into a digital and systems-biology reference point. It became the computational anchor for comparative genomics, metabolic modeling, and synthetic biology.</w:t>
      </w:r>
    </w:p>
    <w:p>
      <w:pPr>
        <w:pStyle w:val="Heading2"/>
      </w:pPr>
      <w:r>
        <w:t>5.4 Systems Biology and Physical Pathway Anchors (RQ5)</w:t>
      </w:r>
    </w:p>
    <w:p>
      <w:pPr>
        <w:spacing w:after="120"/>
        <w:ind w:firstLine="0"/>
      </w:pPr>
      <w:r>
        <w:rPr>
          <w:rFonts w:ascii="Times New Roman" w:hAnsi="Times New Roman"/>
          <w:sz w:val="24"/>
        </w:rPr>
        <w:t>By mapping the semantic justification clusters to physical biological pathways in KEGG and EcoCyc (Section 4.4), the text-mining findings are grounded in molecular reality. This mapping demonstrates that the justifications extracted by the LLM are biochemically and structurally sound.</w:t>
      </w:r>
    </w:p>
    <w:p>
      <w:pPr>
        <w:spacing w:after="120"/>
        <w:ind w:firstLine="0"/>
      </w:pPr>
      <w:r>
        <w:rPr>
          <w:rFonts w:ascii="Times New Roman" w:hAnsi="Times New Roman"/>
          <w:i/>
          <w:sz w:val="24"/>
        </w:rPr>
        <w:t>E. coli</w:t>
      </w:r>
      <w:r>
        <w:rPr>
          <w:rFonts w:ascii="Times New Roman" w:hAnsi="Times New Roman"/>
          <w:sz w:val="24"/>
        </w:rPr>
        <w:t>'s prominence is anchored in highly conserved, high-flux molecular machinery:</w:t>
      </w:r>
    </w:p>
    <w:p>
      <w:pPr>
        <w:spacing w:after="80" w:before="40"/>
        <w:ind w:left="720" w:hanging="357"/>
      </w:pPr>
      <w:r>
        <w:rPr>
          <w:rFonts w:ascii="Times New Roman" w:hAnsi="Times New Roman"/>
          <w:sz w:val="22"/>
        </w:rPr>
        <w:t xml:space="preserve">1.  </w:t>
      </w:r>
      <w:r>
        <w:rPr>
          <w:rFonts w:ascii="Times New Roman" w:hAnsi="Times New Roman"/>
          <w:b/>
          <w:sz w:val="22"/>
        </w:rPr>
        <w:t>Recombinant Protein Export:</w:t>
      </w:r>
      <w:r>
        <w:rPr>
          <w:rFonts w:ascii="Times New Roman" w:hAnsi="Times New Roman"/>
          <w:sz w:val="22"/>
        </w:rPr>
        <w:t xml:space="preserve"> The frequent justification of </w:t>
      </w:r>
      <w:r>
        <w:rPr>
          <w:rFonts w:ascii="Times New Roman" w:hAnsi="Times New Roman"/>
          <w:i/>
          <w:sz w:val="22"/>
        </w:rPr>
        <w:t>E. coli</w:t>
      </w:r>
      <w:r>
        <w:rPr>
          <w:rFonts w:ascii="Times New Roman" w:hAnsi="Times New Roman"/>
          <w:sz w:val="22"/>
        </w:rPr>
        <w:t xml:space="preserve"> for membrane translocation and secretion (Cluster 6 </w:t>
      </w:r>
      <w:r>
        <w:rPr>
          <w:rFonts w:ascii="Times New Roman" w:hAnsi="Times New Roman"/>
          <w:i/>
          <w:sz w:val="22"/>
        </w:rPr>
        <w:t>[11]</w:t>
      </w:r>
      <w:r>
        <w:rPr>
          <w:rFonts w:ascii="Times New Roman" w:hAnsi="Times New Roman"/>
          <w:sz w:val="22"/>
        </w:rPr>
        <w:t>) maps to the Sec translocon and Twin-Arginine Translocation (Tat) systems (</w:t>
      </w:r>
      <w:r>
        <w:rPr>
          <w:rFonts w:ascii="Times New Roman" w:hAnsi="Times New Roman"/>
          <w:i/>
          <w:sz w:val="22"/>
        </w:rPr>
        <w:t>eco03060</w:t>
      </w:r>
      <w:r>
        <w:rPr>
          <w:rFonts w:ascii="Times New Roman" w:hAnsi="Times New Roman"/>
          <w:sz w:val="22"/>
        </w:rPr>
        <w:t>). These pathways are the biological engines that enable industrial heterologous protein targeting, highlighting how E. coli's basic membrane biology directly supports its commercial and technical utility.</w:t>
      </w:r>
    </w:p>
    <w:p>
      <w:pPr>
        <w:spacing w:after="80" w:before="40"/>
        <w:ind w:left="720" w:hanging="357"/>
      </w:pPr>
      <w:r>
        <w:rPr>
          <w:rFonts w:ascii="Times New Roman" w:hAnsi="Times New Roman"/>
          <w:sz w:val="22"/>
        </w:rPr>
        <w:t xml:space="preserve">2.  </w:t>
      </w:r>
      <w:r>
        <w:rPr>
          <w:rFonts w:ascii="Times New Roman" w:hAnsi="Times New Roman"/>
          <w:b/>
          <w:sz w:val="22"/>
        </w:rPr>
        <w:t>Replication Fidelity:</w:t>
      </w:r>
      <w:r>
        <w:rPr>
          <w:rFonts w:ascii="Times New Roman" w:hAnsi="Times New Roman"/>
          <w:sz w:val="22"/>
        </w:rPr>
        <w:t xml:space="preserve"> The structural justifications in Cluster 10 </w:t>
      </w:r>
      <w:r>
        <w:rPr>
          <w:rFonts w:ascii="Times New Roman" w:hAnsi="Times New Roman"/>
          <w:i/>
          <w:sz w:val="22"/>
        </w:rPr>
        <w:t>[15]</w:t>
      </w:r>
      <w:r>
        <w:rPr>
          <w:rFonts w:ascii="Times New Roman" w:hAnsi="Times New Roman"/>
          <w:sz w:val="22"/>
        </w:rPr>
        <w:t xml:space="preserve"> map to the DNA polymerase III holoenzyme (</w:t>
      </w:r>
      <w:r>
        <w:rPr>
          <w:rFonts w:ascii="Times New Roman" w:hAnsi="Times New Roman"/>
          <w:i/>
          <w:sz w:val="22"/>
        </w:rPr>
        <w:t>eco03030</w:t>
      </w:r>
      <w:r>
        <w:rPr>
          <w:rFonts w:ascii="Times New Roman" w:hAnsi="Times New Roman"/>
          <w:sz w:val="22"/>
        </w:rPr>
        <w:t>), methyl-directed mismatch repair (</w:t>
      </w:r>
      <w:r>
        <w:rPr>
          <w:rFonts w:ascii="Times New Roman" w:hAnsi="Times New Roman"/>
          <w:i/>
          <w:sz w:val="22"/>
        </w:rPr>
        <w:t>eco03430</w:t>
      </w:r>
      <w:r>
        <w:rPr>
          <w:rFonts w:ascii="Times New Roman" w:hAnsi="Times New Roman"/>
          <w:sz w:val="22"/>
        </w:rPr>
        <w:t>), and the RecBCD homologous recombination pathway (</w:t>
      </w:r>
      <w:r>
        <w:rPr>
          <w:rFonts w:ascii="Times New Roman" w:hAnsi="Times New Roman"/>
          <w:i/>
          <w:sz w:val="22"/>
        </w:rPr>
        <w:t>eco03440</w:t>
      </w:r>
      <w:r>
        <w:rPr>
          <w:rFonts w:ascii="Times New Roman" w:hAnsi="Times New Roman"/>
          <w:sz w:val="22"/>
        </w:rPr>
        <w:t>). These systems represent the absolute historical baseline of molecular biology.</w:t>
      </w:r>
    </w:p>
    <w:p>
      <w:pPr>
        <w:spacing w:after="80" w:before="40"/>
        <w:ind w:left="720" w:hanging="357"/>
      </w:pPr>
      <w:r>
        <w:rPr>
          <w:rFonts w:ascii="Times New Roman" w:hAnsi="Times New Roman"/>
          <w:sz w:val="22"/>
        </w:rPr>
        <w:t xml:space="preserve">3.  </w:t>
      </w:r>
      <w:r>
        <w:rPr>
          <w:rFonts w:ascii="Times New Roman" w:hAnsi="Times New Roman"/>
          <w:b/>
          <w:sz w:val="22"/>
        </w:rPr>
        <w:t>Pathogenesis and Antimicrobial Targets:</w:t>
      </w:r>
      <w:r>
        <w:rPr>
          <w:rFonts w:ascii="Times New Roman" w:hAnsi="Times New Roman"/>
          <w:sz w:val="22"/>
        </w:rPr>
        <w:t xml:space="preserve"> The clinical justification clusters (Clusters 7 </w:t>
      </w:r>
      <w:r>
        <w:rPr>
          <w:rFonts w:ascii="Times New Roman" w:hAnsi="Times New Roman"/>
          <w:i/>
          <w:sz w:val="22"/>
        </w:rPr>
        <w:t>[12]</w:t>
      </w:r>
      <w:r>
        <w:rPr>
          <w:rFonts w:ascii="Times New Roman" w:hAnsi="Times New Roman"/>
          <w:sz w:val="22"/>
        </w:rPr>
        <w:t xml:space="preserve"> and 9 </w:t>
      </w:r>
      <w:r>
        <w:rPr>
          <w:rFonts w:ascii="Times New Roman" w:hAnsi="Times New Roman"/>
          <w:i/>
          <w:sz w:val="22"/>
        </w:rPr>
        <w:t>[14]</w:t>
      </w:r>
      <w:r>
        <w:rPr>
          <w:rFonts w:ascii="Times New Roman" w:hAnsi="Times New Roman"/>
          <w:sz w:val="22"/>
        </w:rPr>
        <w:t>) map to key bacterial structures, including lipid A biosynthesis (</w:t>
      </w:r>
      <w:r>
        <w:rPr>
          <w:rFonts w:ascii="Times New Roman" w:hAnsi="Times New Roman"/>
          <w:i/>
          <w:sz w:val="22"/>
        </w:rPr>
        <w:t>eco00540</w:t>
      </w:r>
      <w:r>
        <w:rPr>
          <w:rFonts w:ascii="Times New Roman" w:hAnsi="Times New Roman"/>
          <w:sz w:val="22"/>
        </w:rPr>
        <w:t xml:space="preserve">) and the AcrAB-TolC multidrug efflux pump. This shows that even in clinical pathogenesis, </w:t>
      </w:r>
      <w:r>
        <w:rPr>
          <w:rFonts w:ascii="Times New Roman" w:hAnsi="Times New Roman"/>
          <w:i/>
          <w:sz w:val="22"/>
        </w:rPr>
        <w:t>E. coli</w:t>
      </w:r>
      <w:r>
        <w:rPr>
          <w:rFonts w:ascii="Times New Roman" w:hAnsi="Times New Roman"/>
          <w:sz w:val="22"/>
        </w:rPr>
        <w:t xml:space="preserve"> acts as the primary Gram-negative cell envelope model.</w:t>
      </w:r>
    </w:p>
    <w:p>
      <w:pPr>
        <w:spacing w:after="120"/>
        <w:ind w:firstLine="0"/>
      </w:pPr>
      <w:r>
        <w:rPr>
          <w:rFonts w:ascii="Times New Roman" w:hAnsi="Times New Roman"/>
          <w:sz w:val="24"/>
        </w:rPr>
        <w:t xml:space="preserve">By bridging the gap between natural language justifications and database annotations, the literature-mining pipeline is shown to successfully capture the physical systems that make </w:t>
      </w:r>
      <w:r>
        <w:rPr>
          <w:rFonts w:ascii="Times New Roman" w:hAnsi="Times New Roman"/>
          <w:i/>
          <w:sz w:val="24"/>
        </w:rPr>
        <w:t>E. coli</w:t>
      </w:r>
      <w:r>
        <w:rPr>
          <w:rFonts w:ascii="Times New Roman" w:hAnsi="Times New Roman"/>
          <w:sz w:val="24"/>
        </w:rPr>
        <w:t xml:space="preserve"> a tractable model. The premier status of </w:t>
      </w:r>
      <w:r>
        <w:rPr>
          <w:rFonts w:ascii="Times New Roman" w:hAnsi="Times New Roman"/>
          <w:i/>
          <w:sz w:val="24"/>
        </w:rPr>
        <w:t>E. coli</w:t>
      </w:r>
      <w:r>
        <w:rPr>
          <w:rFonts w:ascii="Times New Roman" w:hAnsi="Times New Roman"/>
          <w:sz w:val="24"/>
        </w:rPr>
        <w:t xml:space="preserve"> is thus written both in scientific culture and in the biochemistry of its highly conserved replication, secretion, and envelope structures.</w:t>
      </w:r>
    </w:p>
    <w:p>
      <w:pPr>
        <w:pStyle w:val="Heading2"/>
      </w:pPr>
      <w:r>
        <w:t>5.5 Limitations of the Study</w:t>
      </w:r>
    </w:p>
    <w:p>
      <w:pPr>
        <w:spacing w:after="120"/>
        <w:ind w:firstLine="0"/>
      </w:pPr>
      <w:r>
        <w:rPr>
          <w:rFonts w:ascii="Times New Roman" w:hAnsi="Times New Roman"/>
          <w:sz w:val="24"/>
        </w:rPr>
        <w:t>While this study offers a robust computational framework, several limitations must be acknowledged:</w:t>
      </w:r>
    </w:p>
    <w:p>
      <w:pPr>
        <w:spacing w:after="60" w:before="20"/>
        <w:ind w:left="720" w:hanging="283"/>
      </w:pPr>
      <w:r>
        <w:rPr>
          <w:rFonts w:ascii="Times New Roman" w:hAnsi="Times New Roman"/>
          <w:sz w:val="22"/>
        </w:rPr>
        <w:t xml:space="preserve">•  </w:t>
      </w:r>
      <w:r>
        <w:rPr>
          <w:rFonts w:ascii="Times New Roman" w:hAnsi="Times New Roman"/>
          <w:b/>
          <w:sz w:val="22"/>
        </w:rPr>
        <w:t>Abstract-Level Scope and Query Pre-Filtering:</w:t>
      </w:r>
      <w:r>
        <w:rPr>
          <w:rFonts w:ascii="Times New Roman" w:hAnsi="Times New Roman"/>
          <w:sz w:val="22"/>
        </w:rPr>
        <w:t xml:space="preserve"> The literature search query deliberately pre-filtered for papers that explicitly mention "model" or "reference" status in their abstracts. This focus isolates the discourse where authors actively frame their work around the organism's model role. Crucially, the measured 61.6% "null" rate demonstrates that even when writers explicitly introduce </w:t>
      </w:r>
      <w:r>
        <w:rPr>
          <w:rFonts w:ascii="Times New Roman" w:hAnsi="Times New Roman"/>
          <w:i/>
          <w:sz w:val="22"/>
        </w:rPr>
        <w:t>E. coli</w:t>
      </w:r>
      <w:r>
        <w:rPr>
          <w:rFonts w:ascii="Times New Roman" w:hAnsi="Times New Roman"/>
          <w:sz w:val="22"/>
        </w:rPr>
        <w:t xml:space="preserve"> as a model organism, they feel no need to justify </w:t>
      </w:r>
      <w:r>
        <w:rPr>
          <w:rFonts w:ascii="Times New Roman" w:hAnsi="Times New Roman"/>
          <w:i/>
          <w:sz w:val="22"/>
        </w:rPr>
        <w:t>why</w:t>
      </w:r>
      <w:r>
        <w:rPr>
          <w:rFonts w:ascii="Times New Roman" w:hAnsi="Times New Roman"/>
          <w:sz w:val="22"/>
        </w:rPr>
        <w:t xml:space="preserve"> in the abstract, treating its utility as a self-evident truth. However, since the corpus is restricted to abstracts, authors may still elaborate on their rationale within the full-text Introduction or Methodology sections.</w:t>
      </w:r>
    </w:p>
    <w:p>
      <w:pPr>
        <w:spacing w:after="60" w:before="20"/>
        <w:ind w:left="720" w:hanging="283"/>
      </w:pPr>
      <w:r>
        <w:rPr>
          <w:rFonts w:ascii="Times New Roman" w:hAnsi="Times New Roman"/>
          <w:sz w:val="22"/>
        </w:rPr>
        <w:t xml:space="preserve">•  </w:t>
      </w:r>
      <w:r>
        <w:rPr>
          <w:rFonts w:ascii="Times New Roman" w:hAnsi="Times New Roman"/>
          <w:b/>
          <w:sz w:val="22"/>
        </w:rPr>
        <w:t>Database Scoping:</w:t>
      </w:r>
      <w:r>
        <w:rPr>
          <w:rFonts w:ascii="Times New Roman" w:hAnsi="Times New Roman"/>
          <w:sz w:val="22"/>
        </w:rPr>
        <w:t xml:space="preserve"> The queries relied on NCBI PubMed, which has an inherent bias toward biomedical, clinical, and molecular biology publications. While this aligns with where </w:t>
      </w:r>
      <w:r>
        <w:rPr>
          <w:rFonts w:ascii="Times New Roman" w:hAnsi="Times New Roman"/>
          <w:i/>
          <w:sz w:val="22"/>
        </w:rPr>
        <w:t>E. coli</w:t>
      </w:r>
      <w:r>
        <w:rPr>
          <w:rFonts w:ascii="Times New Roman" w:hAnsi="Times New Roman"/>
          <w:sz w:val="22"/>
        </w:rPr>
        <w:t xml:space="preserve"> is most prominent, agricultural, ecological, and environmental studies of </w:t>
      </w:r>
      <w:r>
        <w:rPr>
          <w:rFonts w:ascii="Times New Roman" w:hAnsi="Times New Roman"/>
          <w:i/>
          <w:sz w:val="22"/>
        </w:rPr>
        <w:t>E. coli</w:t>
      </w:r>
      <w:r>
        <w:rPr>
          <w:rFonts w:ascii="Times New Roman" w:hAnsi="Times New Roman"/>
          <w:sz w:val="22"/>
        </w:rPr>
        <w:t xml:space="preserve"> may be underrepresented.</w:t>
      </w:r>
    </w:p>
    <w:p>
      <w:pPr>
        <w:spacing w:after="60" w:before="20"/>
        <w:ind w:left="720" w:hanging="283"/>
      </w:pPr>
      <w:r>
        <w:rPr>
          <w:rFonts w:ascii="Times New Roman" w:hAnsi="Times New Roman"/>
          <w:sz w:val="22"/>
        </w:rPr>
        <w:t xml:space="preserve">•  </w:t>
      </w:r>
      <w:r>
        <w:rPr>
          <w:rFonts w:ascii="Times New Roman" w:hAnsi="Times New Roman"/>
          <w:b/>
          <w:sz w:val="22"/>
        </w:rPr>
        <w:t>Language Bias:</w:t>
      </w:r>
      <w:r>
        <w:rPr>
          <w:rFonts w:ascii="Times New Roman" w:hAnsi="Times New Roman"/>
          <w:sz w:val="22"/>
        </w:rPr>
        <w:t xml:space="preserve"> The corpus was restricted to English-language publications, reflecting global scientific communication standards but potentially omitting regional historical justifications.</w:t>
      </w:r>
    </w:p>
    <w:p>
      <w:pPr>
        <w:pStyle w:val="Heading2"/>
      </w:pPr>
      <w:r>
        <w:t>5.6 Future Work</w:t>
      </w:r>
    </w:p>
    <w:p>
      <w:pPr>
        <w:spacing w:after="120"/>
        <w:ind w:firstLine="0"/>
      </w:pPr>
      <w:r>
        <w:rPr>
          <w:rFonts w:ascii="Times New Roman" w:hAnsi="Times New Roman"/>
          <w:sz w:val="24"/>
        </w:rPr>
        <w:t>Future iterations of this computational microbiology framework should expand in three directions:</w:t>
      </w:r>
    </w:p>
    <w:p>
      <w:pPr>
        <w:spacing w:after="80" w:before="40"/>
        <w:ind w:left="720" w:hanging="357"/>
      </w:pPr>
      <w:r>
        <w:rPr>
          <w:rFonts w:ascii="Times New Roman" w:hAnsi="Times New Roman"/>
          <w:sz w:val="22"/>
        </w:rPr>
        <w:t xml:space="preserve">1.  </w:t>
      </w:r>
      <w:r>
        <w:rPr>
          <w:rFonts w:ascii="Times New Roman" w:hAnsi="Times New Roman"/>
          <w:b/>
          <w:sz w:val="22"/>
        </w:rPr>
        <w:t>Full-Text Literature Mining:</w:t>
      </w:r>
      <w:r>
        <w:rPr>
          <w:rFonts w:ascii="Times New Roman" w:hAnsi="Times New Roman"/>
          <w:sz w:val="22"/>
        </w:rPr>
        <w:t xml:space="preserve"> Applying the LLM extraction pipeline to full-text articles (e.g., from PubMed Central) to compare abstract-level justifications with in-text methodological details, potentially refining the resolution of the axiomatic acceptance rate.</w:t>
      </w:r>
    </w:p>
    <w:p>
      <w:pPr>
        <w:spacing w:after="80" w:before="40"/>
        <w:ind w:left="720" w:hanging="357"/>
      </w:pPr>
      <w:r>
        <w:rPr>
          <w:rFonts w:ascii="Times New Roman" w:hAnsi="Times New Roman"/>
          <w:sz w:val="22"/>
        </w:rPr>
        <w:t xml:space="preserve">2.  </w:t>
      </w:r>
      <w:r>
        <w:rPr>
          <w:rFonts w:ascii="Times New Roman" w:hAnsi="Times New Roman"/>
          <w:b/>
          <w:sz w:val="22"/>
        </w:rPr>
        <w:t>Citation Network Integration:</w:t>
      </w:r>
      <w:r>
        <w:rPr>
          <w:rFonts w:ascii="Times New Roman" w:hAnsi="Times New Roman"/>
          <w:sz w:val="22"/>
        </w:rPr>
        <w:t xml:space="preserve"> Graphing the semantic clusters against citation networks to analyze whether specific justification themes (such as the 1997 genomic sequencing) drive disproportionately higher citation rates or shape subsequent sub-disciplines.</w:t>
      </w:r>
    </w:p>
    <w:p>
      <w:pPr>
        <w:spacing w:after="80" w:before="40"/>
        <w:ind w:left="720" w:hanging="357"/>
      </w:pPr>
      <w:r>
        <w:rPr>
          <w:rFonts w:ascii="Times New Roman" w:hAnsi="Times New Roman"/>
          <w:sz w:val="22"/>
        </w:rPr>
        <w:t xml:space="preserve">3.  </w:t>
      </w:r>
      <w:r>
        <w:rPr>
          <w:rFonts w:ascii="Times New Roman" w:hAnsi="Times New Roman"/>
          <w:b/>
          <w:sz w:val="22"/>
        </w:rPr>
        <w:t>Expansion to Emerging Models:</w:t>
      </w:r>
      <w:r>
        <w:rPr>
          <w:rFonts w:ascii="Times New Roman" w:hAnsi="Times New Roman"/>
          <w:sz w:val="22"/>
        </w:rPr>
        <w:t xml:space="preserve"> Applying this pipeline to newer or emerging model systems (e.g., </w:t>
      </w:r>
      <w:r>
        <w:rPr>
          <w:rFonts w:ascii="Times New Roman" w:hAnsi="Times New Roman"/>
          <w:i/>
          <w:sz w:val="22"/>
        </w:rPr>
        <w:t>Pseudomonas putida</w:t>
      </w:r>
      <w:r>
        <w:rPr>
          <w:rFonts w:ascii="Times New Roman" w:hAnsi="Times New Roman"/>
          <w:sz w:val="22"/>
        </w:rPr>
        <w:t xml:space="preserve"> for industrial biotechnology or </w:t>
      </w:r>
      <w:r>
        <w:rPr>
          <w:rFonts w:ascii="Times New Roman" w:hAnsi="Times New Roman"/>
          <w:i/>
          <w:sz w:val="22"/>
        </w:rPr>
        <w:t>Vibrio natriegens</w:t>
      </w:r>
      <w:r>
        <w:rPr>
          <w:rFonts w:ascii="Times New Roman" w:hAnsi="Times New Roman"/>
          <w:sz w:val="22"/>
        </w:rPr>
        <w:t xml:space="preserve"> for rapid growth mechanics) to track how and when new models begin to challenge </w:t>
      </w:r>
      <w:r>
        <w:rPr>
          <w:rFonts w:ascii="Times New Roman" w:hAnsi="Times New Roman"/>
          <w:i/>
          <w:sz w:val="22"/>
        </w:rPr>
        <w:t>E. coli</w:t>
      </w:r>
      <w:r>
        <w:rPr>
          <w:rFonts w:ascii="Times New Roman" w:hAnsi="Times New Roman"/>
          <w:sz w:val="22"/>
        </w:rPr>
        <w:t>'s multi-decade institutional dominance.</w:t>
      </w:r>
    </w:p>
    <w:p>
      <w:r>
        <w:br w:type="page"/>
      </w:r>
    </w:p>
    <w:p>
      <w:pPr>
        <w:pStyle w:val="Heading1"/>
      </w:pPr>
      <w:r>
        <w:t>6. Conclusion</w:t>
      </w:r>
    </w:p>
    <w:p>
      <w:pPr>
        <w:spacing w:after="120"/>
        <w:ind w:firstLine="0"/>
      </w:pPr>
      <w:r>
        <w:rPr>
          <w:rFonts w:ascii="Times New Roman" w:hAnsi="Times New Roman"/>
          <w:sz w:val="24"/>
        </w:rPr>
        <w:t xml:space="preserve">This study has established a quantitative, data-driven framework to evaluate the biological, technical, and historical drivers behind </w:t>
      </w:r>
      <w:r>
        <w:rPr>
          <w:rFonts w:ascii="Times New Roman" w:hAnsi="Times New Roman"/>
          <w:i/>
          <w:sz w:val="24"/>
        </w:rPr>
        <w:t>Escherichia coli</w:t>
      </w:r>
      <w:r>
        <w:rPr>
          <w:rFonts w:ascii="Times New Roman" w:hAnsi="Times New Roman"/>
          <w:sz w:val="24"/>
        </w:rPr>
        <w:t>'s premier status as a model microorganism. By applying large language model-augmented claim extraction and unsupervised semantic clustering to 3,273 publications, the conceptual architecture that defines how the scientific community justifies model organism selection has been mapped.</w:t>
      </w:r>
    </w:p>
    <w:p>
      <w:pPr>
        <w:spacing w:after="120"/>
        <w:ind w:firstLine="0"/>
      </w:pPr>
      <w:r>
        <w:rPr>
          <w:rFonts w:ascii="Times New Roman" w:hAnsi="Times New Roman"/>
          <w:sz w:val="24"/>
        </w:rPr>
        <w:t xml:space="preserve">The findings from this study reveal that </w:t>
      </w:r>
      <w:r>
        <w:rPr>
          <w:rFonts w:ascii="Times New Roman" w:hAnsi="Times New Roman"/>
          <w:i/>
          <w:sz w:val="24"/>
        </w:rPr>
        <w:t>E. coli</w:t>
      </w:r>
      <w:r>
        <w:rPr>
          <w:rFonts w:ascii="Times New Roman" w:hAnsi="Times New Roman"/>
          <w:sz w:val="24"/>
        </w:rPr>
        <w:t xml:space="preserve">'s dominance is sustained by a unique combination of institutionalization and multi-dimensional utility. The discovery of the </w:t>
      </w:r>
      <w:r>
        <w:rPr>
          <w:rFonts w:ascii="Times New Roman" w:hAnsi="Times New Roman"/>
          <w:b/>
          <w:sz w:val="24"/>
        </w:rPr>
        <w:t>Axiomatic Acceptance Gap</w:t>
      </w:r>
      <w:r>
        <w:rPr>
          <w:rFonts w:ascii="Times New Roman" w:hAnsi="Times New Roman"/>
          <w:sz w:val="24"/>
        </w:rPr>
        <w:t xml:space="preserve">—where nearly two-thirds of </w:t>
      </w:r>
      <w:r>
        <w:rPr>
          <w:rFonts w:ascii="Times New Roman" w:hAnsi="Times New Roman"/>
          <w:i/>
          <w:sz w:val="24"/>
        </w:rPr>
        <w:t>E. coli</w:t>
      </w:r>
      <w:r>
        <w:rPr>
          <w:rFonts w:ascii="Times New Roman" w:hAnsi="Times New Roman"/>
          <w:sz w:val="24"/>
        </w:rPr>
        <w:t xml:space="preserve"> papers contain no explicit justification compared to less than a third for eukaryotic and Gram-positive controls—proves that the bacterium operates as a self-evident axiom in molecular biology. Unlike Yeast and Bacillus, which are specialized niche models restricted to representing eukaryotic cellular pathways or Gram-positive spore-forming physiology, </w:t>
      </w:r>
      <w:r>
        <w:rPr>
          <w:rFonts w:ascii="Times New Roman" w:hAnsi="Times New Roman"/>
          <w:i/>
          <w:sz w:val="24"/>
        </w:rPr>
        <w:t>E. coli</w:t>
      </w:r>
      <w:r>
        <w:rPr>
          <w:rFonts w:ascii="Times New Roman" w:hAnsi="Times New Roman"/>
          <w:sz w:val="24"/>
        </w:rPr>
        <w:t xml:space="preserve"> exhibits a balanced, general-purpose profile distributed across nine distinct research themes.</w:t>
      </w:r>
    </w:p>
    <w:p>
      <w:pPr>
        <w:spacing w:after="120"/>
        <w:ind w:firstLine="0"/>
      </w:pPr>
      <w:r>
        <w:rPr>
          <w:rFonts w:ascii="Times New Roman" w:hAnsi="Times New Roman"/>
          <w:sz w:val="24"/>
        </w:rPr>
        <w:t xml:space="preserve">Temporally, this analysis captures a major paradigm shift. Over the past 35 years, foundational justifications related to basic DNA replication and recombination have declined, and heterologous protein expression has transitioned from an active area of justification (44.1% in the 1990s) into an implicit utility (12.6% in the 2020s). This technical normalization has been balanced by the continuous rise of </w:t>
      </w:r>
      <w:r>
        <w:rPr>
          <w:rFonts w:ascii="Times New Roman" w:hAnsi="Times New Roman"/>
          <w:i/>
          <w:sz w:val="24"/>
        </w:rPr>
        <w:t>E. coli</w:t>
      </w:r>
      <w:r>
        <w:rPr>
          <w:rFonts w:ascii="Times New Roman" w:hAnsi="Times New Roman"/>
          <w:sz w:val="24"/>
        </w:rPr>
        <w:t xml:space="preserve"> as the definitive bacterial reference standard (rising from 2.9% to 30.3%), catalyzed by the completion of its genome sequence in 1997. Mapped biological annotations confirm that these justifications are anchored in physical, highly conserved cellular machineries (e.g., DNA polymerase III, Sec/Tat translocons, and the AcrAB-TolC efflux pump).</w:t>
      </w:r>
    </w:p>
    <w:p>
      <w:pPr>
        <w:spacing w:after="120"/>
        <w:ind w:firstLine="0"/>
      </w:pPr>
      <w:r>
        <w:rPr>
          <w:rFonts w:ascii="Times New Roman" w:hAnsi="Times New Roman"/>
          <w:sz w:val="24"/>
        </w:rPr>
        <w:t>Beyond microbiology, this work demonstrates the power of computational epistemology. Combining LLM-based zero-shot extraction with semantic vector spaces provides a scalable methodology for identifying the "unspoken consensus" and historical trajectories that shape scientific fields. As biology moves toward non-model systems and synthetic hosts, the computational framework developed here offers a template to track, evaluate, and direct the evolution of future model systems.</w:t>
      </w:r>
    </w:p>
    <w:p>
      <w:r>
        <w:br w:type="page"/>
      </w:r>
    </w:p>
    <w:p>
      <w:pPr>
        <w:pStyle w:val="Heading1"/>
      </w:pPr>
      <w:r>
        <w:t>7. References</w:t>
      </w:r>
    </w:p>
    <w:p>
      <w:pPr>
        <w:spacing w:after="80" w:before="40"/>
        <w:ind w:left="720" w:hanging="357"/>
      </w:pPr>
      <w:r>
        <w:rPr>
          <w:rFonts w:ascii="Times New Roman" w:hAnsi="Times New Roman"/>
          <w:sz w:val="22"/>
        </w:rPr>
        <w:t xml:space="preserve">1.  </w:t>
      </w:r>
      <w:r>
        <w:rPr>
          <w:rFonts w:ascii="Times New Roman" w:hAnsi="Times New Roman"/>
          <w:sz w:val="22"/>
        </w:rPr>
        <w:t xml:space="preserve">Escherich, T. (1885). Die Darmbacterien des Säuglings und ihre Beziehungen zur Physiologie der Verdauung. </w:t>
      </w:r>
      <w:r>
        <w:rPr>
          <w:rFonts w:ascii="Times New Roman" w:hAnsi="Times New Roman"/>
          <w:i/>
          <w:sz w:val="22"/>
        </w:rPr>
        <w:t>Fortschritte der Medizin</w:t>
      </w:r>
      <w:r>
        <w:rPr>
          <w:rFonts w:ascii="Times New Roman" w:hAnsi="Times New Roman"/>
          <w:sz w:val="22"/>
        </w:rPr>
        <w:t>, 3, 515–522.</w:t>
      </w:r>
    </w:p>
    <w:p>
      <w:pPr>
        <w:spacing w:after="80" w:before="40"/>
        <w:ind w:left="720" w:hanging="357"/>
      </w:pPr>
      <w:r>
        <w:rPr>
          <w:rFonts w:ascii="Times New Roman" w:hAnsi="Times New Roman"/>
          <w:sz w:val="22"/>
        </w:rPr>
        <w:t xml:space="preserve">2.  </w:t>
      </w:r>
      <w:r>
        <w:rPr>
          <w:rFonts w:ascii="Times New Roman" w:hAnsi="Times New Roman"/>
          <w:sz w:val="22"/>
        </w:rPr>
        <w:t xml:space="preserve">Lederberg, J., &amp; Tatum, E. L. (1946). Gene recombination in </w:t>
      </w:r>
      <w:r>
        <w:rPr>
          <w:rFonts w:ascii="Times New Roman" w:hAnsi="Times New Roman"/>
          <w:i/>
          <w:sz w:val="22"/>
        </w:rPr>
        <w:t>Escherichia coli</w:t>
      </w:r>
      <w:r>
        <w:rPr>
          <w:rFonts w:ascii="Times New Roman" w:hAnsi="Times New Roman"/>
          <w:sz w:val="22"/>
        </w:rPr>
        <w:t xml:space="preserve">. </w:t>
      </w:r>
      <w:r>
        <w:rPr>
          <w:rFonts w:ascii="Times New Roman" w:hAnsi="Times New Roman"/>
          <w:i/>
          <w:sz w:val="22"/>
        </w:rPr>
        <w:t>Nature</w:t>
      </w:r>
      <w:r>
        <w:rPr>
          <w:rFonts w:ascii="Times New Roman" w:hAnsi="Times New Roman"/>
          <w:sz w:val="22"/>
        </w:rPr>
        <w:t>, 158(4016), 558. PMID: 21006547.</w:t>
      </w:r>
    </w:p>
    <w:p>
      <w:pPr>
        <w:spacing w:after="80" w:before="40"/>
        <w:ind w:left="720" w:hanging="357"/>
      </w:pPr>
      <w:r>
        <w:rPr>
          <w:rFonts w:ascii="Times New Roman" w:hAnsi="Times New Roman"/>
          <w:sz w:val="22"/>
        </w:rPr>
        <w:t xml:space="preserve">3.  </w:t>
      </w:r>
      <w:r>
        <w:rPr>
          <w:rFonts w:ascii="Times New Roman" w:hAnsi="Times New Roman"/>
          <w:sz w:val="22"/>
        </w:rPr>
        <w:t xml:space="preserve">Blattner, F. R., Plunkett, G., Bloch, C. A., Perna, N. T., Burland, V., Riley, M., Collado-Vides, J., Glasner, J. D., Rode, C. K., Mayhew, G. F., Gregor, J., Davis, N. W., Kirkpatrick, H. A., Goeden, M. A., Rose, D. J., Mau, B., &amp; Guyer, M. S. (1997). The complete genome sequence of </w:t>
      </w:r>
      <w:r>
        <w:rPr>
          <w:rFonts w:ascii="Times New Roman" w:hAnsi="Times New Roman"/>
          <w:i/>
          <w:sz w:val="22"/>
        </w:rPr>
        <w:t>Escherichia coli</w:t>
      </w:r>
      <w:r>
        <w:rPr>
          <w:rFonts w:ascii="Times New Roman" w:hAnsi="Times New Roman"/>
          <w:sz w:val="22"/>
        </w:rPr>
        <w:t xml:space="preserve"> K-12. </w:t>
      </w:r>
      <w:r>
        <w:rPr>
          <w:rFonts w:ascii="Times New Roman" w:hAnsi="Times New Roman"/>
          <w:i/>
          <w:sz w:val="22"/>
        </w:rPr>
        <w:t>Science</w:t>
      </w:r>
      <w:r>
        <w:rPr>
          <w:rFonts w:ascii="Times New Roman" w:hAnsi="Times New Roman"/>
          <w:sz w:val="22"/>
        </w:rPr>
        <w:t>, 277(5331), 1453-1462. PMID: 9278503.</w:t>
      </w:r>
    </w:p>
    <w:p>
      <w:pPr>
        <w:spacing w:after="80" w:before="40"/>
        <w:ind w:left="720" w:hanging="357"/>
      </w:pPr>
      <w:r>
        <w:rPr>
          <w:rFonts w:ascii="Times New Roman" w:hAnsi="Times New Roman"/>
          <w:sz w:val="22"/>
        </w:rPr>
        <w:t xml:space="preserve">4.  </w:t>
      </w:r>
      <w:r>
        <w:rPr>
          <w:rFonts w:ascii="Times New Roman" w:hAnsi="Times New Roman"/>
          <w:sz w:val="22"/>
        </w:rPr>
        <w:t xml:space="preserve">Kuhn, T. S. (1962). </w:t>
      </w:r>
      <w:r>
        <w:rPr>
          <w:rFonts w:ascii="Times New Roman" w:hAnsi="Times New Roman"/>
          <w:i/>
          <w:sz w:val="22"/>
        </w:rPr>
        <w:t>The Structure of Scientific Revolutions</w:t>
      </w:r>
      <w:r>
        <w:rPr>
          <w:rFonts w:ascii="Times New Roman" w:hAnsi="Times New Roman"/>
          <w:sz w:val="22"/>
        </w:rPr>
        <w:t>. University of Chicago Press.</w:t>
      </w:r>
    </w:p>
    <w:p>
      <w:pPr>
        <w:spacing w:after="80" w:before="40"/>
        <w:ind w:left="720" w:hanging="357"/>
      </w:pPr>
      <w:r>
        <w:rPr>
          <w:rFonts w:ascii="Times New Roman" w:hAnsi="Times New Roman"/>
          <w:sz w:val="22"/>
        </w:rPr>
        <w:t xml:space="preserve">5.  </w:t>
      </w:r>
      <w:r>
        <w:rPr>
          <w:rFonts w:ascii="Times New Roman" w:hAnsi="Times New Roman"/>
          <w:sz w:val="22"/>
        </w:rPr>
        <w:t xml:space="preserve">Vohradsky, J. (2024). Quantitative Aspect of Bacillus subtilis sigma(B) Regulatory Network on a Proteome Level-A Computational Simulation. </w:t>
      </w:r>
      <w:r>
        <w:rPr>
          <w:rFonts w:ascii="Times New Roman" w:hAnsi="Times New Roman"/>
          <w:i/>
          <w:sz w:val="22"/>
        </w:rPr>
        <w:t>Biology (Basel)</w:t>
      </w:r>
      <w:r>
        <w:rPr>
          <w:rFonts w:ascii="Times New Roman" w:hAnsi="Times New Roman"/>
          <w:sz w:val="22"/>
        </w:rPr>
        <w:t>, 13(8), 552. PMID: 39194552.</w:t>
      </w:r>
    </w:p>
    <w:p>
      <w:pPr>
        <w:spacing w:after="80" w:before="40"/>
        <w:ind w:left="720" w:hanging="357"/>
      </w:pPr>
      <w:r>
        <w:rPr>
          <w:rFonts w:ascii="Times New Roman" w:hAnsi="Times New Roman"/>
          <w:sz w:val="22"/>
        </w:rPr>
        <w:t xml:space="preserve">6.  </w:t>
      </w:r>
      <w:r>
        <w:rPr>
          <w:rFonts w:ascii="Times New Roman" w:hAnsi="Times New Roman"/>
          <w:sz w:val="22"/>
        </w:rPr>
        <w:t xml:space="preserve">Chen, P., Yan, L., Wu, Z., Li, S., Bai, Z., Yan, X., Wang, N., Liang, N., &amp; Li, H. (2016). A microbial transformation using Bacillus subtilis B7-S to produce natural vanillin from ferulic acid. </w:t>
      </w:r>
      <w:r>
        <w:rPr>
          <w:rFonts w:ascii="Times New Roman" w:hAnsi="Times New Roman"/>
          <w:i/>
          <w:sz w:val="22"/>
        </w:rPr>
        <w:t>Scientific Reports</w:t>
      </w:r>
      <w:r>
        <w:rPr>
          <w:rFonts w:ascii="Times New Roman" w:hAnsi="Times New Roman"/>
          <w:sz w:val="22"/>
        </w:rPr>
        <w:t>, 6, 26841. PMID: 26841717.</w:t>
      </w:r>
    </w:p>
    <w:p>
      <w:pPr>
        <w:spacing w:after="80" w:before="40"/>
        <w:ind w:left="720" w:hanging="357"/>
      </w:pPr>
      <w:r>
        <w:rPr>
          <w:rFonts w:ascii="Times New Roman" w:hAnsi="Times New Roman"/>
          <w:sz w:val="22"/>
        </w:rPr>
        <w:t xml:space="preserve">7.  </w:t>
      </w:r>
      <w:r>
        <w:rPr>
          <w:rFonts w:ascii="Times New Roman" w:hAnsi="Times New Roman"/>
          <w:sz w:val="22"/>
        </w:rPr>
        <w:t xml:space="preserve">Sung, H. M., Wang, T. Y., Wang, D., Huang, Y. S., Wu, J. P., Tsai, H. K., Tzeng, J., Huang, CJ., Lee, Y. C., Yang, P., Hsu, J., Chang, T., Cho, C. Y., Weng, L. C., Lee, T. C., Chang, T. H., Li, W. H., &amp; Shih, M. C. (2009). Roles of trans and cis variation in yeast intraspecies evolution of gene expression. </w:t>
      </w:r>
      <w:r>
        <w:rPr>
          <w:rFonts w:ascii="Times New Roman" w:hAnsi="Times New Roman"/>
          <w:i/>
          <w:sz w:val="22"/>
        </w:rPr>
        <w:t>Molecular Biology and Evolution</w:t>
      </w:r>
      <w:r>
        <w:rPr>
          <w:rFonts w:ascii="Times New Roman" w:hAnsi="Times New Roman"/>
          <w:sz w:val="22"/>
        </w:rPr>
        <w:t>, 26(9), 2097-2107. PMID: 19648464.</w:t>
      </w:r>
    </w:p>
    <w:p>
      <w:pPr>
        <w:spacing w:after="80" w:before="40"/>
        <w:ind w:left="720" w:hanging="357"/>
      </w:pPr>
      <w:r>
        <w:rPr>
          <w:rFonts w:ascii="Times New Roman" w:hAnsi="Times New Roman"/>
          <w:sz w:val="22"/>
        </w:rPr>
        <w:t xml:space="preserve">8.  </w:t>
      </w:r>
      <w:r>
        <w:rPr>
          <w:rFonts w:ascii="Times New Roman" w:hAnsi="Times New Roman"/>
          <w:sz w:val="22"/>
        </w:rPr>
        <w:t xml:space="preserve">Otto, M., Liu, D., &amp; Siewers, V. (2022). Saccharomyces cerevisiae as a Heterologous Host for Natural Products. </w:t>
      </w:r>
      <w:r>
        <w:rPr>
          <w:rFonts w:ascii="Times New Roman" w:hAnsi="Times New Roman"/>
          <w:i/>
          <w:sz w:val="22"/>
        </w:rPr>
        <w:t>Methods in Molecular Biology</w:t>
      </w:r>
      <w:r>
        <w:rPr>
          <w:rFonts w:ascii="Times New Roman" w:hAnsi="Times New Roman"/>
          <w:sz w:val="22"/>
        </w:rPr>
        <w:t>, 2489, 213-231. PMID: 35524059.</w:t>
      </w:r>
    </w:p>
    <w:p>
      <w:pPr>
        <w:spacing w:after="80" w:before="40"/>
        <w:ind w:left="720" w:hanging="357"/>
      </w:pPr>
      <w:r>
        <w:rPr>
          <w:rFonts w:ascii="Times New Roman" w:hAnsi="Times New Roman"/>
          <w:sz w:val="22"/>
        </w:rPr>
        <w:t xml:space="preserve">9.  </w:t>
      </w:r>
      <w:r>
        <w:rPr>
          <w:rFonts w:ascii="Times New Roman" w:hAnsi="Times New Roman"/>
          <w:sz w:val="22"/>
        </w:rPr>
        <w:t xml:space="preserve">Le Rhun, A., Tourasse, N. J., Bonabal, S., Iost, I., Boissier, F., &amp; Darfeuille, F. (2023). Profiling the intragenic toxicity determinants of toxin-antitoxin systems: revisiting hok/Sok regulation. </w:t>
      </w:r>
      <w:r>
        <w:rPr>
          <w:rFonts w:ascii="Times New Roman" w:hAnsi="Times New Roman"/>
          <w:i/>
          <w:sz w:val="22"/>
        </w:rPr>
        <w:t>Nucleic Acids Research</w:t>
      </w:r>
      <w:r>
        <w:rPr>
          <w:rFonts w:ascii="Times New Roman" w:hAnsi="Times New Roman"/>
          <w:sz w:val="22"/>
        </w:rPr>
        <w:t>, 51(5), 2134-2148. PMID: 36271796.</w:t>
      </w:r>
    </w:p>
    <w:p>
      <w:pPr>
        <w:spacing w:after="80" w:before="40"/>
        <w:ind w:left="720" w:hanging="357"/>
      </w:pPr>
      <w:r>
        <w:rPr>
          <w:rFonts w:ascii="Times New Roman" w:hAnsi="Times New Roman"/>
          <w:sz w:val="22"/>
        </w:rPr>
        <w:t xml:space="preserve">10.  </w:t>
      </w:r>
      <w:r>
        <w:rPr>
          <w:rFonts w:ascii="Times New Roman" w:hAnsi="Times New Roman"/>
          <w:sz w:val="22"/>
        </w:rPr>
        <w:t xml:space="preserve">Cote, J. P., French, S., Gehrke, S. S., MacNair, C. R., Mangat, C. S., Bharat, A., &amp; Brown, E. D. (2016). The Genome-Wide Interaction Network of Nutrient Stress Genes in Escherichia coli. </w:t>
      </w:r>
      <w:r>
        <w:rPr>
          <w:rFonts w:ascii="Times New Roman" w:hAnsi="Times New Roman"/>
          <w:i/>
          <w:sz w:val="22"/>
        </w:rPr>
        <w:t>mBio</w:t>
      </w:r>
      <w:r>
        <w:rPr>
          <w:rFonts w:ascii="Times New Roman" w:hAnsi="Times New Roman"/>
          <w:sz w:val="22"/>
        </w:rPr>
        <w:t>, 7(6), e01814-16. PMID: 27879333.</w:t>
      </w:r>
    </w:p>
    <w:p>
      <w:pPr>
        <w:spacing w:after="80" w:before="40"/>
        <w:ind w:left="720" w:hanging="357"/>
      </w:pPr>
      <w:r>
        <w:rPr>
          <w:rFonts w:ascii="Times New Roman" w:hAnsi="Times New Roman"/>
          <w:sz w:val="22"/>
        </w:rPr>
        <w:t xml:space="preserve">11.  </w:t>
      </w:r>
      <w:r>
        <w:rPr>
          <w:rFonts w:ascii="Times New Roman" w:hAnsi="Times New Roman"/>
          <w:sz w:val="22"/>
        </w:rPr>
        <w:t xml:space="preserve">Nolden, L., Peitz, M., Peitz Peitz, M., &amp; Brüstle, O. (2007). Stem cell engineering using transducible Cre recombinase. </w:t>
      </w:r>
      <w:r>
        <w:rPr>
          <w:rFonts w:ascii="Times New Roman" w:hAnsi="Times New Roman"/>
          <w:i/>
          <w:sz w:val="22"/>
        </w:rPr>
        <w:t>Methods in Molecular Medicine</w:t>
      </w:r>
      <w:r>
        <w:rPr>
          <w:rFonts w:ascii="Times New Roman" w:hAnsi="Times New Roman"/>
          <w:sz w:val="22"/>
        </w:rPr>
        <w:t>, 129, 35-48. PMID: 18085201.</w:t>
      </w:r>
    </w:p>
    <w:p>
      <w:pPr>
        <w:spacing w:after="80" w:before="40"/>
        <w:ind w:left="720" w:hanging="357"/>
      </w:pPr>
      <w:r>
        <w:rPr>
          <w:rFonts w:ascii="Times New Roman" w:hAnsi="Times New Roman"/>
          <w:sz w:val="22"/>
        </w:rPr>
        <w:t xml:space="preserve">12.  </w:t>
      </w:r>
      <w:r>
        <w:rPr>
          <w:rFonts w:ascii="Times New Roman" w:hAnsi="Times New Roman"/>
          <w:sz w:val="22"/>
        </w:rPr>
        <w:t xml:space="preserve">Sakellaris, H., Munson, G. P., &amp; Scott, J. R. (1999). A conserved residue in the tip proteins of CS1 and CFA/I pili of enterotoxigenic Escherichia coli that is essential for adherence. </w:t>
      </w:r>
      <w:r>
        <w:rPr>
          <w:rFonts w:ascii="Times New Roman" w:hAnsi="Times New Roman"/>
          <w:i/>
          <w:sz w:val="22"/>
        </w:rPr>
        <w:t>Proceedings of the National Academy of Sciences of the United States of America</w:t>
      </w:r>
      <w:r>
        <w:rPr>
          <w:rFonts w:ascii="Times New Roman" w:hAnsi="Times New Roman"/>
          <w:sz w:val="22"/>
        </w:rPr>
        <w:t>, 96(22), 12828-12833. PMID: 10536007.</w:t>
      </w:r>
    </w:p>
    <w:p>
      <w:pPr>
        <w:spacing w:after="80" w:before="40"/>
        <w:ind w:left="720" w:hanging="357"/>
      </w:pPr>
      <w:r>
        <w:rPr>
          <w:rFonts w:ascii="Times New Roman" w:hAnsi="Times New Roman"/>
          <w:sz w:val="22"/>
        </w:rPr>
        <w:t xml:space="preserve">13.  </w:t>
      </w:r>
      <w:r>
        <w:rPr>
          <w:rFonts w:ascii="Times New Roman" w:hAnsi="Times New Roman"/>
          <w:sz w:val="22"/>
        </w:rPr>
        <w:t xml:space="preserve">Yang, J., Kim, Y. K., Kang, T. S., Jee, Y. K., &amp; Kim, Y. Y. (2017). Importance of indoor dust biological ultrafine particles in the pathogenesis of chronic inflammatory lung diseases. </w:t>
      </w:r>
      <w:r>
        <w:rPr>
          <w:rFonts w:ascii="Times New Roman" w:hAnsi="Times New Roman"/>
          <w:i/>
          <w:sz w:val="22"/>
        </w:rPr>
        <w:t>Environmental Health and Toxicology</w:t>
      </w:r>
      <w:r>
        <w:rPr>
          <w:rFonts w:ascii="Times New Roman" w:hAnsi="Times New Roman"/>
          <w:sz w:val="22"/>
        </w:rPr>
        <w:t>, 32, e2017012. PMID: 29161804.</w:t>
      </w:r>
    </w:p>
    <w:p>
      <w:pPr>
        <w:spacing w:after="80" w:before="40"/>
        <w:ind w:left="720" w:hanging="357"/>
      </w:pPr>
      <w:r>
        <w:rPr>
          <w:rFonts w:ascii="Times New Roman" w:hAnsi="Times New Roman"/>
          <w:sz w:val="22"/>
        </w:rPr>
        <w:t xml:space="preserve">14.  </w:t>
      </w:r>
      <w:r>
        <w:rPr>
          <w:rFonts w:ascii="Times New Roman" w:hAnsi="Times New Roman"/>
          <w:sz w:val="22"/>
        </w:rPr>
        <w:t xml:space="preserve">Bie, L., Zhang, M., Wang, J., Fang, M., Li, L., Xu, H., &amp; Wang, M. (2023). Comparative Analysis of Transcriptomic Response of Escherichia coli K-12 MG1655 to Nine Representative Classes of Antibiotics. </w:t>
      </w:r>
      <w:r>
        <w:rPr>
          <w:rFonts w:ascii="Times New Roman" w:hAnsi="Times New Roman"/>
          <w:i/>
          <w:sz w:val="22"/>
        </w:rPr>
        <w:t>Microbiology Spectrum</w:t>
      </w:r>
      <w:r>
        <w:rPr>
          <w:rFonts w:ascii="Times New Roman" w:hAnsi="Times New Roman"/>
          <w:sz w:val="22"/>
        </w:rPr>
        <w:t>, 11(2), e03685-22. PMID: 36853057.</w:t>
      </w:r>
    </w:p>
    <w:p>
      <w:pPr>
        <w:spacing w:after="80" w:before="40"/>
        <w:ind w:left="720" w:hanging="357"/>
      </w:pPr>
      <w:r>
        <w:rPr>
          <w:rFonts w:ascii="Times New Roman" w:hAnsi="Times New Roman"/>
          <w:sz w:val="22"/>
        </w:rPr>
        <w:t xml:space="preserve">15.  </w:t>
      </w:r>
      <w:r>
        <w:rPr>
          <w:rFonts w:ascii="Times New Roman" w:hAnsi="Times New Roman"/>
          <w:sz w:val="22"/>
        </w:rPr>
        <w:t xml:space="preserve">Fijalkowska, I. J., Schaaper, R. M., &amp; Jonczyk, P. (2012). DNA replication fidelity in Escherichia coli: a multi-DNA polymerase affair. </w:t>
      </w:r>
      <w:r>
        <w:rPr>
          <w:rFonts w:ascii="Times New Roman" w:hAnsi="Times New Roman"/>
          <w:i/>
          <w:sz w:val="22"/>
        </w:rPr>
        <w:t>FEMS Microbiology Reviews</w:t>
      </w:r>
      <w:r>
        <w:rPr>
          <w:rFonts w:ascii="Times New Roman" w:hAnsi="Times New Roman"/>
          <w:sz w:val="22"/>
        </w:rPr>
        <w:t>, 36(6), 1105-1121. PMID: 22404288.</w:t>
      </w:r>
    </w:p>
    <w:p>
      <w:pPr>
        <w:spacing w:after="80" w:before="40"/>
        <w:ind w:left="720" w:hanging="357"/>
      </w:pPr>
      <w:r>
        <w:rPr>
          <w:rFonts w:ascii="Times New Roman" w:hAnsi="Times New Roman"/>
          <w:sz w:val="22"/>
        </w:rPr>
        <w:t xml:space="preserve">16.  </w:t>
      </w:r>
      <w:r>
        <w:rPr>
          <w:rFonts w:ascii="Times New Roman" w:hAnsi="Times New Roman"/>
          <w:sz w:val="22"/>
        </w:rPr>
        <w:t xml:space="preserve">A Ghomi, F., Jung, J. J., Langridge, G. C., Cain, A. K., Boinett, C. J., Abd El Ghany, M., Pickard, D. J., Kingsley, R. A., Thomson, N. R., Parkhill, J., Gardner, P. P., &amp; Barquist, L. (2024). High-throughput transposon mutagenesis in the family Enterobacteriaceae reveals core essential genes and rapid turnover of essentiality. </w:t>
      </w:r>
      <w:r>
        <w:rPr>
          <w:rFonts w:ascii="Times New Roman" w:hAnsi="Times New Roman"/>
          <w:i/>
          <w:sz w:val="22"/>
        </w:rPr>
        <w:t>mBio</w:t>
      </w:r>
      <w:r>
        <w:rPr>
          <w:rFonts w:ascii="Times New Roman" w:hAnsi="Times New Roman"/>
          <w:sz w:val="22"/>
        </w:rPr>
        <w:t>, 15(3), e03920-23. PMID: 39207104.</w:t>
      </w:r>
    </w:p>
    <w:p>
      <w:pPr>
        <w:spacing w:after="80" w:before="40"/>
        <w:ind w:left="720" w:hanging="357"/>
      </w:pPr>
      <w:r>
        <w:rPr>
          <w:rFonts w:ascii="Times New Roman" w:hAnsi="Times New Roman"/>
          <w:sz w:val="22"/>
        </w:rPr>
        <w:t xml:space="preserve">17.  </w:t>
      </w:r>
      <w:r>
        <w:rPr>
          <w:rFonts w:ascii="Times New Roman" w:hAnsi="Times New Roman"/>
          <w:sz w:val="22"/>
        </w:rPr>
        <w:t xml:space="preserve">Knoke, L. R., Muskietorz, M., Kuhn, L., &amp; Leichert, L. I. (2025). The ABC transporter Opp imports reduced glutathione, while Gsi imports glutathione disulfide in Escherichia coli. </w:t>
      </w:r>
      <w:r>
        <w:rPr>
          <w:rFonts w:ascii="Times New Roman" w:hAnsi="Times New Roman"/>
          <w:i/>
          <w:sz w:val="22"/>
        </w:rPr>
        <w:t>Redox Biology</w:t>
      </w:r>
      <w:r>
        <w:rPr>
          <w:rFonts w:ascii="Times New Roman" w:hAnsi="Times New Roman"/>
          <w:sz w:val="22"/>
        </w:rPr>
        <w:t>, 79, 103968. PMID: 39689618.</w:t>
      </w:r>
    </w:p>
    <w:p>
      <w:pPr>
        <w:spacing w:after="80" w:before="40"/>
        <w:ind w:left="720" w:hanging="357"/>
      </w:pPr>
      <w:r>
        <w:rPr>
          <w:rFonts w:ascii="Times New Roman" w:hAnsi="Times New Roman"/>
          <w:sz w:val="22"/>
        </w:rPr>
        <w:t xml:space="preserve">18.  </w:t>
      </w:r>
      <w:r>
        <w:rPr>
          <w:rFonts w:ascii="Times New Roman" w:hAnsi="Times New Roman"/>
          <w:sz w:val="22"/>
        </w:rPr>
        <w:t xml:space="preserve">Ankeny, R. A., &amp; Leonelli, S. (2011). What's so special about model organisms?. </w:t>
      </w:r>
      <w:r>
        <w:rPr>
          <w:rFonts w:ascii="Times New Roman" w:hAnsi="Times New Roman"/>
          <w:i/>
          <w:sz w:val="22"/>
        </w:rPr>
        <w:t>Studies in History and Philosophy of Science Part A</w:t>
      </w:r>
      <w:r>
        <w:rPr>
          <w:rFonts w:ascii="Times New Roman" w:hAnsi="Times New Roman"/>
          <w:sz w:val="22"/>
        </w:rPr>
        <w:t>, 42(2), 313–323.</w:t>
      </w:r>
    </w:p>
    <w:p>
      <w:pPr>
        <w:spacing w:after="80" w:before="40"/>
        <w:ind w:left="720" w:hanging="357"/>
      </w:pPr>
      <w:r>
        <w:rPr>
          <w:rFonts w:ascii="Times New Roman" w:hAnsi="Times New Roman"/>
          <w:sz w:val="22"/>
        </w:rPr>
        <w:t xml:space="preserve">19.  </w:t>
      </w:r>
      <w:r>
        <w:rPr>
          <w:rFonts w:ascii="Times New Roman" w:hAnsi="Times New Roman"/>
          <w:sz w:val="22"/>
        </w:rPr>
        <w:t xml:space="preserve">Creager, A. N. (2002). </w:t>
      </w:r>
      <w:r>
        <w:rPr>
          <w:rFonts w:ascii="Times New Roman" w:hAnsi="Times New Roman"/>
          <w:i/>
          <w:sz w:val="22"/>
        </w:rPr>
        <w:t>The Life of a Virus: Tobacco mosaic virus as an experimental model</w:t>
      </w:r>
      <w:r>
        <w:rPr>
          <w:rFonts w:ascii="Times New Roman" w:hAnsi="Times New Roman"/>
          <w:sz w:val="22"/>
        </w:rPr>
        <w:t>. University of Chicago Press.</w:t>
      </w:r>
    </w:p>
    <w:p>
      <w:pPr>
        <w:spacing w:after="80" w:before="40"/>
        <w:ind w:left="720" w:hanging="357"/>
      </w:pPr>
      <w:r>
        <w:rPr>
          <w:rFonts w:ascii="Times New Roman" w:hAnsi="Times New Roman"/>
          <w:sz w:val="22"/>
        </w:rPr>
        <w:t xml:space="preserve">20.  </w:t>
      </w:r>
      <w:r>
        <w:rPr>
          <w:rFonts w:ascii="Times New Roman" w:hAnsi="Times New Roman"/>
          <w:sz w:val="22"/>
        </w:rPr>
        <w:t xml:space="preserve">Weber, M. (2005). </w:t>
      </w:r>
      <w:r>
        <w:rPr>
          <w:rFonts w:ascii="Times New Roman" w:hAnsi="Times New Roman"/>
          <w:i/>
          <w:sz w:val="22"/>
        </w:rPr>
        <w:t>Philosophy of Experimental Biology</w:t>
      </w:r>
      <w:r>
        <w:rPr>
          <w:rFonts w:ascii="Times New Roman" w:hAnsi="Times New Roman"/>
          <w:sz w:val="22"/>
        </w:rPr>
        <w:t>. Cambridge University Press.</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2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before="2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