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jc w:val="center"/>
      </w:pPr>
      <w:r>
        <w:rPr>
          <w:rFonts w:ascii="Arial" w:cs="Arial" w:eastAsia="Arial" w:hAnsi="Arial"/>
          <w:b/>
          <w:bCs/>
          <w:sz w:val="32"/>
          <w:szCs w:val="32"/>
        </w:rPr>
        <w:t xml:space="preserve">Capítulo 2 corregido</w:t>
      </w:r>
    </w:p>
    <w:p>
      <w:pPr>
        <w:spacing w:after="60" w:before="0" w:line="360"/>
        <w:jc w:val="center"/>
      </w:pPr>
      <w:r>
        <w:rPr>
          <w:rFonts w:ascii="Arial" w:cs="Arial" w:eastAsia="Arial" w:hAnsi="Arial"/>
          <w:sz w:val="22"/>
          <w:szCs w:val="22"/>
        </w:rPr>
        <w:t xml:space="preserve">Trabajo de titulación: Prototipo con herramientas open source e inteligencia artificial para la detección de similitud y autoría en trabajos académicos de tercer nivel</w:t>
      </w:r>
    </w:p>
    <w:p>
      <w:pPr>
        <w:spacing w:after="300" w:before="0" w:line="360"/>
        <w:jc w:val="center"/>
      </w:pPr>
      <w:r>
        <w:rPr>
          <w:rFonts w:ascii="Arial" w:cs="Arial" w:eastAsia="Arial" w:hAnsi="Arial"/>
          <w:color w:val="555555"/>
          <w:sz w:val="20"/>
          <w:szCs w:val="20"/>
        </w:rPr>
        <w:t xml:space="preserve">Versión 3 de revisión del tutor · 24 de septiembre de 2026</w:t>
      </w:r>
    </w:p>
    <w:p>
      <w:pPr>
        <w:spacing w:after="100" w:before="0" w:line="360"/>
        <w:jc w:val="both"/>
      </w:pPr>
      <w:r>
        <w:rPr>
          <w:rFonts w:ascii="Arial" w:cs="Arial" w:eastAsia="Arial" w:hAnsi="Arial"/>
          <w:b/>
          <w:bCs/>
          <w:sz w:val="24"/>
          <w:szCs w:val="24"/>
        </w:rPr>
        <w:t xml:space="preserve">Cómo usar este documento</w:t>
      </w:r>
    </w:p>
    <w:p>
      <w:pPr>
        <w:pStyle w:val="ListParagraph"/>
        <w:numPr>
          <w:ilvl w:val="0"/>
          <w:numId w:val="2"/>
        </w:numPr>
        <w:spacing w:after="80" w:line="300"/>
        <w:jc w:val="both"/>
      </w:pPr>
      <w:r>
        <w:rPr>
          <w:rFonts w:ascii="Arial" w:cs="Arial" w:eastAsia="Arial" w:hAnsi="Arial"/>
          <w:sz w:val="22"/>
          <w:szCs w:val="22"/>
        </w:rPr>
        <w:t xml:space="preserve">El texto en formato normal está listo para reemplazar el Capítulo 2 de la tesis.</w:t>
      </w:r>
    </w:p>
    <w:p>
      <w:pPr>
        <w:pStyle w:val="ListParagraph"/>
        <w:numPr>
          <w:ilvl w:val="0"/>
          <w:numId w:val="2"/>
        </w:numPr>
        <w:spacing w:after="80" w:line="300"/>
        <w:jc w:val="both"/>
      </w:pPr>
      <w:r>
        <w:rPr>
          <w:rFonts w:ascii="Arial" w:cs="Arial" w:eastAsia="Arial" w:hAnsi="Arial"/>
          <w:sz w:val="22"/>
          <w:szCs w:val="22"/>
        </w:rPr>
        <w:t xml:space="preserve">Los recuadros amarillos (“Nota del tutor”) explican cada cambio y lo que deben verificar. Elimínenlos antes de entregar.</w:t>
      </w:r>
    </w:p>
    <w:p>
      <w:pPr>
        <w:pStyle w:val="ListParagraph"/>
        <w:numPr>
          <w:ilvl w:val="0"/>
          <w:numId w:val="2"/>
        </w:numPr>
        <w:spacing w:after="80" w:line="300"/>
        <w:jc w:val="both"/>
      </w:pPr>
      <w:r>
        <w:rPr>
          <w:rFonts w:ascii="Arial" w:cs="Arial" w:eastAsia="Arial" w:hAnsi="Arial"/>
          <w:sz w:val="22"/>
          <w:szCs w:val="22"/>
        </w:rPr>
        <w:t xml:space="preserve">Las citas con número entre corchetes, como [13], corresponden a su lista de referencias actual. Las citas [N1] a [N23] y [D1] son referencias nuevas, listadas al final. Al integrarlas, renumeren toda la lista con su gestor bibliográfico (Zotero o Word) en orden de aparición.</w:t>
      </w:r>
    </w:p>
    <w:p>
      <w:pPr>
        <w:pStyle w:val="ListParagraph"/>
        <w:numPr>
          <w:ilvl w:val="0"/>
          <w:numId w:val="2"/>
        </w:numPr>
        <w:spacing w:after="80" w:line="300"/>
        <w:jc w:val="both"/>
      </w:pPr>
      <w:r>
        <w:rPr>
          <w:rFonts w:ascii="Arial" w:cs="Arial" w:eastAsia="Arial" w:hAnsi="Arial"/>
          <w:sz w:val="22"/>
          <w:szCs w:val="22"/>
        </w:rPr>
        <w:t xml:space="preserve">Al final se incluyen: la lista de referencias nuevas, la tabla de correcciones a las referencias existentes, el texto de la sección 3.2 (preguntas de investigación) que pidió el jurado y el texto trasladado del Capítulo 2 al Capítulo 3.</w:t>
      </w:r>
    </w:p>
    <w:p>
      <w:pPr>
        <w:spacing w:after="100" w:before="200" w:line="360"/>
        <w:jc w:val="both"/>
      </w:pPr>
      <w:r>
        <w:rPr>
          <w:rFonts w:ascii="Arial" w:cs="Arial" w:eastAsia="Arial" w:hAnsi="Arial"/>
          <w:b/>
          <w:bCs/>
          <w:sz w:val="24"/>
          <w:szCs w:val="24"/>
        </w:rPr>
        <w:t xml:space="preserve">Resumen de los cambios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Sección</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Cambio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2.1</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corrigieron citas mal atribuidas ([10], [11], [17]) y el error “mediados del siglo XIX”.</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2.1.3 y 2.1.4</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 Transformer es de 2017, no de 2018. Toda la sección se respalda ahora con fuentes originales, en lugar de [17], que no es una fuente académica.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2.2</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“Plagio 3.0” se presenta como denominación operativa del trabajo. Se definieron precisión, exhaustividad, F1 y PlagDet. Se describe el flujo híbrido real del prototipo.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2.3</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Las afirmaciones sobre el texto generado por IA se respaldan con [N8], porque [22] no trata ese tema. Se describen los siete rasgos estilométricos que calcula el prototipo.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2.4</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Ahora explica en general qué tecnologías de código abierto existen para PLN y para qué sirven. La descripción del prototipo (arquitectura, componentes, flujo) pasa al Capítulo 3; el texto está al final de este documento.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2.5</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agregó 2.5.1 y 2.5.2 empieza con una tabla de estudios de referencia. Se eliminaron el párrafo duplicado y los párrafos ajenos al tema. La antigua Tabla 2 se trasladó aquí y se corrigió.</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2.6 y 2.7</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Marco conceptual reducido a definiciones breves. Nueva síntesis del capítulo que conecta con el Capítulo 3.</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Enfoque general</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 capítulo explica qué es cada concepto y por qué es relevante, siempre con respaldo bibliográfico. Cómo se aplicó cada elemento en el prototipo se reserva para el Capítulo 3, y los resultados para el Capítulo 4.</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Tablas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Numeración del capítulo: 1 (estudios, nueva), 2 (herramientas, antes Tabla 1) y 3 (enfoques, antes Tabla 2). Las tablas del Capítulo 3 pasan a ser 4 y 5, más la nueva Tabla 6 de componentes.</w:t>
            </w:r>
          </w:p>
        </w:tc>
      </w:tr>
    </w:tbl>
    <w:p>
      <w:r>
        <w:br w:type="page"/>
      </w:r>
    </w:p>
    <w:p>
      <w:pPr>
        <w:pStyle w:val="Heading1"/>
        <w:spacing w:after="200"/>
        <w:jc w:val="center"/>
      </w:pPr>
      <w:r>
        <w:rPr>
          <w:rFonts w:ascii="Arial" w:cs="Arial" w:eastAsia="Arial" w:hAnsi="Arial"/>
          <w:b/>
          <w:bCs/>
          <w:color w:val="000000"/>
          <w:sz w:val="28"/>
          <w:szCs w:val="28"/>
        </w:rPr>
        <w:t xml:space="preserve">Capítulo 2</w:t>
      </w:r>
    </w:p>
    <w:p>
      <w:pPr>
        <w:pStyle w:val="Heading1"/>
        <w:spacing w:after="200"/>
        <w:jc w:val="center"/>
      </w:pPr>
      <w:r>
        <w:rPr>
          <w:rFonts w:ascii="Arial" w:cs="Arial" w:eastAsia="Arial" w:hAnsi="Arial"/>
          <w:b/>
          <w:bCs/>
          <w:color w:val="000000"/>
          <w:sz w:val="28"/>
          <w:szCs w:val="28"/>
        </w:rPr>
        <w:t xml:space="preserve">2. Marco Teórico</w:t>
      </w:r>
    </w:p>
    <w:p>
      <w:pPr>
        <w:spacing w:after="160" w:before="0" w:line="360"/>
        <w:jc w:val="both"/>
      </w:pPr>
      <w:r>
        <w:rPr>
          <w:rFonts w:ascii="Arial" w:cs="Arial" w:eastAsia="Arial" w:hAnsi="Arial"/>
          <w:sz w:val="24"/>
          <w:szCs w:val="24"/>
        </w:rPr>
        <w:t xml:space="preserve">Este capítulo presenta los fundamentos teóricos que permiten comprender el problema de la detección de similitud y autoría en trabajos académicos. Se organiza en siete secciones: la sección 2.1 describe la inteligencia artificial y el procesamiento del lenguaje natural aplicados al análisis de textos; la 2.2 explica las formas de medir la similitud entre textos, desde la coincidencia de palabras hasta la cercanía de significados; la 2.3 aborda la estilometría y la verificación de autoría; la 2.4 presenta las tecnologías de código abierto disponibles para construir este tipo de sistemas; la 2.5 revisa el estado del arte e identifica las brechas que motivan este trabajo; la 2.6 define los conceptos clave utilizados a lo largo de la tesis; y la 2.7 sintetiza los aspectos que orientan el diseño del prototipo. El diseño y la construcción del prototipo se desarrollan en el Capítulo 3.</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Párrafo nuevo: le anticipa al lector qué encontrará en el capítulo y deja claro que el prototipo se desarrolla en el Capítulo 3.</w:t>
      </w:r>
    </w:p>
    <w:p>
      <w:pPr>
        <w:pStyle w:val="Heading2"/>
        <w:keepNext/>
        <w:spacing w:after="160" w:before="280"/>
      </w:pPr>
      <w:r>
        <w:rPr>
          <w:rFonts w:ascii="Arial" w:cs="Arial" w:eastAsia="Arial" w:hAnsi="Arial"/>
          <w:b/>
          <w:bCs/>
          <w:color w:val="000000"/>
          <w:sz w:val="24"/>
          <w:szCs w:val="24"/>
        </w:rPr>
        <w:t xml:space="preserve">2.1. Inteligencia artificial aplicada al análisis de textos académicos</w:t>
      </w:r>
    </w:p>
    <w:p>
      <w:pPr>
        <w:spacing w:after="160" w:before="0" w:line="360"/>
        <w:jc w:val="both"/>
      </w:pPr>
      <w:r>
        <w:rPr>
          <w:rFonts w:ascii="Arial" w:cs="Arial" w:eastAsia="Arial" w:hAnsi="Arial"/>
          <w:sz w:val="24"/>
          <w:szCs w:val="24"/>
        </w:rPr>
        <w:t xml:space="preserve">La inteligencia artificial (IA) se define como el estudio y diseño de agentes capaces de percibir su entorno y actuar para alcanzar objetivos, lo que abarca tareas asociadas tradicionalmente a la inteligencia humana, como el aprendizaje, el razonamiento y la comprensión del lenguaje [11]. En el ámbito de la escritura académica, su aplicación más visible es el procesamiento del lenguaje natural, que permite a los sistemas computacionales analizar, resumir y generar textos con un grado creciente de coherencia [13].</w:t>
      </w:r>
    </w:p>
    <w:p>
      <w:pPr>
        <w:spacing w:after="160" w:before="0" w:line="360"/>
        <w:ind w:firstLine="709"/>
        <w:jc w:val="both"/>
      </w:pPr>
      <w:r>
        <w:rPr>
          <w:rFonts w:ascii="Arial" w:cs="Arial" w:eastAsia="Arial" w:hAnsi="Arial"/>
          <w:sz w:val="24"/>
          <w:szCs w:val="24"/>
        </w:rPr>
        <w:t xml:space="preserve">En la producción académica, la IA ofrece apoyo para organizar y sintetizar información. Codina propone el marco de “interacción crítica escalonada”, según el cual el autor utiliza la IA de manera gradual y filtra críticamente sus aportes antes de integrarlos al trabajo, de modo que la responsabilidad intelectual permanece en la persona [23]. Este planteamiento distingue el uso de la IA como apoyo de su uso como sustituto de la elaboración propia.</w:t>
      </w:r>
    </w:p>
    <w:p>
      <w:pPr>
        <w:spacing w:after="160" w:before="0" w:line="360"/>
        <w:ind w:firstLine="709"/>
        <w:jc w:val="both"/>
      </w:pPr>
      <w:r>
        <w:rPr>
          <w:rFonts w:ascii="Arial" w:cs="Arial" w:eastAsia="Arial" w:hAnsi="Arial"/>
          <w:sz w:val="24"/>
          <w:szCs w:val="24"/>
        </w:rPr>
        <w:t xml:space="preserve">El empleo de estas herramientas también genera preocupaciones. Docentes e investigadores advierten sobre su efecto en la originalidad y la ética del trabajo académico, pues pueden producir textos de apariencia genuina que reproducen ideas existentes sin aportar conocimiento nuevo [3]. Dado que la IA carece de responsabilidad ética sobre lo que genera, la autoría y la rendición de cuentas siguen siendo atributos humanos [23].</w:t>
      </w:r>
    </w:p>
    <w:p>
      <w:pPr>
        <w:spacing w:after="160" w:before="0" w:line="360"/>
        <w:ind w:firstLine="709"/>
        <w:jc w:val="both"/>
      </w:pPr>
      <w:r>
        <w:rPr>
          <w:rFonts w:ascii="Arial" w:cs="Arial" w:eastAsia="Arial" w:hAnsi="Arial"/>
          <w:sz w:val="24"/>
          <w:szCs w:val="24"/>
        </w:rPr>
        <w:t xml:space="preserve">En este escenario, los métodos de detección centrados únicamente en la coincidencia literal de fragmentos resultan insuficientes frente a textos reformulados o generados por modelos de lenguaje [40]. Por ello, es pertinente integrar técnicas de procesamiento del lenguaje natural que consideren, además de la coincidencia superficial, el significado del texto y los rasgos de estilo de su autor, siempre con una interpretación humana de los resultados.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retiraron la afirmación sobre traducción instantánea (sin cita y ajena al tema) y la “huella dactilar lingüística” atribuida a [11]. La “interacción crítica escalonada” se atribuye ahora a su autor real, Codina [23]. Las citas a [10] se reemplazaron por [3], porque [10] es la misma referencia que [3]: eliminen [10] de la lista. [11] debe corregirse como S. Russell y P. Norvig, Artificial Intelligence: A Modern Approach, 4.ª ed., Pearson.</w:t>
      </w:r>
    </w:p>
    <w:p>
      <w:pPr>
        <w:pStyle w:val="Heading3"/>
        <w:keepNext/>
        <w:spacing w:after="140" w:before="220"/>
      </w:pPr>
      <w:r>
        <w:rPr>
          <w:rFonts w:ascii="Arial" w:cs="Arial" w:eastAsia="Arial" w:hAnsi="Arial"/>
          <w:b/>
          <w:bCs/>
          <w:i/>
          <w:iCs/>
          <w:color w:val="000000"/>
          <w:sz w:val="24"/>
          <w:szCs w:val="24"/>
        </w:rPr>
        <w:t xml:space="preserve">2.1.1. Evolución de la inteligencia artificial en el procesamiento de texto</w:t>
      </w:r>
    </w:p>
    <w:p>
      <w:pPr>
        <w:spacing w:after="160" w:before="0" w:line="360"/>
        <w:jc w:val="both"/>
      </w:pPr>
      <w:r>
        <w:rPr>
          <w:rFonts w:ascii="Arial" w:cs="Arial" w:eastAsia="Arial" w:hAnsi="Arial"/>
          <w:sz w:val="24"/>
          <w:szCs w:val="24"/>
        </w:rPr>
        <w:t xml:space="preserve">El procesamiento de texto mediante IA ha atravesado tres etapas. Las primeras aproximaciones, desarrolladas desde mediados del siglo XX, se basaron en modelos simbólicos: reglas, lógica formal y sistemas expertos que operaban con conocimiento explícito [11]. Estos sistemas funcionaban en dominios acotados, pero tenían dificultades para tratar textos extensos, ambiguos o con estructuras complejas.</w:t>
      </w:r>
    </w:p>
    <w:p>
      <w:pPr>
        <w:spacing w:after="160" w:before="0" w:line="360"/>
        <w:ind w:firstLine="709"/>
        <w:jc w:val="both"/>
      </w:pPr>
      <w:r>
        <w:rPr>
          <w:rFonts w:ascii="Arial" w:cs="Arial" w:eastAsia="Arial" w:hAnsi="Arial"/>
          <w:sz w:val="24"/>
          <w:szCs w:val="24"/>
        </w:rPr>
        <w:t xml:space="preserve">La segunda etapa incorporó el aprendizaje automático. En lugar de depender de reglas fijas, los sistemas comenzaron a aprender patrones a partir de los datos, lo que permitió abordar tareas del procesamiento del lenguaje natural mediante el reconocimiento de regularidades en grandes volúmenes de texto [13].</w:t>
      </w:r>
    </w:p>
    <w:p>
      <w:pPr>
        <w:spacing w:after="160" w:before="0" w:line="360"/>
        <w:ind w:firstLine="709"/>
        <w:jc w:val="both"/>
      </w:pPr>
      <w:r>
        <w:rPr>
          <w:rFonts w:ascii="Arial" w:cs="Arial" w:eastAsia="Arial" w:hAnsi="Arial"/>
          <w:sz w:val="24"/>
          <w:szCs w:val="24"/>
        </w:rPr>
        <w:t xml:space="preserve">La tercera etapa corresponde al aprendizaje profundo. Las redes neuronales profundas y el aprendizaje por transferencia permitieron construir modelos capaces de capturar relaciones semánticas entre palabras, oraciones y documentos [13]. En este paradigma se inscribe la arquitectura Transformer, propuesta en 2017, que sustituyó la recurrencia por mecanismos de atención [N3] y sirvió de base para modelos como BERT [N4] y GPT [N5].</w:t>
      </w:r>
    </w:p>
    <w:p>
      <w:pPr>
        <w:spacing w:after="160" w:before="0" w:line="360"/>
        <w:ind w:firstLine="709"/>
        <w:jc w:val="both"/>
      </w:pPr>
      <w:r>
        <w:rPr>
          <w:rFonts w:ascii="Arial" w:cs="Arial" w:eastAsia="Arial" w:hAnsi="Arial"/>
          <w:sz w:val="24"/>
          <w:szCs w:val="24"/>
        </w:rPr>
        <w:t xml:space="preserve">En la educación superior, estos avances han hecho posible el análisis automatizado de grandes volúmenes de textos académicos, con aplicaciones como la comparación de similitud y el análisis de estilos de escritura [13], [40]. Al mismo tiempo, plantean desafíos relacionados con la privacidad de la información, la equidad en la evaluación y la necesidad de supervisión humana [51].</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corrigió “mediados del siglo XIX” por “siglo XX”. Se retiró [12], que enlaza a un número completo de revista y no a un artículo. Verifiquen que [13] respalde las afirmaciones de los párrafos 2 y 3.</w:t>
      </w:r>
    </w:p>
    <w:p>
      <w:pPr>
        <w:pStyle w:val="Heading3"/>
        <w:keepNext/>
        <w:spacing w:after="140" w:before="220"/>
      </w:pPr>
      <w:r>
        <w:rPr>
          <w:rFonts w:ascii="Arial" w:cs="Arial" w:eastAsia="Arial" w:hAnsi="Arial"/>
          <w:b/>
          <w:bCs/>
          <w:i/>
          <w:iCs/>
          <w:color w:val="000000"/>
          <w:sz w:val="24"/>
          <w:szCs w:val="24"/>
        </w:rPr>
        <w:t xml:space="preserve">2.1.2. Procesamiento del lenguaje natural (PLN)</w:t>
      </w:r>
    </w:p>
    <w:p>
      <w:pPr>
        <w:spacing w:after="160" w:before="0" w:line="360"/>
        <w:jc w:val="both"/>
      </w:pPr>
      <w:r>
        <w:rPr>
          <w:rFonts w:ascii="Arial" w:cs="Arial" w:eastAsia="Arial" w:hAnsi="Arial"/>
          <w:sz w:val="24"/>
          <w:szCs w:val="24"/>
        </w:rPr>
        <w:t xml:space="preserve">El procesamiento del lenguaje natural (PLN) es el área de la IA que estudia y desarrolla técnicas para que los sistemas computacionales comprendan, interpreten y generen lenguaje humano, combinando principios lingüísticos con modelos matemáticos y algoritmos de aprendizaje automático [13], [N18].</w:t>
      </w:r>
    </w:p>
    <w:p>
      <w:pPr>
        <w:spacing w:after="160" w:before="0" w:line="360"/>
        <w:ind w:firstLine="709"/>
        <w:jc w:val="both"/>
      </w:pPr>
      <w:r>
        <w:rPr>
          <w:rFonts w:ascii="Arial" w:cs="Arial" w:eastAsia="Arial" w:hAnsi="Arial"/>
          <w:sz w:val="24"/>
          <w:szCs w:val="24"/>
        </w:rPr>
        <w:t xml:space="preserve">Históricamente, el PLN se ha abordado desde dos enfoques. El primero, basado en reglas, emplea gramáticas formales, patrones estructurales y diccionarios para representar el lenguaje. El segundo, de carácter probabilístico, estima la ocurrencia de unidades lingüísticas a partir de estadísticas obtenidas de grandes corpus, sin recurrir a reglas explícitas [13]. Este segundo enfoque, impulsado por el aprendizaje automático, es hoy el dominante: los modelos de lenguaje asignan probabilidades a secuencias de palabras y capturan así las regularidades del uso real de la lengua [13].</w:t>
      </w:r>
    </w:p>
    <w:p>
      <w:pPr>
        <w:spacing w:after="160" w:before="0" w:line="360"/>
        <w:ind w:firstLine="709"/>
        <w:jc w:val="both"/>
      </w:pPr>
      <w:r>
        <w:rPr>
          <w:rFonts w:ascii="Arial" w:cs="Arial" w:eastAsia="Arial" w:hAnsi="Arial"/>
          <w:sz w:val="24"/>
          <w:szCs w:val="24"/>
        </w:rPr>
        <w:t xml:space="preserve">Para analizar un documento, el texto puede procesarse en distintos niveles lingüísticos: morfológico, sintáctico, semántico y pragmático [13]. La eficacia de ese procesamiento depende del idioma. Buena parte de los recursos de PLN se desarrolló primero para el inglés, y su desempeño disminuye en otras lenguas cuando no se dispone de modelos entrenados con datos de ellas [N7]. Por esta razón, en el análisis de textos en español conviene emplear modelos multilingües o entrenados con datos en esa lengua [N7].</w:t>
      </w:r>
    </w:p>
    <w:p>
      <w:pPr>
        <w:spacing w:after="160" w:before="0" w:line="360"/>
        <w:ind w:firstLine="709"/>
        <w:jc w:val="both"/>
      </w:pPr>
      <w:r>
        <w:rPr>
          <w:rFonts w:ascii="Arial" w:cs="Arial" w:eastAsia="Arial" w:hAnsi="Arial"/>
          <w:sz w:val="24"/>
          <w:szCs w:val="24"/>
        </w:rPr>
        <w:t xml:space="preserve">En la detección de similitud y la verificación de autoría, el PLN aporta las operaciones básicas del análisis: segmentación del texto, normalización, representación vectorial y comparación entre representaciones.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retiraron RoBERTa-bne (el prototipo usa paraphrase-multilingual-MiniLM-L12-v2) y la referencia [15], que no es una fuente académica. Verifiquen que [13] mencione los cuatro niveles lingüísticos; en el original se citaba [10].</w:t>
      </w:r>
    </w:p>
    <w:p>
      <w:pPr>
        <w:pStyle w:val="Heading3"/>
        <w:keepNext/>
        <w:spacing w:after="140" w:before="220"/>
      </w:pPr>
      <w:r>
        <w:rPr>
          <w:rFonts w:ascii="Arial" w:cs="Arial" w:eastAsia="Arial" w:hAnsi="Arial"/>
          <w:b/>
          <w:bCs/>
          <w:i/>
          <w:iCs/>
          <w:color w:val="000000"/>
          <w:sz w:val="24"/>
          <w:szCs w:val="24"/>
        </w:rPr>
        <w:t xml:space="preserve">2.1.3. Modelos de lenguaje de gran escala (LLM)</w:t>
      </w:r>
    </w:p>
    <w:p>
      <w:pPr>
        <w:spacing w:after="160" w:before="0" w:line="360"/>
        <w:jc w:val="both"/>
      </w:pPr>
      <w:r>
        <w:rPr>
          <w:rFonts w:ascii="Arial" w:cs="Arial" w:eastAsia="Arial" w:hAnsi="Arial"/>
          <w:sz w:val="24"/>
          <w:szCs w:val="24"/>
        </w:rPr>
        <w:t xml:space="preserve">Los modelos de lenguaje de gran escala (LLM, por sus siglas en inglés) son el resultado de una evolución que va desde los modelos estadísticos basados en n-gramas hasta las redes neuronales profundas. El punto de inflexión fue la arquitectura Transformer, propuesta en 2017 [N3], que permitió entrenar modelos sobre volúmenes de texto sin precedentes. A partir de 2018 surgieron modelos como BERT [N4] y GPT [N5], que consolidaron el esquema de preentrenamiento a gran escala y posterior ajuste a tareas específicas.</w:t>
      </w:r>
    </w:p>
    <w:p>
      <w:pPr>
        <w:spacing w:after="160" w:before="0" w:line="360"/>
        <w:ind w:firstLine="709"/>
        <w:jc w:val="both"/>
      </w:pPr>
      <w:r>
        <w:rPr>
          <w:rFonts w:ascii="Arial" w:cs="Arial" w:eastAsia="Arial" w:hAnsi="Arial"/>
          <w:sz w:val="24"/>
          <w:szCs w:val="24"/>
        </w:rPr>
        <w:t xml:space="preserve">Los LLM son redes neuronales profundas con millones o miles de millones de parámetros, ajustados a partir de extensos corpus textuales. Estas características les permiten generar contenido coherente y contextualizado, así como resumir y reformular textos en distintos dominios del conocimiento [16].</w:t>
      </w:r>
    </w:p>
    <w:p>
      <w:pPr>
        <w:spacing w:after="160" w:before="0" w:line="360"/>
        <w:ind w:firstLine="709"/>
        <w:jc w:val="both"/>
      </w:pPr>
      <w:r>
        <w:rPr>
          <w:rFonts w:ascii="Arial" w:cs="Arial" w:eastAsia="Arial" w:hAnsi="Arial"/>
          <w:sz w:val="24"/>
          <w:szCs w:val="24"/>
        </w:rPr>
        <w:t xml:space="preserve">Desde el punto de vista operativo, estos modelos no comprenden el lenguaje en un sentido cognitivo: estiman la probabilidad de aparición del siguiente token (palabra o fragmento de palabra) a partir del contexto previo y generan el texto de forma secuencial [N5]. Este mecanismo explica que produzcan textos gramaticalmente correctos y estilísticamente consistentes aun sin entender su contenido.</w:t>
      </w:r>
    </w:p>
    <w:p>
      <w:pPr>
        <w:spacing w:after="160" w:before="0" w:line="360"/>
        <w:ind w:firstLine="709"/>
        <w:jc w:val="both"/>
      </w:pPr>
      <w:r>
        <w:rPr>
          <w:rFonts w:ascii="Arial" w:cs="Arial" w:eastAsia="Arial" w:hAnsi="Arial"/>
          <w:sz w:val="24"/>
          <w:szCs w:val="24"/>
        </w:rPr>
        <w:t xml:space="preserve">En la educación superior, los LLM se utilizan para elaborar borradores, sintetizar literatura y generar resúmenes técnicos [16]. Sin embargo, pueden producir información incorrecta o referencias inexistentes, fenómeno conocido como alucinación [N6], lo que compromete la validez del trabajo académico cuando su contenido no se verifica.</w:t>
      </w:r>
    </w:p>
    <w:p>
      <w:pPr>
        <w:spacing w:after="160" w:before="0" w:line="360"/>
        <w:ind w:firstLine="709"/>
        <w:jc w:val="both"/>
      </w:pPr>
      <w:r>
        <w:rPr>
          <w:rFonts w:ascii="Arial" w:cs="Arial" w:eastAsia="Arial" w:hAnsi="Arial"/>
          <w:sz w:val="24"/>
          <w:szCs w:val="24"/>
        </w:rPr>
        <w:t xml:space="preserve">Para los estudios de integridad académica interesa que el texto humano y el generado por LLM presentan diferencias medibles. Muñoz-Ortiz, Gómez-Rodríguez y Vilares [N8] compararon noticias en inglés escritas por personas con textos producidos por seis LLM y encontraron que los textos humanos muestran distribuciones de longitud de oración más dispersas y mayor variedad de vocabulario. Estas diferencias respaldan el uso de rasgos estilométricos como señales complementarias, con la salvedad de que sus resultados corresponden al inglés y a un género textual distinto del académico.</w:t>
      </w:r>
    </w:p>
    <w:p>
      <w:pPr>
        <w:spacing w:after="160" w:before="0" w:line="360"/>
        <w:ind w:firstLine="709"/>
        <w:jc w:val="both"/>
      </w:pPr>
      <w:r>
        <w:rPr>
          <w:rFonts w:ascii="Arial" w:cs="Arial" w:eastAsia="Arial" w:hAnsi="Arial"/>
          <w:sz w:val="24"/>
          <w:szCs w:val="24"/>
        </w:rPr>
        <w:t xml:space="preserve">La incorporación de los LLM en la educación superior obliga a las instituciones a revisar sus mecanismos de evaluación y a contar con herramientas que permitan identificar similitudes textuales y analizar la autoría de manera transparente [51].</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corrigió el año del Transformer (2017, no 2018). La referencia [17] se retiró de toda la sección porque es una frase, no una fuente. La afirmación sobre la mayor uniformidad del texto generado por IA se respalda ahora con Muñoz-Ortiz et al. [N8].</w:t>
      </w:r>
    </w:p>
    <w:p>
      <w:pPr>
        <w:pStyle w:val="Heading3"/>
        <w:keepNext/>
        <w:spacing w:after="140" w:before="220"/>
      </w:pPr>
      <w:r>
        <w:rPr>
          <w:rFonts w:ascii="Arial" w:cs="Arial" w:eastAsia="Arial" w:hAnsi="Arial"/>
          <w:b/>
          <w:bCs/>
          <w:i/>
          <w:iCs/>
          <w:color w:val="000000"/>
          <w:sz w:val="24"/>
          <w:szCs w:val="24"/>
        </w:rPr>
        <w:t xml:space="preserve">2.1.4. Arquitectura Transformer</w:t>
      </w:r>
    </w:p>
    <w:p>
      <w:pPr>
        <w:spacing w:after="160" w:before="0" w:line="360"/>
        <w:jc w:val="both"/>
      </w:pPr>
      <w:r>
        <w:rPr>
          <w:rFonts w:ascii="Arial" w:cs="Arial" w:eastAsia="Arial" w:hAnsi="Arial"/>
          <w:sz w:val="24"/>
          <w:szCs w:val="24"/>
        </w:rPr>
        <w:t xml:space="preserve">Antes del Transformer, el procesamiento de secuencias se basaba en redes neuronales recurrentes (RNN). Las redes Long Short-Term Memory (LSTM) se propusieron para mitigar el problema del desvanecimiento del gradiente y retener información en secuencias largas [N9]; no obstante, las arquitecturas recurrentes procesan el texto de forma secuencial, palabra por palabra, lo que impide paralelizar el cálculo y encarece el entrenamiento sobre documentos extensos [N3].</w:t>
      </w:r>
    </w:p>
    <w:p>
      <w:pPr>
        <w:spacing w:after="160" w:before="0" w:line="360"/>
        <w:ind w:firstLine="709"/>
        <w:jc w:val="both"/>
      </w:pPr>
      <w:r>
        <w:rPr>
          <w:rFonts w:ascii="Arial" w:cs="Arial" w:eastAsia="Arial" w:hAnsi="Arial"/>
          <w:sz w:val="24"/>
          <w:szCs w:val="24"/>
        </w:rPr>
        <w:t xml:space="preserve">El Transformer elimina esa dependencia secuencial y procesa simultáneamente todas las posiciones de una secuencia. Para conservar la información sobre el orden de las palabras, incorpora una codificación posicional que se suma a la representación de cada token [N3].</w:t>
      </w:r>
    </w:p>
    <w:p>
      <w:pPr>
        <w:spacing w:after="160" w:before="0" w:line="360"/>
        <w:ind w:firstLine="709"/>
        <w:jc w:val="both"/>
      </w:pPr>
      <w:r>
        <w:rPr>
          <w:rFonts w:ascii="Arial" w:cs="Arial" w:eastAsia="Arial" w:hAnsi="Arial"/>
          <w:sz w:val="24"/>
          <w:szCs w:val="24"/>
        </w:rPr>
        <w:t xml:space="preserve">Su núcleo es el mecanismo de atención multicabezal (multi-head attention), que calcula en paralelo varias ponderaciones de relevancia entre las palabras del texto. Cada “cabeza” puede especializarse en un tipo de relación, lo que facilita capturar dependencias tanto locales como de largo alcance [N3].</w:t>
      </w:r>
    </w:p>
    <w:p>
      <w:pPr>
        <w:spacing w:after="160" w:before="0" w:line="360"/>
        <w:ind w:firstLine="709"/>
        <w:jc w:val="both"/>
      </w:pPr>
      <w:r>
        <w:rPr>
          <w:rFonts w:ascii="Arial" w:cs="Arial" w:eastAsia="Arial" w:hAnsi="Arial"/>
          <w:sz w:val="24"/>
          <w:szCs w:val="24"/>
        </w:rPr>
        <w:t xml:space="preserve">La arquitectura original se compone de un codificador (encoder) y un decodificador (decoder). El codificador genera representaciones contextualizadas del texto de entrada y resulta adecuado para tareas de comprensión y comparación semántica, como en BERT [N4]; el decodificador genera texto de forma autorregresiva y constituye la base de modelos generativos como GPT [N5].</w:t>
      </w:r>
    </w:p>
    <w:p>
      <w:pPr>
        <w:spacing w:after="160" w:before="0" w:line="360"/>
        <w:ind w:firstLine="709"/>
        <w:jc w:val="both"/>
      </w:pPr>
      <w:r>
        <w:rPr>
          <w:rFonts w:ascii="Arial" w:cs="Arial" w:eastAsia="Arial" w:hAnsi="Arial"/>
          <w:sz w:val="24"/>
          <w:szCs w:val="24"/>
        </w:rPr>
        <w:t xml:space="preserve">Las representaciones que producen los codificadores, denominadas embeddings contextuales, asignan a cada palabra un vector que depende de su contexto [29]. Sentence-BERT adaptó esta arquitectura mediante redes siamesas para obtener vectores de oraciones completas que pueden compararse directamente con la similitud del coseno, con un costo computacional mucho menor que el de comparar pares de oraciones con BERT [N10]. Este tipo de modelo se ha convertido en una de las opciones más utilizadas para medir la similitud semántica entre oraciones.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toda la sección se citaba con [17]. Ahora se respalda con el artículo original del Transformer [N3], LSTM [N9], BERT [N4], GPT [N5] y Sentence-BERT [N10]. Se eliminó “Transformers” en plural del título. [14] y [35] (Vaswani) se unifican en [N3].</w:t>
      </w:r>
    </w:p>
    <w:p>
      <w:pPr>
        <w:pStyle w:val="Heading2"/>
        <w:keepNext/>
        <w:spacing w:after="160" w:before="280"/>
      </w:pPr>
      <w:r>
        <w:rPr>
          <w:rFonts w:ascii="Arial" w:cs="Arial" w:eastAsia="Arial" w:hAnsi="Arial"/>
          <w:b/>
          <w:bCs/>
          <w:color w:val="000000"/>
          <w:sz w:val="24"/>
          <w:szCs w:val="24"/>
        </w:rPr>
        <w:t xml:space="preserve">2.2. Similitud léxica y semántica</w:t>
      </w:r>
    </w:p>
    <w:p>
      <w:pPr>
        <w:spacing w:after="160" w:before="0" w:line="360"/>
        <w:jc w:val="both"/>
      </w:pPr>
      <w:r>
        <w:rPr>
          <w:rFonts w:ascii="Arial" w:cs="Arial" w:eastAsia="Arial" w:hAnsi="Arial"/>
          <w:sz w:val="24"/>
          <w:szCs w:val="24"/>
        </w:rPr>
        <w:t xml:space="preserve">El análisis de similitud textual se ha transformado con los avances del procesamiento del lenguaje natural y del aprendizaje profundo. En el ámbito académico, la detección de similitudes es un requisito técnico para evaluar la originalidad de un trabajo; sin embargo, la aparición de técnicas de generación automática de texto ha dado lugar a formas de reutilización del contenido que los métodos basados en coincidencia literal no logran identificar [40].</w:t>
      </w:r>
    </w:p>
    <w:p>
      <w:pPr>
        <w:pStyle w:val="Heading3"/>
        <w:keepNext/>
        <w:spacing w:after="140" w:before="220"/>
      </w:pPr>
      <w:r>
        <w:rPr>
          <w:rFonts w:ascii="Arial" w:cs="Arial" w:eastAsia="Arial" w:hAnsi="Arial"/>
          <w:b/>
          <w:bCs/>
          <w:i/>
          <w:iCs/>
          <w:color w:val="000000"/>
          <w:sz w:val="24"/>
          <w:szCs w:val="24"/>
        </w:rPr>
        <w:t xml:space="preserve">2.2.1. Evolución de las formas de plagio y noción de “Plagio 3.0”</w:t>
      </w:r>
    </w:p>
    <w:p>
      <w:pPr>
        <w:spacing w:after="160" w:before="0" w:line="360"/>
        <w:jc w:val="both"/>
      </w:pPr>
      <w:r>
        <w:rPr>
          <w:rFonts w:ascii="Arial" w:cs="Arial" w:eastAsia="Arial" w:hAnsi="Arial"/>
          <w:sz w:val="24"/>
          <w:szCs w:val="24"/>
        </w:rPr>
        <w:t xml:space="preserve">Para efectos de este trabajo, se distinguen tres niveles de complejidad en la reutilización de textos. El primero es la copia literal, detectable mediante la comparación de cadenas y n-gramas [19]. El segundo es el parafraseo manual, en el que el autor modifica el vocabulario o el orden de las palabras; su detección requiere técnicas de ponderación léxica y, cuando la reformulación es profunda, técnicas semánticas [40]. El tercero es el contenido generado o reformulado mediante modelos de lenguaje, que conserva la idea original y elimina las huellas léxicas de la fuente.</w:t>
      </w:r>
    </w:p>
    <w:p>
      <w:pPr>
        <w:spacing w:after="160" w:before="0" w:line="360"/>
        <w:ind w:firstLine="709"/>
        <w:jc w:val="both"/>
      </w:pPr>
      <w:r>
        <w:rPr>
          <w:rFonts w:ascii="Arial" w:cs="Arial" w:eastAsia="Arial" w:hAnsi="Arial"/>
          <w:sz w:val="24"/>
          <w:szCs w:val="24"/>
        </w:rPr>
        <w:t xml:space="preserve">En esta investigación se denomina “Plagio 3.0” a este tercer nivel. Su característica central es que el problema deja de ser únicamente la coincidencia con una fuente y pasa a ser la autoría real del contenido presentado. Por ello, su abordaje exige combinar el análisis de similitud con el análisis del estilo de escritura.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No encontramos una fuente académica que acuñe o defina “Plagio 3.0”, así que el texto la presenta como una denominación operativa de este trabajo. Si ustedes tienen la fuente original, cítenla aquí y en el marco conceptual. Se retiraron [17] (“directivas académicas”) y la clasificación en tres generaciones atribuida a [18]: verifiquen si [18] realmente la contiene.</w:t>
      </w:r>
    </w:p>
    <w:p>
      <w:pPr>
        <w:pStyle w:val="Heading3"/>
        <w:keepNext/>
        <w:spacing w:after="140" w:before="220"/>
      </w:pPr>
      <w:r>
        <w:rPr>
          <w:rFonts w:ascii="Arial" w:cs="Arial" w:eastAsia="Arial" w:hAnsi="Arial"/>
          <w:b/>
          <w:bCs/>
          <w:i/>
          <w:iCs/>
          <w:color w:val="000000"/>
          <w:sz w:val="24"/>
          <w:szCs w:val="24"/>
        </w:rPr>
        <w:t xml:space="preserve">2.2.2. Similitud léxica: n-gramas y TF-IDF</w:t>
      </w:r>
    </w:p>
    <w:p>
      <w:pPr>
        <w:spacing w:after="160" w:before="0" w:line="360"/>
        <w:jc w:val="both"/>
      </w:pPr>
      <w:r>
        <w:rPr>
          <w:rFonts w:ascii="Arial" w:cs="Arial" w:eastAsia="Arial" w:hAnsi="Arial"/>
          <w:sz w:val="24"/>
          <w:szCs w:val="24"/>
        </w:rPr>
        <w:t xml:space="preserve">Los enfoques léxicos siguen siendo relevantes por su eficiencia computacional y su transparencia matemática. Los n-gramas analizan la estructura local del texto mediante secuencias contiguas de caracteres o palabras; su comparación permite identificar tanto la copia literal como el plagio mosaico, en el que se combinan fragmentos de varias fuentes [19].</w:t>
      </w:r>
    </w:p>
    <w:p>
      <w:pPr>
        <w:spacing w:after="160" w:before="0" w:line="360"/>
        <w:ind w:firstLine="709"/>
        <w:jc w:val="both"/>
      </w:pPr>
      <w:r>
        <w:rPr>
          <w:rFonts w:ascii="Arial" w:cs="Arial" w:eastAsia="Arial" w:hAnsi="Arial"/>
          <w:sz w:val="24"/>
          <w:szCs w:val="24"/>
        </w:rPr>
        <w:t xml:space="preserve">Estos métodos pierden eficacia frente al parafraseo, ya que pequeños cambios en el orden o la forma de las palabras impiden la coincidencia. Para representar el contenido temático de un texto se utiliza la ponderación TF-IDF (Term Frequency–Inverse Document Frequency), que asigna a cada término un peso proporcional a su frecuencia en el documento e inversamente proporcional al número de documentos del corpus en que aparece [N11]. Así, los términos frecuentes en todo el corpus reciben menos peso que los característicos de un documento, lo que facilita identificar documentos candidatos con alta similitud terminológica.</w:t>
      </w:r>
    </w:p>
    <w:p>
      <w:pPr>
        <w:pStyle w:val="Heading3"/>
        <w:keepNext/>
        <w:spacing w:after="140" w:before="220"/>
      </w:pPr>
      <w:r>
        <w:rPr>
          <w:rFonts w:ascii="Arial" w:cs="Arial" w:eastAsia="Arial" w:hAnsi="Arial"/>
          <w:b/>
          <w:bCs/>
          <w:i/>
          <w:iCs/>
          <w:color w:val="000000"/>
          <w:sz w:val="24"/>
          <w:szCs w:val="24"/>
        </w:rPr>
        <w:t xml:space="preserve">2.2.3. Modelo de espacio vectorial (VSM)</w:t>
      </w:r>
    </w:p>
    <w:p>
      <w:pPr>
        <w:spacing w:after="160" w:before="0" w:line="360"/>
        <w:jc w:val="both"/>
      </w:pPr>
      <w:r>
        <w:rPr>
          <w:rFonts w:ascii="Arial" w:cs="Arial" w:eastAsia="Arial" w:hAnsi="Arial"/>
          <w:sz w:val="24"/>
          <w:szCs w:val="24"/>
        </w:rPr>
        <w:t xml:space="preserve">El modelo de espacio vectorial representa cada documento como un vector en un espacio multidimensional, en el que cada dimensión corresponde a un término del vocabulario y su valor refleja la importancia del término en el documento, por ejemplo mediante TF-IDF [N11]. Con esta representación, la detección de similitud se convierte en un problema geométrico: dos textos son más parecidos cuanto más próximos son sus vectores [18], [40].</w:t>
      </w:r>
    </w:p>
    <w:p>
      <w:pPr>
        <w:spacing w:after="160" w:before="0" w:line="360"/>
        <w:ind w:firstLine="709"/>
        <w:jc w:val="both"/>
      </w:pPr>
      <w:r>
        <w:rPr>
          <w:rFonts w:ascii="Arial" w:cs="Arial" w:eastAsia="Arial" w:hAnsi="Arial"/>
          <w:sz w:val="24"/>
          <w:szCs w:val="24"/>
        </w:rPr>
        <w:t xml:space="preserve">El modelo se aplica tanto a la detección extrínseca, que compara el documento con fuentes externas, como a la detección intrínseca, que busca desviaciones de estilo dentro de un mismo documento [40]. Su principal limitación es que trata cada término como una dimensión independiente, por lo que no reconoce sinónimos ni relaciones de significado, lo que reduce su eficacia frente al parafraseo.</w:t>
      </w:r>
    </w:p>
    <w:p>
      <w:pPr>
        <w:pStyle w:val="Heading3"/>
        <w:keepNext/>
        <w:spacing w:after="140" w:before="220"/>
      </w:pPr>
      <w:r>
        <w:rPr>
          <w:rFonts w:ascii="Arial" w:cs="Arial" w:eastAsia="Arial" w:hAnsi="Arial"/>
          <w:b/>
          <w:bCs/>
          <w:i/>
          <w:iCs/>
          <w:color w:val="000000"/>
          <w:sz w:val="24"/>
          <w:szCs w:val="24"/>
        </w:rPr>
        <w:t xml:space="preserve">2.2.4. Similitud semántica y representaciones distribuidas</w:t>
      </w:r>
    </w:p>
    <w:p>
      <w:pPr>
        <w:spacing w:after="160" w:before="0" w:line="360"/>
        <w:jc w:val="both"/>
      </w:pPr>
      <w:r>
        <w:rPr>
          <w:rFonts w:ascii="Arial" w:cs="Arial" w:eastAsia="Arial" w:hAnsi="Arial"/>
          <w:sz w:val="24"/>
          <w:szCs w:val="24"/>
        </w:rPr>
        <w:t xml:space="preserve">Los enfoques semánticos representan las palabras mediante vectores densos, denominados embeddings, en los que los términos con significados relacionados ocupan posiciones cercanas. Word2Vec aprende estas representaciones a partir de predicciones sobre el contexto local de cada palabra [N12], mientras que GloVe las obtiene a partir de estadísticas globales de coocurrencia en el corpus [N13].</w:t>
      </w:r>
    </w:p>
    <w:p>
      <w:pPr>
        <w:spacing w:after="160" w:before="0" w:line="360"/>
        <w:ind w:firstLine="709"/>
        <w:jc w:val="both"/>
      </w:pPr>
      <w:r>
        <w:rPr>
          <w:rFonts w:ascii="Arial" w:cs="Arial" w:eastAsia="Arial" w:hAnsi="Arial"/>
          <w:sz w:val="24"/>
          <w:szCs w:val="24"/>
        </w:rPr>
        <w:t xml:space="preserve">Estos modelos producen representaciones estáticas: asignan un único vector a cada palabra, con independencia de su contexto, lo que limita el tratamiento de la polisemia. Los modelos basados en Transformer, como BERT, superan esa restricción al generar representaciones que dependen del contexto completo de la secuencia [N4], [29]. Distintos estudios han aplicado representaciones de este tipo a la detección de plagio, con mejores resultados que los enfoques léxicos frente a la reformulación [20], [21], [40].</w:t>
      </w:r>
    </w:p>
    <w:p>
      <w:pPr>
        <w:spacing w:after="160" w:before="0" w:line="360"/>
        <w:ind w:firstLine="709"/>
        <w:jc w:val="both"/>
      </w:pPr>
      <w:r>
        <w:rPr>
          <w:rFonts w:ascii="Arial" w:cs="Arial" w:eastAsia="Arial" w:hAnsi="Arial"/>
          <w:sz w:val="24"/>
          <w:szCs w:val="24"/>
        </w:rPr>
        <w:t xml:space="preserve">Para comparar oraciones completas, Sentence-BERT genera un vector por oración mediante una arquitectura siamesa, lo que reduce el costo de las comparaciones masivas [N10]. Reimers y Gurevych extendieron posteriormente este enfoque a varios idiomas mediante destilación de conocimiento, de modo que oraciones equivalentes en distintas lenguas obtienen representaciones cercanas [N7]. Este tipo de modelo multilingüe resulta adecuado para textos académicos en español.</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agregó la cita de Word2Vec y GloVe, que antes no tenían, y se corrigió la oración que no tenía verbo principal. SBERT se cita con su artículo original [N10], no con [20]. Verifiquen que [20] y [21] respalden la afirmación sobre la mejora frente a enfoques léxicos.</w:t>
      </w:r>
    </w:p>
    <w:p>
      <w:pPr>
        <w:pStyle w:val="Heading3"/>
        <w:keepNext/>
        <w:spacing w:after="140" w:before="220"/>
      </w:pPr>
      <w:r>
        <w:rPr>
          <w:rFonts w:ascii="Arial" w:cs="Arial" w:eastAsia="Arial" w:hAnsi="Arial"/>
          <w:b/>
          <w:bCs/>
          <w:i/>
          <w:iCs/>
          <w:color w:val="000000"/>
          <w:sz w:val="24"/>
          <w:szCs w:val="24"/>
        </w:rPr>
        <w:t xml:space="preserve">2.2.5. Métricas de similitud y de evaluación</w:t>
      </w:r>
    </w:p>
    <w:p>
      <w:pPr>
        <w:spacing w:after="160" w:before="0" w:line="360"/>
        <w:jc w:val="both"/>
      </w:pPr>
      <w:r>
        <w:rPr>
          <w:rFonts w:ascii="Arial" w:cs="Arial" w:eastAsia="Arial" w:hAnsi="Arial"/>
          <w:sz w:val="24"/>
          <w:szCs w:val="24"/>
        </w:rPr>
        <w:t xml:space="preserve">Para comparar representaciones vectoriales se requieren métricas de similitud. La similitud del coseno es la medida más utilizada en minería de textos: evalúa el ángulo entre dos vectores con independencia de su magnitud [N11], lo que evita que un documento más extenso obtenga mayor similitud solo por contener más términos. Se calcula como:</w:t>
      </w:r>
    </w:p>
    <w:p>
      <w:pPr>
        <w:spacing w:after="160" w:before="0" w:line="360"/>
        <w:jc w:val="center"/>
      </w:pPr>
      <w:r>
        <w:rPr>
          <w:rFonts w:ascii="Arial" w:cs="Arial" w:eastAsia="Arial" w:hAnsi="Arial"/>
          <w:i/>
          <w:iCs/>
          <w:sz w:val="24"/>
          <w:szCs w:val="24"/>
        </w:rPr>
        <w:t xml:space="preserve">cos(A, B) = (A · B) / (‖A‖ × ‖B‖)</w:t>
      </w:r>
    </w:p>
    <w:p>
      <w:pPr>
        <w:spacing w:after="160" w:before="0" w:line="360"/>
        <w:ind w:firstLine="709"/>
        <w:jc w:val="both"/>
      </w:pPr>
      <w:r>
        <w:rPr>
          <w:rFonts w:ascii="Arial" w:cs="Arial" w:eastAsia="Arial" w:hAnsi="Arial"/>
          <w:sz w:val="24"/>
          <w:szCs w:val="24"/>
        </w:rPr>
        <w:t xml:space="preserve">donde A · B es el producto escalar de los vectores y ‖A‖, ‖B‖ son sus normas. Para vectores con componentes no negativos, como los de TF-IDF, el resultado varía entre 0 (sin términos en común) y 1 (misma orientación).</w:t>
      </w:r>
    </w:p>
    <w:p>
      <w:pPr>
        <w:spacing w:after="160" w:before="0" w:line="360"/>
        <w:ind w:firstLine="709"/>
        <w:jc w:val="both"/>
      </w:pPr>
      <w:r>
        <w:rPr>
          <w:rFonts w:ascii="Arial" w:cs="Arial" w:eastAsia="Arial" w:hAnsi="Arial"/>
          <w:sz w:val="24"/>
          <w:szCs w:val="24"/>
        </w:rPr>
        <w:t xml:space="preserve">De manera complementaria, el coeficiente de Jaccard mide la proporción de elementos compartidos entre dos conjuntos y resulta eficaz para detectar copias literales, mientras que medidas basadas en jerarquías conceptuales, como la de Wu y Palmer [N14], estiman la cercanía semántica entre términos y permiten abordar el plagio de ideas sin coincidencia léxica directa [21].</w:t>
      </w:r>
    </w:p>
    <w:p>
      <w:pPr>
        <w:spacing w:after="160" w:before="0" w:line="360"/>
        <w:ind w:firstLine="709"/>
        <w:jc w:val="both"/>
      </w:pPr>
      <w:r>
        <w:rPr>
          <w:rFonts w:ascii="Arial" w:cs="Arial" w:eastAsia="Arial" w:hAnsi="Arial"/>
          <w:sz w:val="24"/>
          <w:szCs w:val="24"/>
        </w:rPr>
        <w:t xml:space="preserve">Para evaluar el desempeño de un sistema de detección se utilizan métricas de clasificación que exigen conocer de antemano qué documentos o fragmentos son realmente plagiados. La precisión es la proporción de casos señalados por el sistema que son efectivamente plagio; la exhaustividad (recall) es la proporción de casos reales de plagio que el sistema logra detectar; y el valor F1 es la media armónica de ambas:</w:t>
      </w:r>
    </w:p>
    <w:p>
      <w:pPr>
        <w:spacing w:after="160" w:before="0" w:line="360"/>
        <w:jc w:val="center"/>
      </w:pPr>
      <w:r>
        <w:rPr>
          <w:rFonts w:ascii="Arial" w:cs="Arial" w:eastAsia="Arial" w:hAnsi="Arial"/>
          <w:i/>
          <w:iCs/>
          <w:sz w:val="24"/>
          <w:szCs w:val="24"/>
        </w:rPr>
        <w:t xml:space="preserve">Precisión = VP / (VP + FP)     Exhaustividad = VP / (VP + FN)     F1 = 2 × (P × E) / (P + E)</w:t>
      </w:r>
    </w:p>
    <w:p>
      <w:pPr>
        <w:spacing w:after="160" w:before="0" w:line="360"/>
        <w:ind w:firstLine="709"/>
        <w:jc w:val="both"/>
      </w:pPr>
      <w:r>
        <w:rPr>
          <w:rFonts w:ascii="Arial" w:cs="Arial" w:eastAsia="Arial" w:hAnsi="Arial"/>
          <w:sz w:val="24"/>
          <w:szCs w:val="24"/>
        </w:rPr>
        <w:t xml:space="preserve">donde VP son los verdaderos positivos, FP los falsos positivos y FN los falsos negativos. En la detección de plagio a nivel de fragmento, el marco de evaluación de las competencias PAN incorpora además la granularidad, que penaliza que un mismo caso se detecte de forma fragmentada, y combina las tres medidas en el indicador PlagDet [N15].</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subsección es nueva en su segunda mitad. La agregué porque la metodología y el Capítulo 4 mencionan precisión, recall, F1 y PlagDet sin definirlos. Además, deja por escrito que estas métricas requieren etiquetas reales, lo que obliga a corregir el cálculo del prototipo (Anexo 8). Se corrigió también “coeficiente de correlación del coseno” por “similitud del coseno”.</w:t>
      </w:r>
    </w:p>
    <w:p>
      <w:pPr>
        <w:pStyle w:val="Heading3"/>
        <w:keepNext/>
        <w:spacing w:after="140" w:before="220"/>
      </w:pPr>
      <w:r>
        <w:rPr>
          <w:rFonts w:ascii="Arial" w:cs="Arial" w:eastAsia="Arial" w:hAnsi="Arial"/>
          <w:b/>
          <w:bCs/>
          <w:i/>
          <w:iCs/>
          <w:color w:val="000000"/>
          <w:sz w:val="24"/>
          <w:szCs w:val="24"/>
        </w:rPr>
        <w:t xml:space="preserve">2.2.6. Enfoques híbridos</w:t>
      </w:r>
    </w:p>
    <w:p>
      <w:pPr>
        <w:spacing w:after="160" w:before="0" w:line="360"/>
        <w:jc w:val="both"/>
      </w:pPr>
      <w:r>
        <w:rPr>
          <w:rFonts w:ascii="Arial" w:cs="Arial" w:eastAsia="Arial" w:hAnsi="Arial"/>
          <w:sz w:val="24"/>
          <w:szCs w:val="24"/>
        </w:rPr>
        <w:t xml:space="preserve">Los sistemas recientes de detección de plagio combinan varios niveles de análisis: una fase de preprocesamiento lingüístico, una representación léxica, una representación semántica y un mecanismo que integra ambas puntuaciones [18], [40]. En una revisión de 189 trabajos publicados entre 2019 y 2024, Sajid et al. concluyen que la combinación de distintas metodologías de análisis es la línea más prometedora para mejorar la detección [40].</w:t>
      </w:r>
    </w:p>
    <w:p>
      <w:pPr>
        <w:spacing w:after="160" w:before="0" w:line="360"/>
        <w:ind w:firstLine="709"/>
        <w:jc w:val="both"/>
      </w:pPr>
      <w:r>
        <w:rPr>
          <w:rFonts w:ascii="Arial" w:cs="Arial" w:eastAsia="Arial" w:hAnsi="Arial"/>
          <w:sz w:val="24"/>
          <w:szCs w:val="24"/>
        </w:rPr>
        <w:t xml:space="preserve">En este esquema, el componente léxico conserva la eficacia frente a la copia literal y el componente semántico amplía la cobertura hacia la reformulación. Algunas propuestas incorporan además bases de datos vectoriales para acelerar la búsqueda y clasificadores supervisados para decidir la naturaleza de cada coincidencia [40]. La forma de integrar ambos componentes varía entre propuestas: algunas usan el análisis léxico como filtro previo y reservan el semántico para los candidatos seleccionados, con lo que reducen el costo computacional; otras calculan ambas puntuaciones sobre todos los fragmentos y las combinan mediante ponderaciones o clasificadores [40].</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los dos párrafos originales no tenían cita y describían bases vectoriales y clasificadores que el prototipo no usa. El párrafo final describe en términos generales las formas de integrar ambos componentes; el flujo concreto del prototipo (filtro léxico, reevaluación semántica y ponderación 0,55/0,45) se describe en el Capítulo 3. Verifiquen que [40] respalde la distinción entre ambas estrategias.</w:t>
      </w:r>
    </w:p>
    <w:p>
      <w:pPr>
        <w:pStyle w:val="Heading2"/>
        <w:keepNext/>
        <w:spacing w:after="160" w:before="280"/>
      </w:pPr>
      <w:r>
        <w:rPr>
          <w:rFonts w:ascii="Arial" w:cs="Arial" w:eastAsia="Arial" w:hAnsi="Arial"/>
          <w:b/>
          <w:bCs/>
          <w:color w:val="000000"/>
          <w:sz w:val="24"/>
          <w:szCs w:val="24"/>
        </w:rPr>
        <w:t xml:space="preserve">2.3. Estilometría y autoría</w:t>
      </w:r>
    </w:p>
    <w:p>
      <w:pPr>
        <w:pStyle w:val="Heading3"/>
        <w:keepNext/>
        <w:spacing w:after="140" w:before="220"/>
      </w:pPr>
      <w:r>
        <w:rPr>
          <w:rFonts w:ascii="Arial" w:cs="Arial" w:eastAsia="Arial" w:hAnsi="Arial"/>
          <w:b/>
          <w:bCs/>
          <w:i/>
          <w:iCs/>
          <w:color w:val="000000"/>
          <w:sz w:val="24"/>
          <w:szCs w:val="24"/>
        </w:rPr>
        <w:t xml:space="preserve">2.3.1. Análisis estilométrico</w:t>
      </w:r>
    </w:p>
    <w:p>
      <w:pPr>
        <w:spacing w:after="160" w:before="0" w:line="360"/>
        <w:jc w:val="both"/>
      </w:pPr>
      <w:r>
        <w:rPr>
          <w:rFonts w:ascii="Arial" w:cs="Arial" w:eastAsia="Arial" w:hAnsi="Arial"/>
          <w:sz w:val="24"/>
          <w:szCs w:val="24"/>
        </w:rPr>
        <w:t xml:space="preserve">La estilometría es el estudio cuantitativo del estilo de escritura. Su objetivo es identificar patrones lingüísticos recurrentes que caracterizan la forma en que un autor usa el lenguaje, con independencia del tema del texto [22]. Se diferencia de la lexicometría en que se centra en el estilo del autor y no únicamente en la frecuencia de las palabras [22].</w:t>
      </w:r>
    </w:p>
    <w:p>
      <w:pPr>
        <w:spacing w:after="160" w:before="0" w:line="360"/>
        <w:ind w:firstLine="709"/>
        <w:jc w:val="both"/>
      </w:pPr>
      <w:r>
        <w:rPr>
          <w:rFonts w:ascii="Arial" w:cs="Arial" w:eastAsia="Arial" w:hAnsi="Arial"/>
          <w:sz w:val="24"/>
          <w:szCs w:val="24"/>
        </w:rPr>
        <w:t xml:space="preserve">La estilometría parte del supuesto de que los autores dejan huellas lingüísticas en gran medida inconscientes, que se manifiestan en elecciones sistemáticas de vocabulario, sintaxis y organización del discurso. Estas huellas pueden medirse y convertirse en características numéricas que permiten comparar textos de manera objetiva [22], [N16]. A diferencia de la similitud léxica, el análisis estilométrico no depende de que dos textos compartan palabras, sino de regularidades en la manera de escribir.</w:t>
      </w:r>
    </w:p>
    <w:p>
      <w:pPr>
        <w:spacing w:after="160" w:before="0" w:line="360"/>
        <w:ind w:firstLine="709"/>
        <w:jc w:val="both"/>
      </w:pPr>
      <w:r>
        <w:rPr>
          <w:rFonts w:ascii="Arial" w:cs="Arial" w:eastAsia="Arial" w:hAnsi="Arial"/>
          <w:sz w:val="24"/>
          <w:szCs w:val="24"/>
        </w:rPr>
        <w:t xml:space="preserve">Entre los rasgos más empleados se encuentran la longitud media de las oraciones y de las palabras, la riqueza de vocabulario, la frecuencia de palabras funcionales y signos de puntuación, y el uso de determinadas estructuras gramaticales [N16]. Algunos de estos rasgos también difieren entre el texto humano y el generado por modelos de lenguaje: los textos humanos presentan una distribución más dispersa de la longitud de las oraciones y mayor variedad léxica [N8].</w:t>
      </w:r>
    </w:p>
    <w:p>
      <w:pPr>
        <w:spacing w:after="160" w:before="0" w:line="360"/>
        <w:ind w:firstLine="709"/>
        <w:jc w:val="both"/>
      </w:pPr>
      <w:r>
        <w:rPr>
          <w:rFonts w:ascii="Arial" w:cs="Arial" w:eastAsia="Arial" w:hAnsi="Arial"/>
          <w:sz w:val="24"/>
          <w:szCs w:val="24"/>
        </w:rPr>
        <w:t xml:space="preserve">El análisis estilométrico actual es cuantitativo: los textos se transforman en conjuntos de características medibles mediante herramientas de programación y análisis estadístico [22]. Con esas características se construye un perfil de escritura que puede compararse con el de otros documentos o con el de distintos segmentos de un mismo texto, mediante medidas de distancia entre perfiles [N16].</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las afirmaciones sobre la longitud de oración y los conectores en textos generados por IA se atribuían a [22]. Verificamos que [22] (Moyano Moreno, 2023) trata el uso del término “estilo” en estilometría y no menciona modelos de lenguaje, por lo que ahora se citan con [N8]. Retiramos la afirmación sobre conectores porque no encontramos una fuente que la respalde. La lista de los siete rasgos que calcula el prototipo pasa al Capítulo 3. Corrijan el autor de [22]: Isabel Moyano Moreno.</w:t>
      </w:r>
    </w:p>
    <w:p>
      <w:pPr>
        <w:pStyle w:val="Heading3"/>
        <w:keepNext/>
        <w:spacing w:after="140" w:before="220"/>
      </w:pPr>
      <w:r>
        <w:rPr>
          <w:rFonts w:ascii="Arial" w:cs="Arial" w:eastAsia="Arial" w:hAnsi="Arial"/>
          <w:b/>
          <w:bCs/>
          <w:i/>
          <w:iCs/>
          <w:color w:val="000000"/>
          <w:sz w:val="24"/>
          <w:szCs w:val="24"/>
        </w:rPr>
        <w:t xml:space="preserve">2.3.2. Verificación de autoría</w:t>
      </w:r>
    </w:p>
    <w:p>
      <w:pPr>
        <w:spacing w:after="160" w:before="0" w:line="360"/>
        <w:jc w:val="both"/>
      </w:pPr>
      <w:r>
        <w:rPr>
          <w:rFonts w:ascii="Arial" w:cs="Arial" w:eastAsia="Arial" w:hAnsi="Arial"/>
          <w:sz w:val="24"/>
          <w:szCs w:val="24"/>
        </w:rPr>
        <w:t xml:space="preserve">La verificación de autoría es una de las aplicaciones más extendidas de la estilometría. Consiste en determinar si un texto fue escrito por un autor determinado, comparando sus características con producciones previamente conocidas de esa persona; se distingue de la atribución de autoría, que busca identificar al autor más probable entre varios candidatos [22], [N16].</w:t>
      </w:r>
    </w:p>
    <w:p>
      <w:pPr>
        <w:spacing w:after="160" w:before="0" w:line="360"/>
        <w:ind w:firstLine="709"/>
        <w:jc w:val="both"/>
      </w:pPr>
      <w:r>
        <w:rPr>
          <w:rFonts w:ascii="Arial" w:cs="Arial" w:eastAsia="Arial" w:hAnsi="Arial"/>
          <w:sz w:val="24"/>
          <w:szCs w:val="24"/>
        </w:rPr>
        <w:t xml:space="preserve">El principio que la sustenta es la existencia de un idiolecto: un conjunto de hábitos de escritura propios de cada individuo, que se manifiesta de forma inconsciente y permanece relativamente estable aun cuando varían el tema o el contexto de redacción [22].</w:t>
      </w:r>
    </w:p>
    <w:p>
      <w:pPr>
        <w:spacing w:after="160" w:before="0" w:line="360"/>
        <w:ind w:firstLine="709"/>
        <w:jc w:val="both"/>
      </w:pPr>
      <w:r>
        <w:rPr>
          <w:rFonts w:ascii="Arial" w:cs="Arial" w:eastAsia="Arial" w:hAnsi="Arial"/>
          <w:sz w:val="24"/>
          <w:szCs w:val="24"/>
        </w:rPr>
        <w:t xml:space="preserve">Los rasgos estilométricos, al ser cuantificables, permiten construir perfiles que pueden compararse entre textos para estimar si comparten un mismo origen [N16]. Una variante de interés para este trabajo es la detección intrínseca, que analiza un único documento en busca de segmentos cuyo estilo se aparta del resto, como indicio de que fueron escritos por otra persona o generados por otros medios [40]. La fiabilidad de estos métodos disminuye cuando los textos son breves o cuando se dispone de poco material de referencia del autor [N16].</w:t>
      </w:r>
    </w:p>
    <w:p>
      <w:pPr>
        <w:pStyle w:val="Heading3"/>
        <w:keepNext/>
        <w:spacing w:after="140" w:before="220"/>
      </w:pPr>
      <w:r>
        <w:rPr>
          <w:rFonts w:ascii="Arial" w:cs="Arial" w:eastAsia="Arial" w:hAnsi="Arial"/>
          <w:b/>
          <w:bCs/>
          <w:i/>
          <w:iCs/>
          <w:color w:val="000000"/>
          <w:sz w:val="24"/>
          <w:szCs w:val="24"/>
        </w:rPr>
        <w:t xml:space="preserve">2.3.3. Autoría e inteligencia artificial generativa</w:t>
      </w:r>
    </w:p>
    <w:p>
      <w:pPr>
        <w:spacing w:after="160" w:before="0" w:line="360"/>
        <w:jc w:val="both"/>
      </w:pPr>
      <w:r>
        <w:rPr>
          <w:rFonts w:ascii="Arial" w:cs="Arial" w:eastAsia="Arial" w:hAnsi="Arial"/>
          <w:sz w:val="24"/>
          <w:szCs w:val="24"/>
        </w:rPr>
        <w:t xml:space="preserve">La expansión de la IA generativa ha dado mayor relevancia a la verificación de autoría. Codina sostiene que los sistemas de IA no pueden ser acreditados como autores de trabajos académicos, que la responsabilidad del trabajo es íntegra y exclusiva de la persona que lo firma y que el uso significativo de la IA debe declararse [23]. Presentar como propio un contenido generado total o parcialmente por un algoritmo, sin declararlo, constituye una falta a la integridad académica.</w:t>
      </w:r>
    </w:p>
    <w:p>
      <w:pPr>
        <w:spacing w:after="160" w:before="0" w:line="360"/>
        <w:ind w:firstLine="709"/>
        <w:jc w:val="both"/>
      </w:pPr>
      <w:r>
        <w:rPr>
          <w:rFonts w:ascii="Arial" w:cs="Arial" w:eastAsia="Arial" w:hAnsi="Arial"/>
          <w:sz w:val="24"/>
          <w:szCs w:val="24"/>
        </w:rPr>
        <w:t xml:space="preserve">En este contexto, las técnicas de verificación de autoría no buscan sustituir el juicio del docente, sino aportar indicios objetivos sobre la consistencia del estilo de un documento. Una desviación estilística puede tener causas legítimas, como la cita extensa o el trabajo en grupo, por lo que su interpretación corresponde siempre a una persona.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separó en una subsección propia el contenido sobre IA y autoría y se incluyeron los datos de Codina [23] ya verificados. Completen la referencia [23]: L. Codina, “Uso ético y eficiente de la inteligencia artificial en trabajos académicos: Veritas e interacción crítica escalonada”, BiD, núm. 55, 2025, doi: 10.1344/bid2025.55.01. La frase “ha demostrado ser especialmente eficaz en contextos académicos” se eliminó porque no tenía respaldo.</w:t>
      </w:r>
    </w:p>
    <w:p>
      <w:pPr>
        <w:pStyle w:val="Heading2"/>
        <w:keepNext/>
        <w:spacing w:after="160" w:before="280"/>
      </w:pPr>
      <w:r>
        <w:rPr>
          <w:rFonts w:ascii="Arial" w:cs="Arial" w:eastAsia="Arial" w:hAnsi="Arial"/>
          <w:b/>
          <w:bCs/>
          <w:color w:val="000000"/>
          <w:sz w:val="24"/>
          <w:szCs w:val="24"/>
        </w:rPr>
        <w:t xml:space="preserve">2.4. Tecnologías de código abierto para el procesamiento del lenguaje natural</w:t>
      </w:r>
    </w:p>
    <w:p>
      <w:pPr>
        <w:spacing w:after="160" w:before="0" w:line="360"/>
        <w:jc w:val="both"/>
      </w:pPr>
      <w:r>
        <w:rPr>
          <w:rFonts w:ascii="Arial" w:cs="Arial" w:eastAsia="Arial" w:hAnsi="Arial"/>
          <w:sz w:val="24"/>
          <w:szCs w:val="24"/>
        </w:rPr>
        <w:t xml:space="preserve">Esta sección describe las tecnologías de código abierto que permiten construir sistemas de detección de similitud y análisis de autoría. Para esta investigación interesan aquellas que cumplen cuatro condiciones, derivadas del contexto de una universidad pública como la Universidad Central del Ecuador: no requieren pago de licencias, pueden desplegarse en infraestructura institucional sin que los documentos de los estudiantes salgan de la universidad, ofrecen soporte para textos en español y permiten revisar y ajustar sus criterios de análisis. La selección concreta de herramientas y su integración en el prototipo se presentan en el Capítulo 3.</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Párrafo ajustado para delimitar el capítulo al contexto de la UCE, como pidieron los revisores. Las cuatro condiciones se derivan de la justificación del Capítulo 1 (costo, protección de datos, idioma y transparencia).</w:t>
      </w:r>
    </w:p>
    <w:p>
      <w:pPr>
        <w:pStyle w:val="Heading3"/>
        <w:keepNext/>
        <w:spacing w:after="140" w:before="220"/>
      </w:pPr>
      <w:r>
        <w:rPr>
          <w:rFonts w:ascii="Arial" w:cs="Arial" w:eastAsia="Arial" w:hAnsi="Arial"/>
          <w:b/>
          <w:bCs/>
          <w:i/>
          <w:iCs/>
          <w:color w:val="000000"/>
          <w:sz w:val="24"/>
          <w:szCs w:val="24"/>
        </w:rPr>
        <w:t xml:space="preserve">2.4.1. Software de código abierto en el ámbito universitario</w:t>
      </w:r>
    </w:p>
    <w:p>
      <w:pPr>
        <w:spacing w:after="160" w:before="0" w:line="360"/>
        <w:jc w:val="both"/>
      </w:pPr>
      <w:r>
        <w:rPr>
          <w:rFonts w:ascii="Arial" w:cs="Arial" w:eastAsia="Arial" w:hAnsi="Arial"/>
          <w:sz w:val="24"/>
          <w:szCs w:val="24"/>
        </w:rPr>
        <w:t xml:space="preserve">El software de código abierto se distribuye bajo licencias que permiten usar, estudiar, modificar y redistribuir el código fuente [N17]. En la detección de similitud, esta característica tiene tres implicaciones para una institución de educación superior: permite auditar cómo se obtiene cada resultado, ajustar umbrales y parámetros a la normativa interna y desplegar el sistema en infraestructura propia. Código abierto no equivale, sin embargo, a costo nulo: aunque no se pagan licencias, la operación requiere infraestructura, mantenimiento y personal técnico.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retiraron [24] y [25], cuyos campos de autor contienen nombres de universidades, y el párrafo sobre la “sobreabundancia informativa”, que no tenía cita.</w:t>
      </w:r>
    </w:p>
    <w:p>
      <w:pPr>
        <w:pStyle w:val="Heading3"/>
        <w:keepNext/>
        <w:spacing w:after="140" w:before="220"/>
      </w:pPr>
      <w:r>
        <w:rPr>
          <w:rFonts w:ascii="Arial" w:cs="Arial" w:eastAsia="Arial" w:hAnsi="Arial"/>
          <w:b/>
          <w:bCs/>
          <w:i/>
          <w:iCs/>
          <w:color w:val="000000"/>
          <w:sz w:val="24"/>
          <w:szCs w:val="24"/>
        </w:rPr>
        <w:t xml:space="preserve">2.4.2. Librerías de procesamiento del lenguaje natural</w:t>
      </w:r>
    </w:p>
    <w:p>
      <w:pPr>
        <w:spacing w:after="160" w:before="0" w:line="360"/>
        <w:jc w:val="both"/>
      </w:pPr>
      <w:r>
        <w:rPr>
          <w:rFonts w:ascii="Arial" w:cs="Arial" w:eastAsia="Arial" w:hAnsi="Arial"/>
          <w:sz w:val="24"/>
          <w:szCs w:val="24"/>
        </w:rPr>
        <w:t xml:space="preserve">El ecosistema de código abierto ofrece librerías que resuelven las operaciones básicas del PLN. NLTK, desarrollada en Python, proporciona herramientas para la segmentación del texto en oraciones y palabras, la eliminación de palabras vacías y otras tareas de preprocesamiento [N18]. Para el entorno JavaScript existen librerías equivalentes, como natural, que implementan tokenización, ponderación TF-IDF y medidas de similitud [D1].</w:t>
      </w:r>
    </w:p>
    <w:p>
      <w:pPr>
        <w:spacing w:after="160" w:before="0" w:line="360"/>
        <w:ind w:firstLine="709"/>
        <w:jc w:val="both"/>
      </w:pPr>
      <w:r>
        <w:rPr>
          <w:rFonts w:ascii="Arial" w:cs="Arial" w:eastAsia="Arial" w:hAnsi="Arial"/>
          <w:sz w:val="24"/>
          <w:szCs w:val="24"/>
        </w:rPr>
        <w:t xml:space="preserve">Para el trabajo con modelos Transformer, la librería Transformers de Hugging Face ofrece una interfaz común para descargar, ejecutar y ajustar modelos preentrenados, y un repositorio público donde la comunidad comparte miles de ellos [N23]. Sobre esta base, la librería sentence-transformers facilita la obtención de embeddings de oraciones y el cálculo de su similitud [N10].</w:t>
      </w:r>
    </w:p>
    <w:p>
      <w:pPr>
        <w:pStyle w:val="Heading3"/>
        <w:keepNext/>
        <w:spacing w:after="140" w:before="220"/>
      </w:pPr>
      <w:r>
        <w:rPr>
          <w:rFonts w:ascii="Arial" w:cs="Arial" w:eastAsia="Arial" w:hAnsi="Arial"/>
          <w:b/>
          <w:bCs/>
          <w:i/>
          <w:iCs/>
          <w:color w:val="000000"/>
          <w:sz w:val="24"/>
          <w:szCs w:val="24"/>
        </w:rPr>
        <w:t xml:space="preserve">2.4.3. Modelos preentrenados multilingües</w:t>
      </w:r>
    </w:p>
    <w:p>
      <w:pPr>
        <w:spacing w:after="160" w:before="0" w:line="360"/>
        <w:jc w:val="both"/>
      </w:pPr>
      <w:r>
        <w:rPr>
          <w:rFonts w:ascii="Arial" w:cs="Arial" w:eastAsia="Arial" w:hAnsi="Arial"/>
          <w:sz w:val="24"/>
          <w:szCs w:val="24"/>
        </w:rPr>
        <w:t xml:space="preserve">Entrenar un modelo de lenguaje desde cero exige grandes volúmenes de datos y recursos de cómputo que exceden las posibilidades de la mayoría de las instituciones. Los modelos preentrenados permiten reutilizar ese entrenamiento y aplicarlo a tareas específicas [N4]. En el caso del español, los modelos multilingües obtenidos mediante destilación de conocimiento producen representaciones cercanas para oraciones equivalentes en distintos idiomas, lo que los hace adecuados para medir la similitud semántica en textos académicos que no están en inglés [N7]. Las versiones compactas de estos modelos, con menos parámetros, pueden ejecutarse sin hardware especializado, a costa de una menor precisión que los modelos de mayor tamaño [N7].</w:t>
      </w:r>
    </w:p>
    <w:p>
      <w:pPr>
        <w:pStyle w:val="Heading3"/>
        <w:keepNext/>
        <w:spacing w:after="140" w:before="220"/>
      </w:pPr>
      <w:r>
        <w:rPr>
          <w:rFonts w:ascii="Arial" w:cs="Arial" w:eastAsia="Arial" w:hAnsi="Arial"/>
          <w:b/>
          <w:bCs/>
          <w:i/>
          <w:iCs/>
          <w:color w:val="000000"/>
          <w:sz w:val="24"/>
          <w:szCs w:val="24"/>
        </w:rPr>
        <w:t xml:space="preserve">2.4.4. Fuentes académicas de acceso abierto</w:t>
      </w:r>
    </w:p>
    <w:p>
      <w:pPr>
        <w:spacing w:after="160" w:before="0" w:line="360"/>
        <w:jc w:val="both"/>
      </w:pPr>
      <w:r>
        <w:rPr>
          <w:rFonts w:ascii="Arial" w:cs="Arial" w:eastAsia="Arial" w:hAnsi="Arial"/>
          <w:sz w:val="24"/>
          <w:szCs w:val="24"/>
        </w:rPr>
        <w:t xml:space="preserve">La detección de similitud extrínseca requiere comparar el documento con un conjunto amplio de fuentes. Además de los repositorios institucionales, existen servicios de acceso abierto que exponen metadatos y resúmenes de publicaciones científicas mediante interfaces de programación (API). OpenAlex es un índice abierto de trabajos académicos, autores, revistas e instituciones [N19], y Semantic Scholar ofrece una plataforma de datos abiertos sobre literatura científica [N20]. Estos servicios permiten recuperar documentos candidatos sin depender de bases de datos comerciales, aunque su cobertura se limita, en la mayoría de los casos, a títulos y resúmenes.</w:t>
      </w:r>
    </w:p>
    <w:p>
      <w:pPr>
        <w:pStyle w:val="Heading3"/>
        <w:keepNext/>
        <w:spacing w:after="140" w:before="220"/>
      </w:pPr>
      <w:r>
        <w:rPr>
          <w:rFonts w:ascii="Arial" w:cs="Arial" w:eastAsia="Arial" w:hAnsi="Arial"/>
          <w:b/>
          <w:bCs/>
          <w:i/>
          <w:iCs/>
          <w:color w:val="000000"/>
          <w:sz w:val="24"/>
          <w:szCs w:val="24"/>
        </w:rPr>
        <w:t xml:space="preserve">2.4.5. Bases de datos relacionales y vectoriales</w:t>
      </w:r>
    </w:p>
    <w:p>
      <w:pPr>
        <w:spacing w:after="160" w:before="0" w:line="360"/>
        <w:jc w:val="both"/>
      </w:pPr>
      <w:r>
        <w:rPr>
          <w:rFonts w:ascii="Arial" w:cs="Arial" w:eastAsia="Arial" w:hAnsi="Arial"/>
          <w:sz w:val="24"/>
          <w:szCs w:val="24"/>
        </w:rPr>
        <w:t xml:space="preserve">Los sistemas de análisis documental necesitan almacenar los textos procesados y los resultados de cada análisis. Las bases de datos relacionales, como PostgreSQL, son adecuadas para registros estructurados como documentos, usuarios y métricas. Cuando el volumen de documentos crece, la comparación semántica exige buscar con rapidez los vectores más cercanos entre miles o millones de embeddings; para ello se han desarrollado bibliotecas y bases de datos vectoriales que implementan búsquedas aproximadas de vecinos más cercanos [N21].</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sección se reescribió para que explique qué son estas tecnologías y para qué sirven, sin describir el prototipo. Lo que antes estaba aquí —la arquitectura, la tabla de componentes y licencias, y el funcionamiento del análisis léxico y semántico del prototipo— pasa al Capítulo 3. Ese texto está al final de este documento, en “Texto trasladado al Capítulo 3”. Se eliminaron Numpy, Scikit-learn, TensorFlow, spaCy, ChromaDB y la subsección de Hugging Face Diffusers. Las referencias [26], [27], [28], [31], [32], [33], [34] y [35] se eliminan de la lista.</w:t>
      </w:r>
    </w:p>
    <w:p>
      <w:pPr>
        <w:pStyle w:val="Heading2"/>
        <w:keepNext/>
        <w:spacing w:after="160" w:before="280"/>
      </w:pPr>
      <w:r>
        <w:rPr>
          <w:rFonts w:ascii="Arial" w:cs="Arial" w:eastAsia="Arial" w:hAnsi="Arial"/>
          <w:b/>
          <w:bCs/>
          <w:color w:val="000000"/>
          <w:sz w:val="24"/>
          <w:szCs w:val="24"/>
        </w:rPr>
        <w:t xml:space="preserve">2.5. Estado del arte</w:t>
      </w:r>
    </w:p>
    <w:p>
      <w:pPr>
        <w:pStyle w:val="Heading3"/>
        <w:keepNext/>
        <w:spacing w:after="140" w:before="220"/>
      </w:pPr>
      <w:r>
        <w:rPr>
          <w:rFonts w:ascii="Arial" w:cs="Arial" w:eastAsia="Arial" w:hAnsi="Arial"/>
          <w:b/>
          <w:bCs/>
          <w:i/>
          <w:iCs/>
          <w:color w:val="000000"/>
          <w:sz w:val="24"/>
          <w:szCs w:val="24"/>
        </w:rPr>
        <w:t xml:space="preserve">2.5.1. Inteligencia artificial generativa y plagio en la educación superior</w:t>
      </w:r>
    </w:p>
    <w:p>
      <w:pPr>
        <w:spacing w:after="160" w:before="0" w:line="360"/>
        <w:jc w:val="both"/>
      </w:pPr>
      <w:r>
        <w:rPr>
          <w:rFonts w:ascii="Arial" w:cs="Arial" w:eastAsia="Arial" w:hAnsi="Arial"/>
          <w:sz w:val="24"/>
          <w:szCs w:val="24"/>
        </w:rPr>
        <w:t xml:space="preserve">La IA generativa, capaz de producir contenido a partir de instrucciones en lenguaje natural, se difundió masivamente tras el lanzamiento público de ChatGPT a finales de 2022. García-Peñalvo analiza la percepción de la IA en contextos educativos tras ese lanzamiento y describe reacciones que oscilan entre la disrupción y el pánico [36]. En Estados Unidos, una encuesta de 2023 reportó que el 43 % de los estudiantes universitarios había utilizado ChatGPT u otra herramienta similar [37].</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La referencia [37] (“Evaluación en tiempos de IA”, en ResearchGate) no parece ser la fuente primaria de esa encuesta. Localicen el estudio original y cítenlo; si no lo encuentran, eliminen la cifra. Se eliminó el dato del 17 % por la misma razón.</w:t>
      </w:r>
    </w:p>
    <w:p>
      <w:pPr>
        <w:spacing w:after="160" w:before="0" w:line="360"/>
        <w:ind w:firstLine="709"/>
        <w:jc w:val="both"/>
      </w:pPr>
      <w:r>
        <w:rPr>
          <w:rFonts w:ascii="Arial" w:cs="Arial" w:eastAsia="Arial" w:hAnsi="Arial"/>
          <w:sz w:val="24"/>
          <w:szCs w:val="24"/>
        </w:rPr>
        <w:t xml:space="preserve">Gallent-Torres, Zapata-González y Ortego-Hernando examinan el impacto de la IA generativa desde la ética y la integridad académica en tres niveles [51]. Respecto del alumnado, recogen la revisión sistemática de Sullivan et al., que identifica 88 artículos sobre temas como el uso indebido de estas herramientas, la subcontratación de ensayos a chatbots y el aumento de conductas plagiarias (citado en [51]). Respecto del profesorado, señalan que la IA puede agilizar la preparación de materiales, pero exige que los docentes conozcan sus limitaciones y orienten su uso como apoyo y no como reemplazo de otras fuentes. Respecto de las instituciones, destacan riesgos de seguridad, privacidad, sesgos en la toma de decisiones automatizada y la necesidad de formación y de marcos regulatorios [51].</w:t>
      </w:r>
    </w:p>
    <w:p>
      <w:pPr>
        <w:spacing w:after="160" w:before="0" w:line="360"/>
        <w:ind w:firstLine="709"/>
        <w:jc w:val="both"/>
      </w:pPr>
      <w:r>
        <w:rPr>
          <w:rFonts w:ascii="Arial" w:cs="Arial" w:eastAsia="Arial" w:hAnsi="Arial"/>
          <w:sz w:val="24"/>
          <w:szCs w:val="24"/>
        </w:rPr>
        <w:t xml:space="preserve">En la misma línea, Legaspi Barajas identifica cuatro preocupaciones en la educación superior: la pérdida de habilidades críticas y analíticas por el uso excesivo de la IA, la dificultad de los sistemas actuales para detectar textos generados por IA, la ausencia de normativas claras y los retos para determinar si un trabajo refleja el esfuerzo intelectual del estudiante [48].</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“Jofre” se reemplazó por García-Peñalvo, autor real de [36]. El contenido de “Impacto en el alumnado, profesorado e institución” se trasladó desde el marco conceptual y se condensó aquí. Sullivan et al. se cita como fuente secundaria (“citado en [51]”), porque no está en su lista de referencias. Corrijan los autores de [51]: C. Gallent-Torres, A. Zapata-González y J. L. Ortego-Hernando, RELIEVE, vol. 29, 2023 (verifiquen el número de la revista y agreguen el DOI).</w:t>
      </w:r>
    </w:p>
    <w:p>
      <w:pPr>
        <w:pStyle w:val="Heading3"/>
        <w:keepNext/>
        <w:spacing w:after="140" w:before="220"/>
      </w:pPr>
      <w:r>
        <w:rPr>
          <w:rFonts w:ascii="Arial" w:cs="Arial" w:eastAsia="Arial" w:hAnsi="Arial"/>
          <w:b/>
          <w:bCs/>
          <w:i/>
          <w:iCs/>
          <w:color w:val="000000"/>
          <w:sz w:val="24"/>
          <w:szCs w:val="24"/>
        </w:rPr>
        <w:t xml:space="preserve">2.5.2. Estudios sobre detección de similitud y autoría</w:t>
      </w:r>
    </w:p>
    <w:p>
      <w:pPr>
        <w:spacing w:after="160" w:before="0" w:line="360"/>
        <w:jc w:val="both"/>
      </w:pPr>
      <w:r>
        <w:rPr>
          <w:rFonts w:ascii="Arial" w:cs="Arial" w:eastAsia="Arial" w:hAnsi="Arial"/>
          <w:sz w:val="24"/>
          <w:szCs w:val="24"/>
        </w:rPr>
        <w:t xml:space="preserve">La Tabla 1 resume los estudios que sirven de antecedente técnico a este trabajo, con su enfoque, su hallazgo principal y su relación con este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00"/>
        <w:gridCol w:w="21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Estudio</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Enfoque</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Hallazgo principal</w:t>
            </w:r>
          </w:p>
        </w:tc>
        <w:tc>
          <w:tcPr>
            <w:tcW w:type="dxa" w:w="2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Relación con este trabajo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Barrón-Cedeño y Rosso [19]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Comparación de n-gramas de palabras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Los n-gramas permiten la detección automática de fragmentos reutilizados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Fundamento del componente léxico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Potthast et al. [N15]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Marco de evaluación PAN para detección de plagio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Propone corpus y medidas estandarizadas, incluida PlagDet</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Referencia para evaluar el prototipo con métricas comparables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Quidwai, Li y Dube [6]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Embeddings y análisis discriminante a nivel de oración y documento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Exactitud de 94 % al distinguir respuestas humanas y generadas por ChatGPT en el conjunto HC3, en inglés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Muestra el potencial de combinar representaciones semánticas y análisis por segmentos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Sajid et al. [40]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Revisión de 189 estudios (2019–2024)</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 combinación de metodologías léxicas, semánticas y sintácticas es la línea más prometedora</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Justifica el enfoque híbrido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Muñoz-Ortiz et al. [N8]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Comparación lingüística de textos humanos y de seis LLM</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 texto humano presenta mayor dispersión en la longitud de las oraciones y mayor variedad léxica</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Sustenta el uso de rasgos estilométricos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Weber-Wulff et al. [N1]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Prueba de 14 herramientas de detección de texto generado por IA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Las herramientas no son precisas ni confiables, y su desempeño empeora con la ofuscación del texto</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Advierte sobre los límites de los detectores automáticos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Liang et al. [N2]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Evaluación de siete detectores de texto generado por IA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Más de la mitad de los ensayos de hablantes no nativos del inglés fueron clasificados como generados por IA</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Evidencia el riesgo de falsos positivos y sesgo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Pezuk et al. [46]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Comparación de programas de detección de plagio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Las versiones gratuitas no detectaron la mayoría de los casos identificados por otros programas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Muestra la variabilidad entre herramientas</w:t>
            </w:r>
          </w:p>
        </w:tc>
      </w:tr>
    </w:tbl>
    <w:p>
      <w:pPr>
        <w:spacing w:after="40" w:before="120" w:line="360"/>
        <w:jc w:val="center"/>
      </w:pPr>
      <w:r>
        <w:rPr>
          <w:rFonts w:ascii="Arial" w:cs="Arial" w:eastAsia="Arial" w:hAnsi="Arial"/>
          <w:b/>
          <w:bCs/>
          <w:sz w:val="20"/>
          <w:szCs w:val="20"/>
        </w:rPr>
        <w:t xml:space="preserve">Tab. 1. Estudios de referencia sobre detección de similitud y autoría</w:t>
      </w:r>
    </w:p>
    <w:p>
      <w:pPr>
        <w:spacing w:after="240" w:before="0" w:line="360"/>
        <w:jc w:val="center"/>
      </w:pPr>
      <w:r>
        <w:rPr>
          <w:rFonts w:ascii="Arial" w:cs="Arial" w:eastAsia="Arial" w:hAnsi="Arial"/>
          <w:sz w:val="20"/>
          <w:szCs w:val="20"/>
        </w:rPr>
        <w:t xml:space="preserve">Nota: Elaboración propia a partir de [6], [19], [40], [46], [N1], [N2], [N8], [N15]</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tabla es nueva: el estado del arte original casi no reportaba estudios comparables. Si quieren incluir [18], [20] o [21], lean primero sus resultados y agreguen una fila con datos concretos. Verifiquen la cifra de 94 % en [6]: está reportada para el conjunto HC3.</w:t>
      </w:r>
    </w:p>
    <w:p>
      <w:pPr>
        <w:pStyle w:val="Heading3"/>
        <w:keepNext/>
        <w:spacing w:after="140" w:before="220"/>
      </w:pPr>
      <w:r>
        <w:rPr>
          <w:rFonts w:ascii="Arial" w:cs="Arial" w:eastAsia="Arial" w:hAnsi="Arial"/>
          <w:b/>
          <w:bCs/>
          <w:i/>
          <w:iCs/>
          <w:color w:val="000000"/>
          <w:sz w:val="24"/>
          <w:szCs w:val="24"/>
        </w:rPr>
        <w:t xml:space="preserve">2.5.3. Herramientas de detección y detectores de inteligencia artificial</w:t>
      </w:r>
    </w:p>
    <w:p>
      <w:pPr>
        <w:spacing w:after="160" w:before="0" w:line="360"/>
        <w:jc w:val="both"/>
      </w:pPr>
      <w:r>
        <w:rPr>
          <w:rFonts w:ascii="Arial" w:cs="Arial" w:eastAsia="Arial" w:hAnsi="Arial"/>
          <w:sz w:val="24"/>
          <w:szCs w:val="24"/>
        </w:rPr>
        <w:t xml:space="preserve">Los programas de detección de similitud comparan un texto con bases de datos de documentos y páginas web y muestran las coincidencias encontradas; en el ámbito educativo, permiten a los docentes verificar la originalidad de los trabajos. Cortinhas y Deak recomiendan a los educadores combinar varias estrategias para prevenir y detectar el plagio, desde la búsqueda web hasta el uso de programas especializados [38]. La Tabla 2 presenta algunas de las herramientas más difundidas.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Herramienta</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Descripción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Turnitin</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Herramienta comercial que compara los trabajos con una base de datos de páginas web, publicaciones y trabajos estudiantiles, y genera un informe de similitud. [Completar el tamaño actual de la base de datos, con fuente y fecha de consulta.]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Compilatio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Herramienta comercial que genera informes de similitud e incorpora la detección de texto generado por IA. Utilizada en la Universidad Central del Ecuador por los docentes tutores de trabajos de titulación.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Plagiarism Detector</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Servicio web con versión gratuita limitada en número de palabras y versión de pago sin ese límite.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Dupli Checker</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Servicio web gratuito que permite pegar texto o cargar archivos PDF o Word y señala las fuentes coincidentes.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Grammarly</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Asistente de escritura que revisa gramática, ortografía y estilo; su función de detección de plagio forma parte de la versión de pago.</w:t>
            </w:r>
          </w:p>
        </w:tc>
      </w:tr>
    </w:tbl>
    <w:p>
      <w:pPr>
        <w:spacing w:after="40" w:before="120" w:line="360"/>
        <w:jc w:val="center"/>
      </w:pPr>
      <w:r>
        <w:rPr>
          <w:rFonts w:ascii="Arial" w:cs="Arial" w:eastAsia="Arial" w:hAnsi="Arial"/>
          <w:b/>
          <w:bCs/>
          <w:sz w:val="20"/>
          <w:szCs w:val="20"/>
        </w:rPr>
        <w:t xml:space="preserve">Tab. 2. Herramientas de detección de similitud</w:t>
      </w:r>
    </w:p>
    <w:p>
      <w:pPr>
        <w:spacing w:after="240" w:before="0" w:line="360"/>
        <w:jc w:val="center"/>
      </w:pPr>
      <w:r>
        <w:rPr>
          <w:rFonts w:ascii="Arial" w:cs="Arial" w:eastAsia="Arial" w:hAnsi="Arial"/>
          <w:sz w:val="20"/>
          <w:szCs w:val="20"/>
        </w:rPr>
        <w:t xml:space="preserve">Nota: Adaptado de [38], [46] y de los sitios oficiales de cada herramienta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corrigió “Compilation” por “Compilatio” y se eliminó el “34” suelto. Las cifras de Turnitin (60 mil millones de sitios web y 600 millones de trabajos) no tenían fuente: tómenlas del sitio oficial e indiquen la fecha de consulta. Verifiquen en los sitios oficiales el estado actual de cada servicio (límites gratuitos y funciones de pago), porque cambian con frecuencia. La mención de Compilatio en la UCE proviene de la fuente [REF-UCE] indicada para el Capítulo 1.</w:t>
      </w:r>
    </w:p>
    <w:p>
      <w:pPr>
        <w:keepNext/>
        <w:spacing w:after="80" w:before="0" w:line="360"/>
        <w:jc w:val="both"/>
      </w:pPr>
      <w:r>
        <w:rPr>
          <w:rFonts w:ascii="Arial" w:cs="Arial" w:eastAsia="Arial" w:hAnsi="Arial"/>
          <w:b/>
          <w:bCs/>
          <w:sz w:val="24"/>
          <w:szCs w:val="24"/>
        </w:rPr>
        <w:t xml:space="preserve">a. Problema de la caja negra</w:t>
      </w:r>
    </w:p>
    <w:p>
      <w:pPr>
        <w:spacing w:after="160" w:before="0" w:line="360"/>
        <w:jc w:val="both"/>
      </w:pPr>
      <w:r>
        <w:rPr>
          <w:rFonts w:ascii="Arial" w:cs="Arial" w:eastAsia="Arial" w:hAnsi="Arial"/>
          <w:sz w:val="24"/>
          <w:szCs w:val="24"/>
        </w:rPr>
        <w:t xml:space="preserve">Los modelos de aprendizaje automático, en particular los de aprendizaje profundo, alcanzan tras su entrenamiento un estado interno tan complejo que resulta difícil explicar cómo transforman una entrada en una salida. Este fenómeno se conoce como el problema de la “caja negra algorítmica” [42]. En educación, el uso de algoritmos opacos para evaluar el desempeño plantea preguntas sobre qué problemas resuelven, qué intereses los impulsan y qué efectos no deseados pueden producir [43]. En la detección de plagio, la opacidad impide que el docente explique al estudiante por qué su trabajo fue señalado.</w:t>
      </w:r>
    </w:p>
    <w:p>
      <w:pPr>
        <w:keepNext/>
        <w:spacing w:after="80" w:before="0" w:line="360"/>
        <w:jc w:val="both"/>
      </w:pPr>
      <w:r>
        <w:rPr>
          <w:rFonts w:ascii="Arial" w:cs="Arial" w:eastAsia="Arial" w:hAnsi="Arial"/>
          <w:b/>
          <w:bCs/>
          <w:sz w:val="24"/>
          <w:szCs w:val="24"/>
        </w:rPr>
        <w:t xml:space="preserve">b. Falsos positivos</w:t>
      </w:r>
    </w:p>
    <w:p>
      <w:pPr>
        <w:spacing w:after="160" w:before="0" w:line="360"/>
        <w:jc w:val="both"/>
      </w:pPr>
      <w:r>
        <w:rPr>
          <w:rFonts w:ascii="Arial" w:cs="Arial" w:eastAsia="Arial" w:hAnsi="Arial"/>
          <w:sz w:val="24"/>
          <w:szCs w:val="24"/>
        </w:rPr>
        <w:t xml:space="preserve">Un falso positivo ocurre cuando un sistema señala como irregular un caso que no lo es; en este contexto, cuando clasifica como plagio o como texto generado por IA un trabajo escrito legítimamente por el estudiante. Weber-Wulff et al. evaluaron catorce herramientas de detección de texto generado por IA y concluyeron que ninguna es precisa ni confiable de manera consistente [N1]. Liang et al. mostraron que estos detectores clasifican con mucha mayor frecuencia como “generados por IA” los textos de personas que no son hablantes nativas del inglés [N2]. Estos errores pueden derivar en sanciones injustificadas y en desconfianza hacia los procesos de evaluación, por lo que los detectores deben emplearse como herramientas de apoyo y no como mecanismos definitivos de juicio [N1].</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“Khalil et al. [44]” se reemplazó, porque [44] es un estudio sobre motivación intrínseca y pensamiento computacional; eliminen [44] de la lista. Se eliminó el ejemplo de ciberataques industriales, que no tenía cita ni relación con el tema.</w:t>
      </w:r>
    </w:p>
    <w:p>
      <w:pPr>
        <w:pStyle w:val="Heading3"/>
        <w:keepNext/>
        <w:spacing w:after="140" w:before="220"/>
      </w:pPr>
      <w:r>
        <w:rPr>
          <w:rFonts w:ascii="Arial" w:cs="Arial" w:eastAsia="Arial" w:hAnsi="Arial"/>
          <w:b/>
          <w:bCs/>
          <w:i/>
          <w:iCs/>
          <w:color w:val="000000"/>
          <w:sz w:val="24"/>
          <w:szCs w:val="24"/>
        </w:rPr>
        <w:t xml:space="preserve">2.5.4. Brechas identificadas</w:t>
      </w:r>
    </w:p>
    <w:p>
      <w:pPr>
        <w:spacing w:after="160" w:before="0" w:line="360"/>
        <w:jc w:val="both"/>
      </w:pPr>
      <w:r>
        <w:rPr>
          <w:rFonts w:ascii="Arial" w:cs="Arial" w:eastAsia="Arial" w:hAnsi="Arial"/>
          <w:sz w:val="24"/>
          <w:szCs w:val="24"/>
        </w:rPr>
        <w:t xml:space="preserve">A partir de la revisión anterior se identifican tres brechas que orientan el desarrollo del prototipo.</w:t>
      </w:r>
    </w:p>
    <w:p>
      <w:pPr>
        <w:keepNext/>
        <w:spacing w:after="80" w:before="0" w:line="360"/>
        <w:jc w:val="both"/>
      </w:pPr>
      <w:r>
        <w:rPr>
          <w:rFonts w:ascii="Arial" w:cs="Arial" w:eastAsia="Arial" w:hAnsi="Arial"/>
          <w:b/>
          <w:bCs/>
          <w:sz w:val="24"/>
          <w:szCs w:val="24"/>
        </w:rPr>
        <w:t xml:space="preserve">a. Falta de transparencia</w:t>
      </w:r>
    </w:p>
    <w:p>
      <w:pPr>
        <w:spacing w:after="160" w:before="0" w:line="360"/>
        <w:jc w:val="both"/>
      </w:pPr>
      <w:r>
        <w:rPr>
          <w:rFonts w:ascii="Arial" w:cs="Arial" w:eastAsia="Arial" w:hAnsi="Arial"/>
          <w:sz w:val="24"/>
          <w:szCs w:val="24"/>
        </w:rPr>
        <w:t xml:space="preserve">Las herramientas comerciales no publican los algoritmos, criterios ni umbrales con los que clasifican un texto, y los detectores de IA ofrecen resultados cuya fiabilidad ha sido cuestionada [N1], [42]. Esto limita la capacidad de docentes e instituciones para interpretar y justificar los resultados ante los estudiantes.</w:t>
      </w:r>
    </w:p>
    <w:p>
      <w:pPr>
        <w:keepNext/>
        <w:spacing w:after="80" w:before="0" w:line="360"/>
        <w:jc w:val="both"/>
      </w:pPr>
      <w:r>
        <w:rPr>
          <w:rFonts w:ascii="Arial" w:cs="Arial" w:eastAsia="Arial" w:hAnsi="Arial"/>
          <w:b/>
          <w:bCs/>
          <w:sz w:val="24"/>
          <w:szCs w:val="24"/>
        </w:rPr>
        <w:t xml:space="preserve">b. Escasez de alternativas de código abierto evaluadas</w:t>
      </w:r>
    </w:p>
    <w:p>
      <w:pPr>
        <w:spacing w:after="160" w:before="0" w:line="360"/>
        <w:jc w:val="both"/>
      </w:pPr>
      <w:r>
        <w:rPr>
          <w:rFonts w:ascii="Arial" w:cs="Arial" w:eastAsia="Arial" w:hAnsi="Arial"/>
          <w:sz w:val="24"/>
          <w:szCs w:val="24"/>
        </w:rPr>
        <w:t xml:space="preserve">Los resultados de la verificación varían según el programa utilizado, y las versiones gratuitas de algunas herramientas no detectaron la mayoría de los casos que otros programas sí identificaron [46]. Sin acceso al código ni a la metodología de estos sistemas, no es posible reproducir sus resultados ni adaptarlos al contexto de cada institución.</w:t>
      </w:r>
    </w:p>
    <w:p>
      <w:pPr>
        <w:keepNext/>
        <w:spacing w:after="80" w:before="0" w:line="360"/>
        <w:jc w:val="both"/>
      </w:pPr>
      <w:r>
        <w:rPr>
          <w:rFonts w:ascii="Arial" w:cs="Arial" w:eastAsia="Arial" w:hAnsi="Arial"/>
          <w:b/>
          <w:bCs/>
          <w:sz w:val="24"/>
          <w:szCs w:val="24"/>
        </w:rPr>
        <w:t xml:space="preserve">c. Ausencia de referentes de evaluación en español y en el contexto local</w:t>
      </w:r>
    </w:p>
    <w:p>
      <w:pPr>
        <w:spacing w:after="160" w:before="0" w:line="360"/>
        <w:jc w:val="both"/>
      </w:pPr>
      <w:r>
        <w:rPr>
          <w:rFonts w:ascii="Arial" w:cs="Arial" w:eastAsia="Arial" w:hAnsi="Arial"/>
          <w:sz w:val="24"/>
          <w:szCs w:val="24"/>
        </w:rPr>
        <w:t xml:space="preserve">Los marcos de evaluación más utilizados, como los de las competencias PAN, se construyeron principalmente con textos en inglés [N15], lo que reduce la validez de sus resultados cuando las herramientas se aplican a textos académicos en español. A ello se suma que el software de detección disponible es poco eficaz frente al fraude académico por encargo [47] y que en Ecuador no existe un marco normativo específico sobre el uso de la IA en los trabajos de titulación [N22]. En la Universidad Central del Ecuador, la verificación de originalidad se ha apoyado en herramientas comerciales licenciadas, como Urkund y Compilatio [55], [61]. Estas condiciones justifican el desarrollo de prototipos evaluados con documentos del propio contexto académico.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se eliminó el primer párrafo, que repetía literalmente el último de 2.5.3. También se eliminaron el párrafo de [45] sobre robótica y calidad de vida (su enlace, además, es una página de Cloudflare) y el párrafo sobre “datos de código de alta calidad”, que no tenía cita ni relación con el tema. Corrijan los autores y el año de [47]: hoy aparecen como “C. T. a LastName” y el año como “21d. C.”. Según su enlace, es un artículo de Heliyon de 2022; tomen los autores de la página del artículo.</w:t>
      </w:r>
    </w:p>
    <w:p>
      <w:pPr>
        <w:spacing w:after="160" w:before="0" w:line="360"/>
        <w:ind w:firstLine="709"/>
        <w:jc w:val="both"/>
      </w:pPr>
      <w:r>
        <w:rPr>
          <w:rFonts w:ascii="Arial" w:cs="Arial" w:eastAsia="Arial" w:hAnsi="Arial"/>
          <w:sz w:val="24"/>
          <w:szCs w:val="24"/>
        </w:rPr>
        <w:t xml:space="preserve">La Tabla 3 sintetiza los enfoques revisados y su relación con la propuesta de esta tesis.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Categoría / fuente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Contexto</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Fortalezas</w:t>
            </w:r>
          </w:p>
        </w:tc>
        <w:tc>
          <w:tcPr>
            <w:tcW w:type="dxa" w:w="2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Limitaciones o brechas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Herramientas comerciales (Turnitin, Compilatio, Copyleaks)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Internacional</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Amplias bases de datos; informes detallados de coincidencias</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Criterios no transparentes; licencias pagadas; código cerrado [N1]</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Herramientas gratuitas web (Plagiarism Detector, Dupli Checker)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Internacional</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Acceso rápido y sin costo</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Límites de extensión; baja detección en casos reales [46]</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Detección de texto generado por IA [6]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EE. UU., 2023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por oración y documento con embeddings</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Evaluado en inglés; no aborda la verificación de autoría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Evaluación de detectores de IA [N1], [N2]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Europa y EE. UU., 2023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Evidencia independiente sobre el desempeño de los detectores</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Baja fiabilidad; sesgo contra hablantes no nativos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Enfoque ético e institucional [51]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España, 2023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de riesgos para estudiantes, docentes e instituciones</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propone una herramienta técnica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Contexto latinoamericano [39]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Brasil, 2023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Evidencia de plagio en respuestas de estudiantes durante la pandemia</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Estudio diagnóstico; no propone una herramienta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Contexto ecuatoriano [N22]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Ecuador, 2025</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Identifica el vacío normativo sobre IA en trabajos de titulación</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propone una herramienta técnica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Propuesta de esta tesis (Capítulo 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Ecuador, 2026</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Integra similitud léxica, similitud semántica y análisis estilométrico con herramientas de código abierto</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Busca atender las brechas a, b y c de la sección 2.5.4; su alcance y limitaciones se discuten en el Capítulo 4</w:t>
            </w:r>
          </w:p>
        </w:tc>
      </w:tr>
    </w:tbl>
    <w:p>
      <w:pPr>
        <w:spacing w:after="40" w:before="120" w:line="360"/>
        <w:jc w:val="center"/>
      </w:pPr>
      <w:r>
        <w:rPr>
          <w:rFonts w:ascii="Arial" w:cs="Arial" w:eastAsia="Arial" w:hAnsi="Arial"/>
          <w:b/>
          <w:bCs/>
          <w:sz w:val="20"/>
          <w:szCs w:val="20"/>
        </w:rPr>
        <w:t xml:space="preserve">Tab. 3. Enfoques utilizados para la detección de similitud, plagio y contenido generado mediante inteligencia artificial</w:t>
      </w:r>
    </w:p>
    <w:p>
      <w:pPr>
        <w:spacing w:after="240" w:before="0" w:line="360"/>
        <w:jc w:val="center"/>
      </w:pPr>
      <w:r>
        <w:rPr>
          <w:rFonts w:ascii="Arial" w:cs="Arial" w:eastAsia="Arial" w:hAnsi="Arial"/>
          <w:sz w:val="20"/>
          <w:szCs w:val="20"/>
        </w:rPr>
        <w:t xml:space="preserve">Nota: Adaptado de [6], [39], [46], [51], [N1], [N2], [N22]</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es la antigua Tabla 2, trasladada del marco conceptual al estado del arte. Cambios: la fila “Ecuador 2024” no tenía fuente y ahora se respalda con [N22]. La fila de la propuesta solo sitúa el trabajo frente a las brechas; ya no promete “detección de textos generados por IA” ni “transparencia total”, y sus resultados se reservan para el Capítulo 4. La nota de fuentes original citaba [41], [44] y [50], que no corresponden a ninguna fila.</w:t>
      </w:r>
    </w:p>
    <w:p>
      <w:pPr>
        <w:pStyle w:val="Heading2"/>
        <w:keepNext/>
        <w:spacing w:after="160" w:before="280"/>
      </w:pPr>
      <w:r>
        <w:rPr>
          <w:rFonts w:ascii="Arial" w:cs="Arial" w:eastAsia="Arial" w:hAnsi="Arial"/>
          <w:b/>
          <w:bCs/>
          <w:color w:val="000000"/>
          <w:sz w:val="24"/>
          <w:szCs w:val="24"/>
        </w:rPr>
        <w:t xml:space="preserve">2.6. Marco conceptual</w:t>
      </w:r>
    </w:p>
    <w:p>
      <w:pPr>
        <w:spacing w:after="160" w:before="0" w:line="360"/>
        <w:jc w:val="both"/>
      </w:pPr>
      <w:r>
        <w:rPr>
          <w:rFonts w:ascii="Arial" w:cs="Arial" w:eastAsia="Arial" w:hAnsi="Arial"/>
          <w:sz w:val="24"/>
          <w:szCs w:val="24"/>
        </w:rPr>
        <w:t xml:space="preserve">Para efectos de esta investigación, se adoptan las siguientes definiciones:</w:t>
      </w:r>
    </w:p>
    <w:p>
      <w:pPr>
        <w:spacing w:after="120" w:line="360"/>
        <w:jc w:val="both"/>
      </w:pPr>
      <w:r>
        <w:rPr>
          <w:rFonts w:ascii="Arial" w:cs="Arial" w:eastAsia="Arial" w:hAnsi="Arial"/>
          <w:b/>
          <w:bCs/>
          <w:sz w:val="24"/>
          <w:szCs w:val="24"/>
        </w:rPr>
        <w:t xml:space="preserve">Inteligencia artificial (IA): </w:t>
      </w:r>
      <w:r>
        <w:rPr>
          <w:rFonts w:ascii="Arial" w:cs="Arial" w:eastAsia="Arial" w:hAnsi="Arial"/>
          <w:sz w:val="24"/>
          <w:szCs w:val="24"/>
        </w:rPr>
        <w:t xml:space="preserve">Campo que estudia y diseña sistemas capaces de realizar tareas asociadas a la inteligencia humana, como el aprendizaje, el razonamiento y la comprensión del lenguaje [11].</w:t>
      </w:r>
    </w:p>
    <w:p>
      <w:pPr>
        <w:spacing w:after="120" w:line="360"/>
        <w:jc w:val="both"/>
      </w:pPr>
      <w:r>
        <w:rPr>
          <w:rFonts w:ascii="Arial" w:cs="Arial" w:eastAsia="Arial" w:hAnsi="Arial"/>
          <w:b/>
          <w:bCs/>
          <w:sz w:val="24"/>
          <w:szCs w:val="24"/>
        </w:rPr>
        <w:t xml:space="preserve">Procesamiento del lenguaje natural (PLN): </w:t>
      </w:r>
      <w:r>
        <w:rPr>
          <w:rFonts w:ascii="Arial" w:cs="Arial" w:eastAsia="Arial" w:hAnsi="Arial"/>
          <w:sz w:val="24"/>
          <w:szCs w:val="24"/>
        </w:rPr>
        <w:t xml:space="preserve">Área de la IA orientada a que los sistemas computacionales comprendan, interpreten y generen lenguaje humano [13], [N18].</w:t>
      </w:r>
    </w:p>
    <w:p>
      <w:pPr>
        <w:spacing w:after="120" w:line="360"/>
        <w:jc w:val="both"/>
      </w:pPr>
      <w:r>
        <w:rPr>
          <w:rFonts w:ascii="Arial" w:cs="Arial" w:eastAsia="Arial" w:hAnsi="Arial"/>
          <w:b/>
          <w:bCs/>
          <w:sz w:val="24"/>
          <w:szCs w:val="24"/>
        </w:rPr>
        <w:t xml:space="preserve">Modelo de lenguaje de gran escala (LLM): </w:t>
      </w:r>
      <w:r>
        <w:rPr>
          <w:rFonts w:ascii="Arial" w:cs="Arial" w:eastAsia="Arial" w:hAnsi="Arial"/>
          <w:sz w:val="24"/>
          <w:szCs w:val="24"/>
        </w:rPr>
        <w:t xml:space="preserve">Red neuronal de gran tamaño, basada en la arquitectura Transformer, entrenada sobre extensos corpus para predecir y generar texto [16], [N3].</w:t>
      </w:r>
    </w:p>
    <w:p>
      <w:pPr>
        <w:spacing w:after="120" w:line="360"/>
        <w:jc w:val="both"/>
      </w:pPr>
      <w:r>
        <w:rPr>
          <w:rFonts w:ascii="Arial" w:cs="Arial" w:eastAsia="Arial" w:hAnsi="Arial"/>
          <w:b/>
          <w:bCs/>
          <w:sz w:val="24"/>
          <w:szCs w:val="24"/>
        </w:rPr>
        <w:t xml:space="preserve">Embedding: </w:t>
      </w:r>
      <w:r>
        <w:rPr>
          <w:rFonts w:ascii="Arial" w:cs="Arial" w:eastAsia="Arial" w:hAnsi="Arial"/>
          <w:sz w:val="24"/>
          <w:szCs w:val="24"/>
        </w:rPr>
        <w:t xml:space="preserve">Representación de una palabra, oración o documento como un vector numérico denso, en el que los significados cercanos ocupan posiciones próximas [N10], [N12].</w:t>
      </w:r>
    </w:p>
    <w:p>
      <w:pPr>
        <w:spacing w:after="120" w:line="360"/>
        <w:jc w:val="both"/>
      </w:pPr>
      <w:r>
        <w:rPr>
          <w:rFonts w:ascii="Arial" w:cs="Arial" w:eastAsia="Arial" w:hAnsi="Arial"/>
          <w:b/>
          <w:bCs/>
          <w:sz w:val="24"/>
          <w:szCs w:val="24"/>
        </w:rPr>
        <w:t xml:space="preserve">TF-IDF: </w:t>
      </w:r>
      <w:r>
        <w:rPr>
          <w:rFonts w:ascii="Arial" w:cs="Arial" w:eastAsia="Arial" w:hAnsi="Arial"/>
          <w:sz w:val="24"/>
          <w:szCs w:val="24"/>
        </w:rPr>
        <w:t xml:space="preserve">Ponderación que asigna a cada término un peso proporcional a su frecuencia en un documento e inverso a su frecuencia en el corpus [N11].</w:t>
      </w:r>
    </w:p>
    <w:p>
      <w:pPr>
        <w:spacing w:after="120" w:line="360"/>
        <w:jc w:val="both"/>
      </w:pPr>
      <w:r>
        <w:rPr>
          <w:rFonts w:ascii="Arial" w:cs="Arial" w:eastAsia="Arial" w:hAnsi="Arial"/>
          <w:b/>
          <w:bCs/>
          <w:sz w:val="24"/>
          <w:szCs w:val="24"/>
        </w:rPr>
        <w:t xml:space="preserve">Similitud léxica: </w:t>
      </w:r>
      <w:r>
        <w:rPr>
          <w:rFonts w:ascii="Arial" w:cs="Arial" w:eastAsia="Arial" w:hAnsi="Arial"/>
          <w:sz w:val="24"/>
          <w:szCs w:val="24"/>
        </w:rPr>
        <w:t xml:space="preserve">Grado de coincidencia entre dos textos en cuanto a las palabras o secuencias de palabras que comparten [19], [40].</w:t>
      </w:r>
    </w:p>
    <w:p>
      <w:pPr>
        <w:spacing w:after="120" w:line="360"/>
        <w:jc w:val="both"/>
      </w:pPr>
      <w:r>
        <w:rPr>
          <w:rFonts w:ascii="Arial" w:cs="Arial" w:eastAsia="Arial" w:hAnsi="Arial"/>
          <w:b/>
          <w:bCs/>
          <w:sz w:val="24"/>
          <w:szCs w:val="24"/>
        </w:rPr>
        <w:t xml:space="preserve">Similitud semántica: </w:t>
      </w:r>
      <w:r>
        <w:rPr>
          <w:rFonts w:ascii="Arial" w:cs="Arial" w:eastAsia="Arial" w:hAnsi="Arial"/>
          <w:sz w:val="24"/>
          <w:szCs w:val="24"/>
        </w:rPr>
        <w:t xml:space="preserve">Grado de cercanía entre los significados de dos textos, con independencia de las palabras exactas utilizadas [40].</w:t>
      </w:r>
    </w:p>
    <w:p>
      <w:pPr>
        <w:spacing w:after="120" w:line="360"/>
        <w:jc w:val="both"/>
      </w:pPr>
      <w:r>
        <w:rPr>
          <w:rFonts w:ascii="Arial" w:cs="Arial" w:eastAsia="Arial" w:hAnsi="Arial"/>
          <w:b/>
          <w:bCs/>
          <w:sz w:val="24"/>
          <w:szCs w:val="24"/>
        </w:rPr>
        <w:t xml:space="preserve">Similitud del coseno: </w:t>
      </w:r>
      <w:r>
        <w:rPr>
          <w:rFonts w:ascii="Arial" w:cs="Arial" w:eastAsia="Arial" w:hAnsi="Arial"/>
          <w:sz w:val="24"/>
          <w:szCs w:val="24"/>
        </w:rPr>
        <w:t xml:space="preserve">Medida de similitud entre dos vectores basada en el ángulo que forman, independiente de su magnitud [N11].</w:t>
      </w:r>
    </w:p>
    <w:p>
      <w:pPr>
        <w:spacing w:after="120" w:line="360"/>
        <w:jc w:val="both"/>
      </w:pPr>
      <w:r>
        <w:rPr>
          <w:rFonts w:ascii="Arial" w:cs="Arial" w:eastAsia="Arial" w:hAnsi="Arial"/>
          <w:b/>
          <w:bCs/>
          <w:sz w:val="24"/>
          <w:szCs w:val="24"/>
        </w:rPr>
        <w:t xml:space="preserve">Estilometría: </w:t>
      </w:r>
      <w:r>
        <w:rPr>
          <w:rFonts w:ascii="Arial" w:cs="Arial" w:eastAsia="Arial" w:hAnsi="Arial"/>
          <w:sz w:val="24"/>
          <w:szCs w:val="24"/>
        </w:rPr>
        <w:t xml:space="preserve">Estudio cuantitativo del estilo de escritura a partir de rasgos lingüísticos medibles [22].</w:t>
      </w:r>
    </w:p>
    <w:p>
      <w:pPr>
        <w:spacing w:after="120" w:line="360"/>
        <w:jc w:val="both"/>
      </w:pPr>
      <w:r>
        <w:rPr>
          <w:rFonts w:ascii="Arial" w:cs="Arial" w:eastAsia="Arial" w:hAnsi="Arial"/>
          <w:b/>
          <w:bCs/>
          <w:sz w:val="24"/>
          <w:szCs w:val="24"/>
        </w:rPr>
        <w:t xml:space="preserve">Verificación de autoría: </w:t>
      </w:r>
      <w:r>
        <w:rPr>
          <w:rFonts w:ascii="Arial" w:cs="Arial" w:eastAsia="Arial" w:hAnsi="Arial"/>
          <w:sz w:val="24"/>
          <w:szCs w:val="24"/>
        </w:rPr>
        <w:t xml:space="preserve">Determinación de si un texto fue escrito por un autor dado, a partir de la comparación de su estilo con textos conocidos de ese autor [N16].</w:t>
      </w:r>
    </w:p>
    <w:p>
      <w:pPr>
        <w:spacing w:after="120" w:line="360"/>
        <w:jc w:val="both"/>
      </w:pPr>
      <w:r>
        <w:rPr>
          <w:rFonts w:ascii="Arial" w:cs="Arial" w:eastAsia="Arial" w:hAnsi="Arial"/>
          <w:b/>
          <w:bCs/>
          <w:sz w:val="24"/>
          <w:szCs w:val="24"/>
        </w:rPr>
        <w:t xml:space="preserve">Plagio: </w:t>
      </w:r>
      <w:r>
        <w:rPr>
          <w:rFonts w:ascii="Arial" w:cs="Arial" w:eastAsia="Arial" w:hAnsi="Arial"/>
          <w:sz w:val="24"/>
          <w:szCs w:val="24"/>
        </w:rPr>
        <w:t xml:space="preserve">Presentación como propio de un texto, idea o resultado ajeno sin la atribución correspondiente, ya sea mediante copia literal o parafraseo [40].</w:t>
      </w:r>
    </w:p>
    <w:p>
      <w:pPr>
        <w:spacing w:after="120" w:line="360"/>
        <w:jc w:val="both"/>
      </w:pPr>
      <w:r>
        <w:rPr>
          <w:rFonts w:ascii="Arial" w:cs="Arial" w:eastAsia="Arial" w:hAnsi="Arial"/>
          <w:b/>
          <w:bCs/>
          <w:sz w:val="24"/>
          <w:szCs w:val="24"/>
        </w:rPr>
        <w:t xml:space="preserve">Plagio 3.0: </w:t>
      </w:r>
      <w:r>
        <w:rPr>
          <w:rFonts w:ascii="Arial" w:cs="Arial" w:eastAsia="Arial" w:hAnsi="Arial"/>
          <w:sz w:val="24"/>
          <w:szCs w:val="24"/>
        </w:rPr>
        <w:t xml:space="preserve">Denominación adoptada en esta investigación para la presentación como propia de un contenido generado o reformulado mediante modelos de lenguaje, que conserva las ideas de la fuente sin coincidencias literales.</w:t>
      </w:r>
    </w:p>
    <w:p>
      <w:pPr>
        <w:spacing w:after="120" w:line="360"/>
        <w:jc w:val="both"/>
      </w:pPr>
      <w:r>
        <w:rPr>
          <w:rFonts w:ascii="Arial" w:cs="Arial" w:eastAsia="Arial" w:hAnsi="Arial"/>
          <w:b/>
          <w:bCs/>
          <w:sz w:val="24"/>
          <w:szCs w:val="24"/>
        </w:rPr>
        <w:t xml:space="preserve">Falso positivo: </w:t>
      </w:r>
      <w:r>
        <w:rPr>
          <w:rFonts w:ascii="Arial" w:cs="Arial" w:eastAsia="Arial" w:hAnsi="Arial"/>
          <w:sz w:val="24"/>
          <w:szCs w:val="24"/>
        </w:rPr>
        <w:t xml:space="preserve">Caso en que un sistema de detección señala como irregular un texto que no lo es [N1].</w:t>
      </w:r>
    </w:p>
    <w:p>
      <w:pPr>
        <w:spacing w:after="120" w:line="360"/>
        <w:jc w:val="both"/>
      </w:pPr>
      <w:r>
        <w:rPr>
          <w:rFonts w:ascii="Arial" w:cs="Arial" w:eastAsia="Arial" w:hAnsi="Arial"/>
          <w:b/>
          <w:bCs/>
          <w:sz w:val="24"/>
          <w:szCs w:val="24"/>
        </w:rPr>
        <w:t xml:space="preserve">Software de código abierto: </w:t>
      </w:r>
      <w:r>
        <w:rPr>
          <w:rFonts w:ascii="Arial" w:cs="Arial" w:eastAsia="Arial" w:hAnsi="Arial"/>
          <w:sz w:val="24"/>
          <w:szCs w:val="24"/>
        </w:rPr>
        <w:t xml:space="preserve">Software distribuido bajo una licencia que permite usar, estudiar, modificar y redistribuir su código fuente [N17].</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el marco conceptual original repetía el marco teórico (PLN, similitud léxica y semántica, estilometría), duplicaba literalmente el literal “Modelo de espacio vectorial” (b y c) y contenía la frase “el estudio no busca cuantificar datos”, copiada de [48], que contradice esta tesis. Ahora son definiciones breves. Los contenidos de [40] sobre n-gramas, análisis semántico latente y embeddings ya están cubiertos en 2.2. Se retiraron [49] y [50]: si desean conservarlos, corrijan su registro (en [49] los autores incluyen URL de Dialnet; en [50] el autor aparece duplicado).</w:t>
      </w:r>
    </w:p>
    <w:p>
      <w:pPr>
        <w:pStyle w:val="Heading2"/>
        <w:keepNext/>
        <w:spacing w:after="160" w:before="280"/>
      </w:pPr>
      <w:r>
        <w:rPr>
          <w:rFonts w:ascii="Arial" w:cs="Arial" w:eastAsia="Arial" w:hAnsi="Arial"/>
          <w:b/>
          <w:bCs/>
          <w:color w:val="000000"/>
          <w:sz w:val="24"/>
          <w:szCs w:val="24"/>
        </w:rPr>
        <w:t xml:space="preserve">2.7. Síntesis del capítulo</w:t>
      </w:r>
    </w:p>
    <w:p>
      <w:pPr>
        <w:spacing w:after="160" w:before="0" w:line="360"/>
        <w:jc w:val="both"/>
      </w:pPr>
      <w:r>
        <w:rPr>
          <w:rFonts w:ascii="Arial" w:cs="Arial" w:eastAsia="Arial" w:hAnsi="Arial"/>
          <w:sz w:val="24"/>
          <w:szCs w:val="24"/>
        </w:rPr>
        <w:t xml:space="preserve">La revisión teórica muestra que la detección de similitud basada únicamente en la coincidencia de palabras es insuficiente frente al parafraseo y al contenido generado por modelos de lenguaje. Las representaciones semánticas basadas en Transformer permiten comparar significados, y la estilometría aporta indicios sobre la consistencia de la autoría. Ambas pueden implementarse con tecnologías de código abierto. Al mismo tiempo, las herramientas disponibles presentan tres brechas: falta de transparencia, escasez de alternativas abiertas evaluadas y ausencia de referentes de evaluación en español y en el contexto local. Estas bases orientan el diseño del prototipo que se describe en el Capítulo 3.</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Sección nueva y opcional. Cierra el capítulo, resume lo esencial para el lector y conecta con el Capítulo 3. Si la guía de la carrera no admite una sección de síntesis, conviertan este párrafo en el cierre de 2.5.4.</w:t>
      </w:r>
    </w:p>
    <w:p>
      <w:r>
        <w:br w:type="page"/>
      </w:r>
    </w:p>
    <w:p>
      <w:pPr>
        <w:spacing w:after="80" w:before="0" w:line="360"/>
        <w:jc w:val="both"/>
      </w:pPr>
      <w:r>
        <w:rPr>
          <w:rFonts w:ascii="Arial" w:cs="Arial" w:eastAsia="Arial" w:hAnsi="Arial"/>
          <w:b/>
          <w:bCs/>
          <w:sz w:val="26"/>
          <w:szCs w:val="26"/>
        </w:rPr>
        <w:t xml:space="preserve">Referencias nuevas citadas en el Capítulo 2</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Todas estas obras existen y se verificaron. Antes de incorporarlas a su gestor bibliográfico, confirmen páginas, volumen y DOI, y ajústenlas al formato IEEE que usa la tesis.</w:t>
      </w:r>
    </w:p>
    <w:p>
      <w:pPr>
        <w:spacing w:after="100" w:line="276"/>
        <w:ind w:left="709" w:hanging="709"/>
      </w:pPr>
      <w:r>
        <w:rPr>
          <w:rFonts w:ascii="Arial" w:cs="Arial" w:eastAsia="Arial" w:hAnsi="Arial"/>
          <w:b/>
          <w:bCs/>
          <w:sz w:val="20"/>
          <w:szCs w:val="20"/>
        </w:rPr>
        <w:t xml:space="preserve">[N1]	</w:t>
      </w:r>
      <w:r>
        <w:rPr>
          <w:rFonts w:ascii="Arial" w:cs="Arial" w:eastAsia="Arial" w:hAnsi="Arial"/>
          <w:sz w:val="20"/>
          <w:szCs w:val="20"/>
        </w:rPr>
        <w:t xml:space="preserve">D. Weber-Wulff et al., “Testing of detection tools for AI-generated text,” International Journal for Educational Integrity, vol. 19, art. 26, 2023, doi: 10.1007/s40979-023-00146-z.</w:t>
      </w:r>
    </w:p>
    <w:p>
      <w:pPr>
        <w:spacing w:after="100" w:line="276"/>
        <w:ind w:left="709" w:hanging="709"/>
      </w:pPr>
      <w:r>
        <w:rPr>
          <w:rFonts w:ascii="Arial" w:cs="Arial" w:eastAsia="Arial" w:hAnsi="Arial"/>
          <w:b/>
          <w:bCs/>
          <w:sz w:val="20"/>
          <w:szCs w:val="20"/>
        </w:rPr>
        <w:t xml:space="preserve">[N2]	</w:t>
      </w:r>
      <w:r>
        <w:rPr>
          <w:rFonts w:ascii="Arial" w:cs="Arial" w:eastAsia="Arial" w:hAnsi="Arial"/>
          <w:sz w:val="20"/>
          <w:szCs w:val="20"/>
        </w:rPr>
        <w:t xml:space="preserve">W. Liang, M. Yuksekgonul, Y. Mao, E. Wu y J. Zou, “GPT detectors are biased against non-native English writers,” Patterns, vol. 4, núm. 7, p. 100779, 2023, doi: 10.1016/j.patter.2023.100779.</w:t>
      </w:r>
    </w:p>
    <w:p>
      <w:pPr>
        <w:spacing w:after="100" w:line="276"/>
        <w:ind w:left="709" w:hanging="709"/>
      </w:pPr>
      <w:r>
        <w:rPr>
          <w:rFonts w:ascii="Arial" w:cs="Arial" w:eastAsia="Arial" w:hAnsi="Arial"/>
          <w:b/>
          <w:bCs/>
          <w:sz w:val="20"/>
          <w:szCs w:val="20"/>
        </w:rPr>
        <w:t xml:space="preserve">[N3]	</w:t>
      </w:r>
      <w:r>
        <w:rPr>
          <w:rFonts w:ascii="Arial" w:cs="Arial" w:eastAsia="Arial" w:hAnsi="Arial"/>
          <w:sz w:val="20"/>
          <w:szCs w:val="20"/>
        </w:rPr>
        <w:t xml:space="preserve">A. Vaswani et al., “Attention is all you need,” en Advances in Neural Information Processing Systems 30 (NIPS 2017), 2017, pp. 5998–6008. (Reemplaza a [14] y [35].)</w:t>
      </w:r>
    </w:p>
    <w:p>
      <w:pPr>
        <w:spacing w:after="100" w:line="276"/>
        <w:ind w:left="709" w:hanging="709"/>
      </w:pPr>
      <w:r>
        <w:rPr>
          <w:rFonts w:ascii="Arial" w:cs="Arial" w:eastAsia="Arial" w:hAnsi="Arial"/>
          <w:b/>
          <w:bCs/>
          <w:sz w:val="20"/>
          <w:szCs w:val="20"/>
        </w:rPr>
        <w:t xml:space="preserve">[N4]	</w:t>
      </w:r>
      <w:r>
        <w:rPr>
          <w:rFonts w:ascii="Arial" w:cs="Arial" w:eastAsia="Arial" w:hAnsi="Arial"/>
          <w:sz w:val="20"/>
          <w:szCs w:val="20"/>
        </w:rPr>
        <w:t xml:space="preserve">J. Devlin, M.-W. Chang, K. Lee y K. Toutanova, “BERT: Pre-training of deep bidirectional transformers for language understanding,” en Proc. NAACL-HLT, 2019, pp. 4171–4186, doi: 10.18653/v1/N19-1423.</w:t>
      </w:r>
    </w:p>
    <w:p>
      <w:pPr>
        <w:spacing w:after="100" w:line="276"/>
        <w:ind w:left="709" w:hanging="709"/>
      </w:pPr>
      <w:r>
        <w:rPr>
          <w:rFonts w:ascii="Arial" w:cs="Arial" w:eastAsia="Arial" w:hAnsi="Arial"/>
          <w:b/>
          <w:bCs/>
          <w:sz w:val="20"/>
          <w:szCs w:val="20"/>
        </w:rPr>
        <w:t xml:space="preserve">[N5]	</w:t>
      </w:r>
      <w:r>
        <w:rPr>
          <w:rFonts w:ascii="Arial" w:cs="Arial" w:eastAsia="Arial" w:hAnsi="Arial"/>
          <w:sz w:val="20"/>
          <w:szCs w:val="20"/>
        </w:rPr>
        <w:t xml:space="preserve">A. Radford, K. Narasimhan, T. Salimans e I. Sutskever, “Improving language understanding by generative pre-training,” OpenAI, informe técnico, 2018.</w:t>
      </w:r>
    </w:p>
    <w:p>
      <w:pPr>
        <w:spacing w:after="100" w:line="276"/>
        <w:ind w:left="709" w:hanging="709"/>
      </w:pPr>
      <w:r>
        <w:rPr>
          <w:rFonts w:ascii="Arial" w:cs="Arial" w:eastAsia="Arial" w:hAnsi="Arial"/>
          <w:b/>
          <w:bCs/>
          <w:sz w:val="20"/>
          <w:szCs w:val="20"/>
        </w:rPr>
        <w:t xml:space="preserve">[N6]	</w:t>
      </w:r>
      <w:r>
        <w:rPr>
          <w:rFonts w:ascii="Arial" w:cs="Arial" w:eastAsia="Arial" w:hAnsi="Arial"/>
          <w:sz w:val="20"/>
          <w:szCs w:val="20"/>
        </w:rPr>
        <w:t xml:space="preserve">Z. Ji et al., “Survey of hallucination in natural language generation,” ACM Computing Surveys, vol. 55, núm. 12, art. 248, 2023, doi: 10.1145/3571730.</w:t>
      </w:r>
    </w:p>
    <w:p>
      <w:pPr>
        <w:spacing w:after="100" w:line="276"/>
        <w:ind w:left="709" w:hanging="709"/>
      </w:pPr>
      <w:r>
        <w:rPr>
          <w:rFonts w:ascii="Arial" w:cs="Arial" w:eastAsia="Arial" w:hAnsi="Arial"/>
          <w:b/>
          <w:bCs/>
          <w:sz w:val="20"/>
          <w:szCs w:val="20"/>
        </w:rPr>
        <w:t xml:space="preserve">[N7]	</w:t>
      </w:r>
      <w:r>
        <w:rPr>
          <w:rFonts w:ascii="Arial" w:cs="Arial" w:eastAsia="Arial" w:hAnsi="Arial"/>
          <w:sz w:val="20"/>
          <w:szCs w:val="20"/>
        </w:rPr>
        <w:t xml:space="preserve">N. Reimers e I. Gurevych, “Making monolingual sentence embeddings multilingual using knowledge distillation,” en Proc. EMNLP, 2020, pp. 4512–4525, doi: 10.18653/v1/2020.emnlp-main.365.</w:t>
      </w:r>
    </w:p>
    <w:p>
      <w:pPr>
        <w:spacing w:after="100" w:line="276"/>
        <w:ind w:left="709" w:hanging="709"/>
      </w:pPr>
      <w:r>
        <w:rPr>
          <w:rFonts w:ascii="Arial" w:cs="Arial" w:eastAsia="Arial" w:hAnsi="Arial"/>
          <w:b/>
          <w:bCs/>
          <w:sz w:val="20"/>
          <w:szCs w:val="20"/>
        </w:rPr>
        <w:t xml:space="preserve">[N8]	</w:t>
      </w:r>
      <w:r>
        <w:rPr>
          <w:rFonts w:ascii="Arial" w:cs="Arial" w:eastAsia="Arial" w:hAnsi="Arial"/>
          <w:sz w:val="20"/>
          <w:szCs w:val="20"/>
        </w:rPr>
        <w:t xml:space="preserve">A. Muñoz-Ortiz, C. Gómez-Rodríguez y D. Vilares, “Contrasting linguistic patterns in human and LLM-generated news text,” Artificial Intelligence Review, vol. 57, 2024. [Completar número de artículo y DOI; preprint: arXiv:2308.09067.]</w:t>
      </w:r>
    </w:p>
    <w:p>
      <w:pPr>
        <w:spacing w:after="100" w:line="276"/>
        <w:ind w:left="709" w:hanging="709"/>
      </w:pPr>
      <w:r>
        <w:rPr>
          <w:rFonts w:ascii="Arial" w:cs="Arial" w:eastAsia="Arial" w:hAnsi="Arial"/>
          <w:b/>
          <w:bCs/>
          <w:sz w:val="20"/>
          <w:szCs w:val="20"/>
        </w:rPr>
        <w:t xml:space="preserve">[N9]	</w:t>
      </w:r>
      <w:r>
        <w:rPr>
          <w:rFonts w:ascii="Arial" w:cs="Arial" w:eastAsia="Arial" w:hAnsi="Arial"/>
          <w:sz w:val="20"/>
          <w:szCs w:val="20"/>
        </w:rPr>
        <w:t xml:space="preserve">S. Hochreiter y J. Schmidhuber, “Long short-term memory,” Neural Computation, vol. 9, núm. 8, pp. 1735–1780, 1997, doi: 10.1162/neco.1997.9.8.1735.</w:t>
      </w:r>
    </w:p>
    <w:p>
      <w:pPr>
        <w:spacing w:after="100" w:line="276"/>
        <w:ind w:left="709" w:hanging="709"/>
      </w:pPr>
      <w:r>
        <w:rPr>
          <w:rFonts w:ascii="Arial" w:cs="Arial" w:eastAsia="Arial" w:hAnsi="Arial"/>
          <w:b/>
          <w:bCs/>
          <w:sz w:val="20"/>
          <w:szCs w:val="20"/>
        </w:rPr>
        <w:t xml:space="preserve">[N10]	</w:t>
      </w:r>
      <w:r>
        <w:rPr>
          <w:rFonts w:ascii="Arial" w:cs="Arial" w:eastAsia="Arial" w:hAnsi="Arial"/>
          <w:sz w:val="20"/>
          <w:szCs w:val="20"/>
        </w:rPr>
        <w:t xml:space="preserve">N. Reimers e I. Gurevych, “Sentence-BERT: Sentence embeddings using Siamese BERT-networks,” en Proc. EMNLP-IJCNLP, 2019, pp. 3982–3992, doi: 10.18653/v1/D19-1410.</w:t>
      </w:r>
    </w:p>
    <w:p>
      <w:pPr>
        <w:spacing w:after="100" w:line="276"/>
        <w:ind w:left="709" w:hanging="709"/>
      </w:pPr>
      <w:r>
        <w:rPr>
          <w:rFonts w:ascii="Arial" w:cs="Arial" w:eastAsia="Arial" w:hAnsi="Arial"/>
          <w:b/>
          <w:bCs/>
          <w:sz w:val="20"/>
          <w:szCs w:val="20"/>
        </w:rPr>
        <w:t xml:space="preserve">[N11]	</w:t>
      </w:r>
      <w:r>
        <w:rPr>
          <w:rFonts w:ascii="Arial" w:cs="Arial" w:eastAsia="Arial" w:hAnsi="Arial"/>
          <w:sz w:val="20"/>
          <w:szCs w:val="20"/>
        </w:rPr>
        <w:t xml:space="preserve">G. Salton, A. Wong y C. S. Yang, “A vector space model for automatic indexing,” Communications of the ACM, vol. 18, núm. 11, pp. 613–620, 1975, doi: 10.1145/361219.361220.</w:t>
      </w:r>
    </w:p>
    <w:p>
      <w:pPr>
        <w:spacing w:after="100" w:line="276"/>
        <w:ind w:left="709" w:hanging="709"/>
      </w:pPr>
      <w:r>
        <w:rPr>
          <w:rFonts w:ascii="Arial" w:cs="Arial" w:eastAsia="Arial" w:hAnsi="Arial"/>
          <w:b/>
          <w:bCs/>
          <w:sz w:val="20"/>
          <w:szCs w:val="20"/>
        </w:rPr>
        <w:t xml:space="preserve">[N12]	</w:t>
      </w:r>
      <w:r>
        <w:rPr>
          <w:rFonts w:ascii="Arial" w:cs="Arial" w:eastAsia="Arial" w:hAnsi="Arial"/>
          <w:sz w:val="20"/>
          <w:szCs w:val="20"/>
        </w:rPr>
        <w:t xml:space="preserve">T. Mikolov, K. Chen, G. Corrado y J. Dean, “Efficient estimation of word representations in vector space,” arXiv:1301.3781, 2013.</w:t>
      </w:r>
    </w:p>
    <w:p>
      <w:pPr>
        <w:spacing w:after="100" w:line="276"/>
        <w:ind w:left="709" w:hanging="709"/>
      </w:pPr>
      <w:r>
        <w:rPr>
          <w:rFonts w:ascii="Arial" w:cs="Arial" w:eastAsia="Arial" w:hAnsi="Arial"/>
          <w:b/>
          <w:bCs/>
          <w:sz w:val="20"/>
          <w:szCs w:val="20"/>
        </w:rPr>
        <w:t xml:space="preserve">[N13]	</w:t>
      </w:r>
      <w:r>
        <w:rPr>
          <w:rFonts w:ascii="Arial" w:cs="Arial" w:eastAsia="Arial" w:hAnsi="Arial"/>
          <w:sz w:val="20"/>
          <w:szCs w:val="20"/>
        </w:rPr>
        <w:t xml:space="preserve">J. Pennington, R. Socher y C. D. Manning, “GloVe: Global vectors for word representation,” en Proc. EMNLP, 2014, pp. 1532–1543, doi: 10.3115/v1/D14-1162.</w:t>
      </w:r>
    </w:p>
    <w:p>
      <w:pPr>
        <w:spacing w:after="100" w:line="276"/>
        <w:ind w:left="709" w:hanging="709"/>
      </w:pPr>
      <w:r>
        <w:rPr>
          <w:rFonts w:ascii="Arial" w:cs="Arial" w:eastAsia="Arial" w:hAnsi="Arial"/>
          <w:b/>
          <w:bCs/>
          <w:sz w:val="20"/>
          <w:szCs w:val="20"/>
        </w:rPr>
        <w:t xml:space="preserve">[N14]	</w:t>
      </w:r>
      <w:r>
        <w:rPr>
          <w:rFonts w:ascii="Arial" w:cs="Arial" w:eastAsia="Arial" w:hAnsi="Arial"/>
          <w:sz w:val="20"/>
          <w:szCs w:val="20"/>
        </w:rPr>
        <w:t xml:space="preserve">Z. Wu y M. Palmer, “Verb semantics and lexical selection,” en Proc. 32nd Annual Meeting of the Association for Computational Linguistics, 1994, pp. 133–138.</w:t>
      </w:r>
    </w:p>
    <w:p>
      <w:pPr>
        <w:spacing w:after="100" w:line="276"/>
        <w:ind w:left="709" w:hanging="709"/>
      </w:pPr>
      <w:r>
        <w:rPr>
          <w:rFonts w:ascii="Arial" w:cs="Arial" w:eastAsia="Arial" w:hAnsi="Arial"/>
          <w:b/>
          <w:bCs/>
          <w:sz w:val="20"/>
          <w:szCs w:val="20"/>
        </w:rPr>
        <w:t xml:space="preserve">[N15]	</w:t>
      </w:r>
      <w:r>
        <w:rPr>
          <w:rFonts w:ascii="Arial" w:cs="Arial" w:eastAsia="Arial" w:hAnsi="Arial"/>
          <w:sz w:val="20"/>
          <w:szCs w:val="20"/>
        </w:rPr>
        <w:t xml:space="preserve">M. Potthast, B. Stein, A. Barrón-Cedeño y P. Rosso, “An evaluation framework for plagiarism detection,” en Proc. COLING 2010: Posters, 2010, pp. 997–1005.</w:t>
      </w:r>
    </w:p>
    <w:p>
      <w:pPr>
        <w:spacing w:after="100" w:line="276"/>
        <w:ind w:left="709" w:hanging="709"/>
      </w:pPr>
      <w:r>
        <w:rPr>
          <w:rFonts w:ascii="Arial" w:cs="Arial" w:eastAsia="Arial" w:hAnsi="Arial"/>
          <w:b/>
          <w:bCs/>
          <w:sz w:val="20"/>
          <w:szCs w:val="20"/>
        </w:rPr>
        <w:t xml:space="preserve">[N16]	</w:t>
      </w:r>
      <w:r>
        <w:rPr>
          <w:rFonts w:ascii="Arial" w:cs="Arial" w:eastAsia="Arial" w:hAnsi="Arial"/>
          <w:sz w:val="20"/>
          <w:szCs w:val="20"/>
        </w:rPr>
        <w:t xml:space="preserve">E. Stamatatos, “A survey of modern authorship attribution methods,” Journal of the American Society for Information Science and Technology, vol. 60, núm. 3, pp. 538–556, 2009, doi: 10.1002/asi.21001.</w:t>
      </w:r>
    </w:p>
    <w:p>
      <w:pPr>
        <w:spacing w:after="100" w:line="276"/>
        <w:ind w:left="709" w:hanging="709"/>
      </w:pPr>
      <w:r>
        <w:rPr>
          <w:rFonts w:ascii="Arial" w:cs="Arial" w:eastAsia="Arial" w:hAnsi="Arial"/>
          <w:b/>
          <w:bCs/>
          <w:sz w:val="20"/>
          <w:szCs w:val="20"/>
        </w:rPr>
        <w:t xml:space="preserve">[N17]	</w:t>
      </w:r>
      <w:r>
        <w:rPr>
          <w:rFonts w:ascii="Arial" w:cs="Arial" w:eastAsia="Arial" w:hAnsi="Arial"/>
          <w:sz w:val="20"/>
          <w:szCs w:val="20"/>
        </w:rPr>
        <w:t xml:space="preserve">Open Source Initiative, “The Open Source Definition.” [En línea]. Disponible en: https://opensource.org/osd [indicar fecha de consulta].</w:t>
      </w:r>
    </w:p>
    <w:p>
      <w:pPr>
        <w:spacing w:after="100" w:line="276"/>
        <w:ind w:left="709" w:hanging="709"/>
      </w:pPr>
      <w:r>
        <w:rPr>
          <w:rFonts w:ascii="Arial" w:cs="Arial" w:eastAsia="Arial" w:hAnsi="Arial"/>
          <w:b/>
          <w:bCs/>
          <w:sz w:val="20"/>
          <w:szCs w:val="20"/>
        </w:rPr>
        <w:t xml:space="preserve">[N18]	</w:t>
      </w:r>
      <w:r>
        <w:rPr>
          <w:rFonts w:ascii="Arial" w:cs="Arial" w:eastAsia="Arial" w:hAnsi="Arial"/>
          <w:sz w:val="20"/>
          <w:szCs w:val="20"/>
        </w:rPr>
        <w:t xml:space="preserve">S. Bird, E. Klein y E. Loper, Natural Language Processing with Python. Sebastopol, CA, EE. UU.: O’Reilly Media, 2009.</w:t>
      </w:r>
    </w:p>
    <w:p>
      <w:pPr>
        <w:spacing w:after="100" w:line="276"/>
        <w:ind w:left="709" w:hanging="709"/>
      </w:pPr>
      <w:r>
        <w:rPr>
          <w:rFonts w:ascii="Arial" w:cs="Arial" w:eastAsia="Arial" w:hAnsi="Arial"/>
          <w:b/>
          <w:bCs/>
          <w:sz w:val="20"/>
          <w:szCs w:val="20"/>
        </w:rPr>
        <w:t xml:space="preserve">[N19]	</w:t>
      </w:r>
      <w:r>
        <w:rPr>
          <w:rFonts w:ascii="Arial" w:cs="Arial" w:eastAsia="Arial" w:hAnsi="Arial"/>
          <w:sz w:val="20"/>
          <w:szCs w:val="20"/>
        </w:rPr>
        <w:t xml:space="preserve">J. Priem, H. Piwowar y R. Orr, “OpenAlex: A fully-open index of scholarly works, authors, venues, institutions, and concepts,” arXiv:2205.01833, 2022.</w:t>
      </w:r>
    </w:p>
    <w:p>
      <w:pPr>
        <w:spacing w:after="100" w:line="276"/>
        <w:ind w:left="709" w:hanging="709"/>
      </w:pPr>
      <w:r>
        <w:rPr>
          <w:rFonts w:ascii="Arial" w:cs="Arial" w:eastAsia="Arial" w:hAnsi="Arial"/>
          <w:b/>
          <w:bCs/>
          <w:sz w:val="20"/>
          <w:szCs w:val="20"/>
        </w:rPr>
        <w:t xml:space="preserve">[N20]	</w:t>
      </w:r>
      <w:r>
        <w:rPr>
          <w:rFonts w:ascii="Arial" w:cs="Arial" w:eastAsia="Arial" w:hAnsi="Arial"/>
          <w:sz w:val="20"/>
          <w:szCs w:val="20"/>
        </w:rPr>
        <w:t xml:space="preserve">R. Kinney et al., “The Semantic Scholar Open Data Platform,” arXiv:2301.10140, 2023.</w:t>
      </w:r>
    </w:p>
    <w:p>
      <w:pPr>
        <w:spacing w:after="100" w:line="276"/>
        <w:ind w:left="709" w:hanging="709"/>
      </w:pPr>
      <w:r>
        <w:rPr>
          <w:rFonts w:ascii="Arial" w:cs="Arial" w:eastAsia="Arial" w:hAnsi="Arial"/>
          <w:b/>
          <w:bCs/>
          <w:sz w:val="20"/>
          <w:szCs w:val="20"/>
        </w:rPr>
        <w:t xml:space="preserve">[N21]	</w:t>
      </w:r>
      <w:r>
        <w:rPr>
          <w:rFonts w:ascii="Arial" w:cs="Arial" w:eastAsia="Arial" w:hAnsi="Arial"/>
          <w:sz w:val="20"/>
          <w:szCs w:val="20"/>
        </w:rPr>
        <w:t xml:space="preserve">J. Johnson, M. Douze y H. Jégou, “Billion-scale similarity search with GPUs,” IEEE Transactions on Big Data, vol. 7, núm. 3, pp. 535–547, 2021, doi: 10.1109/TBDATA.2019.2921572.</w:t>
      </w:r>
    </w:p>
    <w:p>
      <w:pPr>
        <w:spacing w:after="100" w:line="276"/>
        <w:ind w:left="709" w:hanging="709"/>
      </w:pPr>
      <w:r>
        <w:rPr>
          <w:rFonts w:ascii="Arial" w:cs="Arial" w:eastAsia="Arial" w:hAnsi="Arial"/>
          <w:b/>
          <w:bCs/>
          <w:sz w:val="20"/>
          <w:szCs w:val="20"/>
        </w:rPr>
        <w:t xml:space="preserve">[N22]	</w:t>
      </w:r>
      <w:r>
        <w:rPr>
          <w:rFonts w:ascii="Arial" w:cs="Arial" w:eastAsia="Arial" w:hAnsi="Arial"/>
          <w:sz w:val="20"/>
          <w:szCs w:val="20"/>
        </w:rPr>
        <w:t xml:space="preserve">C. A. Romero Cruz, M. Aguirre Sanabria, T. Z. Bastidas y R. A. Gil Avilés, “Inteligencia artificial y plagio académico en el Ecuador: implicaciones legales en estudios de grado y posgrado,” Magazine de las Ciencias: Revista de Investigación e Innovación, vol. 10, 2025. [En línea]. Disponible en: https://revistas.utb.edu.ec/index.php/magazine/article/view/4275</w:t>
      </w:r>
    </w:p>
    <w:p>
      <w:pPr>
        <w:spacing w:after="100" w:line="276"/>
        <w:ind w:left="709" w:hanging="709"/>
      </w:pPr>
      <w:r>
        <w:rPr>
          <w:rFonts w:ascii="Arial" w:cs="Arial" w:eastAsia="Arial" w:hAnsi="Arial"/>
          <w:b/>
          <w:bCs/>
          <w:sz w:val="20"/>
          <w:szCs w:val="20"/>
        </w:rPr>
        <w:t xml:space="preserve">[N23]	</w:t>
      </w:r>
      <w:r>
        <w:rPr>
          <w:rFonts w:ascii="Arial" w:cs="Arial" w:eastAsia="Arial" w:hAnsi="Arial"/>
          <w:sz w:val="20"/>
          <w:szCs w:val="20"/>
        </w:rPr>
        <w:t xml:space="preserve">T. Wolf et al., “Transformers: State-of-the-art natural language processing,” en Proc. EMNLP: System Demonstrations, 2020, pp. 38–45, doi: 10.18653/v1/2020.emnlp-demos.6.</w:t>
      </w:r>
    </w:p>
    <w:p>
      <w:pPr>
        <w:spacing w:after="100" w:line="276"/>
        <w:ind w:left="709" w:hanging="709"/>
      </w:pPr>
      <w:r>
        <w:rPr>
          <w:rFonts w:ascii="Arial" w:cs="Arial" w:eastAsia="Arial" w:hAnsi="Arial"/>
          <w:b/>
          <w:bCs/>
          <w:sz w:val="20"/>
          <w:szCs w:val="20"/>
        </w:rPr>
        <w:t xml:space="preserve">[D1]	</w:t>
      </w:r>
      <w:r>
        <w:rPr>
          <w:rFonts w:ascii="Arial" w:cs="Arial" w:eastAsia="Arial" w:hAnsi="Arial"/>
          <w:sz w:val="20"/>
          <w:szCs w:val="20"/>
        </w:rPr>
        <w:t xml:space="preserve">NaturalNode, “natural: General natural language facilities for Node,” repositorio GitHub. [En línea]. Disponible en: https://github.com/NaturalNode/natural [indicar fecha de consulta].</w:t>
      </w:r>
    </w:p>
    <w:p>
      <w:pPr>
        <w:spacing w:after="120" w:before="300" w:line="360"/>
        <w:jc w:val="both"/>
      </w:pPr>
      <w:r>
        <w:rPr>
          <w:rFonts w:ascii="Arial" w:cs="Arial" w:eastAsia="Arial" w:hAnsi="Arial"/>
          <w:b/>
          <w:bCs/>
          <w:sz w:val="26"/>
          <w:szCs w:val="26"/>
        </w:rPr>
        <w:t xml:space="preserve">Correcciones a las referencias existentes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Referencia</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Problema</w:t>
            </w:r>
          </w:p>
        </w:tc>
        <w:tc>
          <w:tcPr>
            <w:tcW w:type="dxa" w:w="37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Acción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 y [10]</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Son la misma referencia</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Conservar [3] y eliminar [10]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[6]</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Falta el evento donde se publicó</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Agregar: Proc. 18th Workshop on Innovative Use of NLP for Building Educational Applications (BEA), 2023, pp. 727–735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 mal registrado (“F. &amp; Ponce et al.”)</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 Russell y P. Norvig, Artificial Intelligence: A Modern Approach, 4.ª ed. Pearson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[13], [16], [18]</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 título registrado es el de la página del visor (“Vista de…”)</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Usar el título real del artículo, la revista y el DOI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[19]</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Solo enlaza a la página de un grupo de investigación</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Agregar el evento (ECIR 2009, LNCS 5478) y las páginas; verificar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[20]</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Título traducido automáticamente</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 deep learning based technique for plagiarism detection: a comparative study”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 incompleto</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Isabel Moyano Moreno, Pragmalingüística, núm. 31, pp. 339–361, 2023, doi: 10.25267/Pragmalinguistica.2023.i31.15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[23]</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Sin autor</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 Codina, BiD, núm. 55, 2025, doi: 10.1344/bid2025.55.01</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[29]</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Sin venue</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Agregar arXiv:2003.07278 (verificar)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[37]</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es la fuente primaria de la encuesta</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Localizar el estudio original o eliminar el dato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[46]</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Título con texto sobrante (“SECTION: ARTICLES…”)</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Dejar solo el título; agregar revista (Educação e Pesquisa, vol. 46, 2020)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[47]</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Autores “C. T. a LastName”, año “21d. C.”</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Tomar autores y año de la página del artículo en Heliyon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[48]</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Año “25d. C.”</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Corregir el año (2025) y los datos de edición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[51]</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Autores mal registrados</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 Gallent-Torres, A. Zapata-González y J. L. Ortego-Hernando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[9], [12], [14], [15], [17], [24]–[28], [30]–[35], [41], [44], [45], [49], [50]</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Ya no se citan en el Capítulo 2, o no corresponden a lo que se citaba</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Eliminar de la lista, salvo que otro capítulo las use; en ese caso, corregirlas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[52]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Artículo sobre investigación de ballenas (“Flat clustering”, Journal of Cetacean Research and Management), citado en el Capítulo 3</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Reemplazar al revisar el Capítulo 3</w:t>
            </w:r>
          </w:p>
        </w:tc>
      </w:tr>
    </w:tbl>
    <w:p>
      <w:r>
        <w:br w:type="page"/>
      </w:r>
    </w:p>
    <w:p>
      <w:pPr>
        <w:spacing w:after="80" w:before="0" w:line="360"/>
        <w:jc w:val="both"/>
      </w:pPr>
      <w:r>
        <w:rPr>
          <w:rFonts w:ascii="Arial" w:cs="Arial" w:eastAsia="Arial" w:hAnsi="Arial"/>
          <w:b/>
          <w:bCs/>
          <w:sz w:val="26"/>
          <w:szCs w:val="26"/>
        </w:rPr>
        <w:t xml:space="preserve">Texto para el Capítulo 3: 3.2. Preguntas de investigación</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El jurado pidió formular la hipótesis como pregunta. Este texto reemplaza la sección 3.2 completa (hipótesis general e hipótesis específicas). La pregunta c) solo debe conservarse si se corrige el módulo estilométrico del prototipo y se vuelven a obtener resultados; hoy el prototipo reporta consistencia de 100 % y ninguna anomalía en todos los documentos.</w:t>
      </w:r>
    </w:p>
    <w:p>
      <w:pPr>
        <w:spacing w:after="160" w:before="0" w:line="360"/>
        <w:jc w:val="both"/>
      </w:pPr>
      <w:r>
        <w:rPr>
          <w:rFonts w:ascii="Arial" w:cs="Arial" w:eastAsia="Arial" w:hAnsi="Arial"/>
          <w:sz w:val="24"/>
          <w:szCs w:val="24"/>
        </w:rPr>
        <w:t xml:space="preserve">La literatura revisada muestra que las representaciones semánticas basadas en modelos Transformer permiten reconocer similitudes conceptuales que escapan a la comparación léxica [N10], [20], [40], y que los rasgos estilométricos aportan información sobre la consistencia de la autoría de un texto [22], [N16]. Sin embargo, la mayoría de estos resultados proviene de corpus en inglés y de entornos distintos del ecuatoriano. Dado que el presente estudio combina un componente computacional comparativo con un componente descriptivo basado en encuestas, y que no se dispone de un corpus etiquetado que permita contrastar estadísticamente una relación causal, la investigación se orienta mediante las siguientes preguntas.</w:t>
      </w:r>
    </w:p>
    <w:p>
      <w:pPr>
        <w:spacing w:after="80" w:before="0" w:line="360"/>
        <w:jc w:val="both"/>
      </w:pPr>
      <w:r>
        <w:rPr>
          <w:rFonts w:ascii="Arial" w:cs="Arial" w:eastAsia="Arial" w:hAnsi="Arial"/>
          <w:b/>
          <w:bCs/>
          <w:sz w:val="24"/>
          <w:szCs w:val="24"/>
        </w:rPr>
        <w:t xml:space="preserve">Pregunta general</w:t>
      </w:r>
    </w:p>
    <w:p>
      <w:pPr>
        <w:spacing w:after="160" w:before="0" w:line="360"/>
        <w:jc w:val="both"/>
      </w:pPr>
      <w:r>
        <w:rPr>
          <w:rFonts w:ascii="Arial" w:cs="Arial" w:eastAsia="Arial" w:hAnsi="Arial"/>
          <w:sz w:val="24"/>
          <w:szCs w:val="24"/>
        </w:rPr>
        <w:t xml:space="preserve">¿En qué medida la integración de análisis de similitud léxica, similitud semántica basada en modelos Transformer y análisis estilométrico en un prototipo de código abierto modifica la identificación de similitudes textuales y de señales de autoría en trabajos académicos de tercer nivel de la Universidad Central del Ecuador, en comparación con un enfoque basado únicamente en coincidencias léxicas?</w:t>
      </w:r>
    </w:p>
    <w:p>
      <w:pPr>
        <w:spacing w:after="80" w:before="0" w:line="360"/>
        <w:jc w:val="both"/>
      </w:pPr>
      <w:r>
        <w:rPr>
          <w:rFonts w:ascii="Arial" w:cs="Arial" w:eastAsia="Arial" w:hAnsi="Arial"/>
          <w:b/>
          <w:bCs/>
          <w:sz w:val="24"/>
          <w:szCs w:val="24"/>
        </w:rPr>
        <w:t xml:space="preserve">Preguntas específicas</w:t>
      </w:r>
    </w:p>
    <w:p>
      <w:pPr>
        <w:spacing w:after="100" w:line="360"/>
        <w:ind w:left="709" w:hanging="360"/>
        <w:jc w:val="both"/>
      </w:pPr>
      <w:r>
        <w:rPr>
          <w:rFonts w:ascii="Arial" w:cs="Arial" w:eastAsia="Arial" w:hAnsi="Arial"/>
          <w:sz w:val="24"/>
          <w:szCs w:val="24"/>
        </w:rPr>
        <w:t xml:space="preserve">a. ¿Qué diferencias presentan los valores de similitud obtenidos mediante el enfoque léxico (TF-IDF y similitud del coseno), el enfoque semántico y el enfoque híbrido al analizar documentos originales, parcialmente parafraseados y con fragmentos de fuentes conocidas?</w:t>
      </w:r>
    </w:p>
    <w:p>
      <w:pPr>
        <w:spacing w:after="100" w:line="360"/>
        <w:ind w:left="709" w:hanging="360"/>
        <w:jc w:val="both"/>
      </w:pPr>
      <w:r>
        <w:rPr>
          <w:rFonts w:ascii="Arial" w:cs="Arial" w:eastAsia="Arial" w:hAnsi="Arial"/>
          <w:sz w:val="24"/>
          <w:szCs w:val="24"/>
        </w:rPr>
        <w:t xml:space="preserve">b. ¿Cómo se comporta la puntuación híbrida frente a coincidencias derivadas del uso de plantillas institucionales o de terminología técnica compartida?</w:t>
      </w:r>
    </w:p>
    <w:p>
      <w:pPr>
        <w:spacing w:after="100" w:line="360"/>
        <w:ind w:left="709" w:hanging="360"/>
        <w:jc w:val="both"/>
      </w:pPr>
      <w:r>
        <w:rPr>
          <w:rFonts w:ascii="Arial" w:cs="Arial" w:eastAsia="Arial" w:hAnsi="Arial"/>
          <w:sz w:val="24"/>
          <w:szCs w:val="24"/>
        </w:rPr>
        <w:t xml:space="preserve">c. ¿Qué indicadores estilométricos permiten señalar inconsistencias de estilo dentro de un mismo documento o entre documentos atribuidos a un mismo autor?</w:t>
      </w:r>
    </w:p>
    <w:p>
      <w:pPr>
        <w:spacing w:after="100" w:line="360"/>
        <w:ind w:left="709" w:hanging="360"/>
        <w:jc w:val="both"/>
      </w:pPr>
      <w:r>
        <w:rPr>
          <w:rFonts w:ascii="Arial" w:cs="Arial" w:eastAsia="Arial" w:hAnsi="Arial"/>
          <w:sz w:val="24"/>
          <w:szCs w:val="24"/>
        </w:rPr>
        <w:t xml:space="preserve">d. ¿Qué tiempo de procesamiento requiere el prototipo por documento y por lote?</w:t>
      </w:r>
    </w:p>
    <w:p>
      <w:pPr>
        <w:spacing w:after="100" w:line="360"/>
        <w:ind w:left="709" w:hanging="360"/>
        <w:jc w:val="both"/>
      </w:pPr>
      <w:r>
        <w:rPr>
          <w:rFonts w:ascii="Arial" w:cs="Arial" w:eastAsia="Arial" w:hAnsi="Arial"/>
          <w:sz w:val="24"/>
          <w:szCs w:val="24"/>
        </w:rPr>
        <w:t xml:space="preserve">e. ¿Cuál es la percepción de estudiantes y docentes de la UCE sobre el uso de inteligencia artificial en trabajos académicos y sobre la adopción de una herramienta institucional de código abierto para la detección de similitud y autoría?</w:t>
      </w:r>
    </w:p>
    <w:p>
      <w:r>
        <w:br w:type="page"/>
      </w:r>
    </w:p>
    <w:p>
      <w:pPr>
        <w:spacing w:after="80" w:before="0" w:line="360"/>
        <w:jc w:val="both"/>
      </w:pPr>
      <w:r>
        <w:rPr>
          <w:rFonts w:ascii="Arial" w:cs="Arial" w:eastAsia="Arial" w:hAnsi="Arial"/>
          <w:b/>
          <w:bCs/>
          <w:sz w:val="26"/>
          <w:szCs w:val="26"/>
        </w:rPr>
        <w:t xml:space="preserve">Texto trasladado al Capítulo 3</w:t>
      </w:r>
    </w:p>
    <w:p>
      <w:pPr>
        <w:spacing w:after="160" w:before="0" w:line="360"/>
        <w:jc w:val="both"/>
      </w:pPr>
      <w:r>
        <w:rPr>
          <w:rFonts w:ascii="Arial" w:cs="Arial" w:eastAsia="Arial" w:hAnsi="Arial"/>
          <w:sz w:val="24"/>
          <w:szCs w:val="24"/>
        </w:rPr>
        <w:t xml:space="preserve">Este texto proviene de la sección 2.4 anterior y de los párrafos del Capítulo 2 que describían el prototipo. Su lugar es el Capítulo 3, en la sección de instrumentos y herramientas de desarrollo (3.6.1) y en la descripción del procedimiento (3.7). Reemplaza la mención de RoBERTa-bne y ChromaDB que hoy aparece en 3.6.1.</w:t>
      </w:r>
    </w:p>
    <w:p>
      <w:pPr>
        <w:pStyle w:val="Heading3"/>
        <w:keepNext/>
        <w:spacing w:after="140" w:before="220"/>
      </w:pPr>
      <w:r>
        <w:rPr>
          <w:rFonts w:ascii="Arial" w:cs="Arial" w:eastAsia="Arial" w:hAnsi="Arial"/>
          <w:b/>
          <w:bCs/>
          <w:i/>
          <w:iCs/>
          <w:color w:val="000000"/>
          <w:sz w:val="24"/>
          <w:szCs w:val="24"/>
        </w:rPr>
        <w:t xml:space="preserve">Arquitectura tecnológica del prototipo</w:t>
      </w:r>
    </w:p>
    <w:p>
      <w:pPr>
        <w:spacing w:after="160" w:before="0" w:line="360"/>
        <w:jc w:val="both"/>
      </w:pPr>
      <w:r>
        <w:rPr>
          <w:rFonts w:ascii="Arial" w:cs="Arial" w:eastAsia="Arial" w:hAnsi="Arial"/>
          <w:sz w:val="24"/>
          <w:szCs w:val="24"/>
        </w:rPr>
        <w:t xml:space="preserve">El prototipo adopta una arquitectura por capas con un microservicio especializado para el procesamiento semántico. La interfaz web se desarrolló con React; la lógica de negocio, la extracción de texto, el análisis léxico y el análisis estilométrico se implementaron en un servidor NestJS escrito en TypeScript; la persistencia se gestiona con PostgreSQL mediante el ORM Prisma; y el cálculo de la similitud semántica se delega a un microservicio en Python construido con Flask. La Tabla 6 resume los componentes utilizados.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6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Componente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Tecnología</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Función en el prototipo</w:t>
            </w:r>
          </w:p>
        </w:tc>
        <w:tc>
          <w:tcPr>
            <w:tcW w:type="dxa" w:w="1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Licencia</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Interfaz de usuario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React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Carga de documentos, visualización de coincidencias y reportes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Servidor de aplicación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NestJS (TypeScript)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Orquestación del análisis y API REST</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Persistencia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PostgreSQL y Prisma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Almacenamiento de documentos y métricas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PostgreSQL License / Apache 2.0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Extracción de texto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pdf2json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Obtención del texto de archivos PDF</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[verificar]</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léxico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natural (TF-IDF)</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Ponderación de términos y similitud del coseno</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Microservicio semántico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Python y Flask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Exposición del servicio de comparación semántica</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BSD-3</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Modelo semántico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sentence-transformers, paraphrase-multilingual-MiniLM-L12-v2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Representación vectorial de oraciones en español</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Apache 2.0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Segmentación en oraciones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NLTK (Punkt)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División del texto en oraciones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Apache 2.0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Fuentes externas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APIs de OpenAlex, Semantic Scholar, Wikipedia, Zenodo, HAL y DuckDuckGo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Recuperación de documentos candidatos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Servicios de acceso abierto</w:t>
            </w:r>
          </w:p>
        </w:tc>
      </w:tr>
    </w:tbl>
    <w:p>
      <w:pPr>
        <w:spacing w:after="40" w:before="120" w:line="360"/>
        <w:jc w:val="center"/>
      </w:pPr>
      <w:r>
        <w:rPr>
          <w:rFonts w:ascii="Arial" w:cs="Arial" w:eastAsia="Arial" w:hAnsi="Arial"/>
          <w:b/>
          <w:bCs/>
          <w:sz w:val="20"/>
          <w:szCs w:val="20"/>
        </w:rPr>
        <w:t xml:space="preserve">Tab. 6. Componentes tecnológicos del prototipo</w:t>
      </w:r>
    </w:p>
    <w:p>
      <w:pPr>
        <w:spacing w:after="240" w:before="0" w:line="360"/>
        <w:jc w:val="center"/>
      </w:pPr>
      <w:r>
        <w:rPr>
          <w:rFonts w:ascii="Arial" w:cs="Arial" w:eastAsia="Arial" w:hAnsi="Arial"/>
          <w:sz w:val="20"/>
          <w:szCs w:val="20"/>
        </w:rPr>
        <w:t xml:space="preserve">Nota: Elaboración propia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Con los cambios del Capítulo 2 (tablas 1 a 3), las tablas actuales del Capítulo 3 pasan a ser la 4 y la 5, y esta queda como Tabla 6. Verifiquen cada licencia en el repositorio oficial del componente. Si usaron SerpAPI (servicio comercial) en los experimentos, agréguenlo a la tabla y declárenlo como excepción al enfoque de código abierto.</w:t>
      </w:r>
    </w:p>
    <w:p>
      <w:pPr>
        <w:pStyle w:val="Heading3"/>
        <w:keepNext/>
        <w:spacing w:after="140" w:before="220"/>
      </w:pPr>
      <w:r>
        <w:rPr>
          <w:rFonts w:ascii="Arial" w:cs="Arial" w:eastAsia="Arial" w:hAnsi="Arial"/>
          <w:b/>
          <w:bCs/>
          <w:i/>
          <w:iCs/>
          <w:color w:val="000000"/>
          <w:sz w:val="24"/>
          <w:szCs w:val="24"/>
        </w:rPr>
        <w:t xml:space="preserve">Procesamiento léxico</w:t>
      </w:r>
    </w:p>
    <w:p>
      <w:pPr>
        <w:spacing w:after="160" w:before="0" w:line="360"/>
        <w:jc w:val="both"/>
      </w:pPr>
      <w:r>
        <w:rPr>
          <w:rFonts w:ascii="Arial" w:cs="Arial" w:eastAsia="Arial" w:hAnsi="Arial"/>
          <w:sz w:val="24"/>
          <w:szCs w:val="24"/>
        </w:rPr>
        <w:t xml:space="preserve">El análisis léxico se implementó con la librería natural para Node.js [D1]. El texto se normaliza mediante la conversión a minúsculas, la eliminación de tildes y signos de puntuación y la supresión de palabras vacías; luego se representa con vectores TF-IDF, cuya proximidad se mide con la similitud del coseno [N11]. Se incorporó además un factor de corrección por diferencia de longitud entre los fragmentos comparados, que oscila entre 0,75 y 1, con el fin de moderar valores extremos cuando un segmento es mucho más breve que el otro.</w:t>
      </w:r>
    </w:p>
    <w:p>
      <w:pPr>
        <w:pStyle w:val="Heading3"/>
        <w:keepNext/>
        <w:spacing w:after="140" w:before="220"/>
      </w:pPr>
      <w:r>
        <w:rPr>
          <w:rFonts w:ascii="Arial" w:cs="Arial" w:eastAsia="Arial" w:hAnsi="Arial"/>
          <w:b/>
          <w:bCs/>
          <w:i/>
          <w:iCs/>
          <w:color w:val="000000"/>
          <w:sz w:val="24"/>
          <w:szCs w:val="24"/>
        </w:rPr>
        <w:t xml:space="preserve">Procesamiento semántico</w:t>
      </w:r>
    </w:p>
    <w:p>
      <w:pPr>
        <w:spacing w:after="160" w:before="0" w:line="360"/>
        <w:jc w:val="both"/>
      </w:pPr>
      <w:r>
        <w:rPr>
          <w:rFonts w:ascii="Arial" w:cs="Arial" w:eastAsia="Arial" w:hAnsi="Arial"/>
          <w:sz w:val="24"/>
          <w:szCs w:val="24"/>
        </w:rPr>
        <w:t xml:space="preserve">La similitud semántica se calcula con la librería sentence-transformers [N10] y el modelo preentrenado paraphrase-multilingual-MiniLM-L12-v2 [N7]. El texto se divide en oraciones con el segmentador Punkt de NLTK [N18]. Para cada oración del fragmento analizado se obtiene la máxima similitud del coseno frente a las oraciones de la fuente, y la similitud semántica del fragmento corresponde al promedio de esos máximos.</w:t>
      </w:r>
    </w:p>
    <w:p>
      <w:pPr>
        <w:pStyle w:val="Heading3"/>
        <w:keepNext/>
        <w:spacing w:after="140" w:before="220"/>
      </w:pPr>
      <w:r>
        <w:rPr>
          <w:rFonts w:ascii="Arial" w:cs="Arial" w:eastAsia="Arial" w:hAnsi="Arial"/>
          <w:b/>
          <w:bCs/>
          <w:i/>
          <w:iCs/>
          <w:color w:val="000000"/>
          <w:sz w:val="24"/>
          <w:szCs w:val="24"/>
        </w:rPr>
        <w:t xml:space="preserve">Flujo de análisis híbrido</w:t>
      </w:r>
    </w:p>
    <w:p>
      <w:pPr>
        <w:spacing w:after="160" w:before="0" w:line="360"/>
        <w:jc w:val="both"/>
      </w:pPr>
      <w:r>
        <w:rPr>
          <w:rFonts w:ascii="Arial" w:cs="Arial" w:eastAsia="Arial" w:hAnsi="Arial"/>
          <w:sz w:val="24"/>
          <w:szCs w:val="24"/>
        </w:rPr>
        <w:t xml:space="preserve">El documento se divide en segmentos y cada segmento se compara léxicamente con todas las fuentes internas y externas. Solo las fuentes que superan un umbral léxico mínimo (16 % para fuentes internas y 8 % para fuentes web) pasan a la etapa semántica, en la que se reevalúan los cuatro mejores candidatos de cada segmento. La puntuación combinada se calcula como Score = 0,55 × L + 0,45 × S, donde L es la similitud léxica y S la semántica, y se conserva la coincidencia si supera un segundo umbral (22 % para fuentes internas y 12 % para fuentes web). Finalmente, cada fuente recibe un puntaje que pondera la cobertura del documento (50 %), la similitud media de sus coincidencias (35 %) y la densidad de coincidencias (15 %); la similitud global del documento es el promedio de esos puntajes.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Este párrafo describe lo que hace hoy el código (analysis.service.ts). Si cambian los umbrales o el flujo al mejorar el prototipo, actualícenlo. Deben justificar en el Capítulo 3 de dónde salen los pesos y umbrales; si se fijaron por ensayo y error, díganlo y declárenlo como limitación.</w:t>
      </w:r>
    </w:p>
    <w:p>
      <w:pPr>
        <w:pStyle w:val="Heading3"/>
        <w:keepNext/>
        <w:spacing w:after="140" w:before="220"/>
      </w:pPr>
      <w:r>
        <w:rPr>
          <w:rFonts w:ascii="Arial" w:cs="Arial" w:eastAsia="Arial" w:hAnsi="Arial"/>
          <w:b/>
          <w:bCs/>
          <w:i/>
          <w:iCs/>
          <w:color w:val="000000"/>
          <w:sz w:val="24"/>
          <w:szCs w:val="24"/>
        </w:rPr>
        <w:t xml:space="preserve">Análisis estilométrico</w:t>
      </w:r>
    </w:p>
    <w:p>
      <w:pPr>
        <w:spacing w:after="160" w:before="0" w:line="360"/>
        <w:jc w:val="both"/>
      </w:pPr>
      <w:r>
        <w:rPr>
          <w:rFonts w:ascii="Arial" w:cs="Arial" w:eastAsia="Arial" w:hAnsi="Arial"/>
          <w:sz w:val="24"/>
          <w:szCs w:val="24"/>
        </w:rPr>
        <w:t xml:space="preserve">El módulo estilométrico calcula siete rasgos por documento: longitud media de oración, longitud media de palabra, riqueza léxica (proporción de palabras distintas), densidad de puntuación, frecuencia de conectores, proporción de construcciones pasivas y número medio de oraciones por párrafo. Dos perfiles se comparan mediante una distancia ponderada y normalizada entre sus rasgos, que se transforma en una similitud de 0 a 100. Un segmento se considera anómalo cuando su desviación respecto del perfil del documento es igual o superior a 30, y la coincidencia de estilo entre dos documentos se considera alta cuando su similitud es igual o superior a 70.</w:t>
      </w:r>
    </w:p>
    <w:p>
      <w:pPr>
        <w:pStyle w:val="Heading3"/>
        <w:keepNext/>
        <w:spacing w:after="140" w:before="220"/>
      </w:pPr>
      <w:r>
        <w:rPr>
          <w:rFonts w:ascii="Arial" w:cs="Arial" w:eastAsia="Arial" w:hAnsi="Arial"/>
          <w:b/>
          <w:bCs/>
          <w:i/>
          <w:iCs/>
          <w:color w:val="000000"/>
          <w:sz w:val="24"/>
          <w:szCs w:val="24"/>
        </w:rPr>
        <w:t xml:space="preserve">Recuperación de fuentes externas</w:t>
      </w:r>
    </w:p>
    <w:p>
      <w:pPr>
        <w:spacing w:after="160" w:before="0" w:line="360"/>
        <w:jc w:val="both"/>
      </w:pPr>
      <w:r>
        <w:rPr>
          <w:rFonts w:ascii="Arial" w:cs="Arial" w:eastAsia="Arial" w:hAnsi="Arial"/>
          <w:sz w:val="24"/>
          <w:szCs w:val="24"/>
        </w:rPr>
        <w:t xml:space="preserve">Las consultas a los servicios de acceso abierto se construyen a partir de frases, palabras clave y el título del documento, con un máximo de seis consultas por documento. Los resúmenes recuperados se incorporan como fuentes de comparación. Este proceso envía fragmentos del texto analizado a servicios de terceros, aspecto que debe considerarse en un eventual despliegue institucional por sus implicaciones sobre la protección de datos personales.</w:t>
      </w:r>
    </w:p>
    <w:p>
      <w:pPr>
        <w:pStyle w:val="Heading3"/>
        <w:keepNext/>
        <w:spacing w:after="140" w:before="220"/>
      </w:pPr>
      <w:r>
        <w:rPr>
          <w:rFonts w:ascii="Arial" w:cs="Arial" w:eastAsia="Arial" w:hAnsi="Arial"/>
          <w:b/>
          <w:bCs/>
          <w:i/>
          <w:iCs/>
          <w:color w:val="000000"/>
          <w:sz w:val="24"/>
          <w:szCs w:val="24"/>
        </w:rPr>
        <w:t xml:space="preserve">Persistencia</w:t>
      </w:r>
    </w:p>
    <w:p>
      <w:pPr>
        <w:spacing w:after="160" w:before="0" w:line="360"/>
        <w:jc w:val="both"/>
      </w:pPr>
      <w:r>
        <w:rPr>
          <w:rFonts w:ascii="Arial" w:cs="Arial" w:eastAsia="Arial" w:hAnsi="Arial"/>
          <w:sz w:val="24"/>
          <w:szCs w:val="24"/>
        </w:rPr>
        <w:t xml:space="preserve">Los documentos y las métricas de cada análisis se almacenan en PostgreSQL. No se incorporó una base de datos vectorial debido al tamaño reducido del corpus experimental; su integración se plantea como trabajo futuro.</w:t>
      </w:r>
    </w:p>
    <w:sectPr>
      <w:footerReference w:type="default" r:id="rId7"/>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corregido</dc:title>
  <dc:creator>Revisión de tutor</dc:creator>
  <cp:lastModifiedBy>Un-named</cp:lastModifiedBy>
  <cp:revision>1</cp:revision>
  <dcterms:created xsi:type="dcterms:W3CDTF">2026-09-25T04:21:29.127Z</dcterms:created>
  <dcterms:modified xsi:type="dcterms:W3CDTF">2026-09-25T04:21:29.139Z</dcterms:modified>
</cp:coreProperties>
</file>

<file path=docProps/custom.xml><?xml version="1.0" encoding="utf-8"?>
<Properties xmlns="http://schemas.openxmlformats.org/officeDocument/2006/custom-properties" xmlns:vt="http://schemas.openxmlformats.org/officeDocument/2006/docPropsVTypes"/>
</file>