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8"/>
          <w:szCs w:val="28"/>
        </w:rPr>
        <w:br/>
        <w:t xml:space="preserve">Bot: </w:t>
      </w:r>
      <w:r>
        <w:rPr>
          <w:sz w:val="28"/>
          <w:szCs w:val="28"/>
        </w:rPr>
        <w:br/>
        <w:t xml:space="preserve">D'accord, voici un tableau qui détaille toutes les fonctions et sous-fonctions de chaque module du cahier des charges :ModuleFonctionsSous-fonctions / méthodesscraperget_htmlsolve_captchacaptcha_handlerscrape_datarotate_tor_identity &lt;br&gt; set_cookies &lt;br&gt; get_cookiesrotate_tor_identityset_cookiesget_cookiesdata_scraperget_auction_dataget_html &lt;br&gt; parse_html &lt;br&gt; parse_auction_dataparse_htmlparse_auction_datadata_cleanerclean_auction_dataclean_textclean_dateclean_pricedata_loaderload_data_to_databaseconnect_to_databasecreate_tableinsert_datadisconnect_from_databasedata_exporterexport_dataconnect_to_databaseget_datasave_datadisconnect_from_databas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2023-03-06T20:11:49.820Z</dcterms:created>
  <dcterms:modified xsi:type="dcterms:W3CDTF">2023-03-06T20:11:49.820Z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