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jc w:val="center"/>
      </w:pPr>
      <w:r>
        <w:rPr>
          <w:b/>
          <w:color w:val="1E3A5F"/>
          <w:sz w:val="72"/>
        </w:rPr>
        <w:t>FedChest AI</w:t>
      </w:r>
    </w:p>
    <w:p>
      <w:pPr>
        <w:spacing w:after="160"/>
        <w:jc w:val="center"/>
      </w:pPr>
      <w:r>
        <w:rPr>
          <w:color w:val="374151"/>
          <w:sz w:val="30"/>
        </w:rPr>
        <w:t>Multimodal Federated Learning for Privacy-Preserving Chest Radiograph Analysis</w:t>
      </w:r>
    </w:p>
    <w:p>
      <w:pPr>
        <w:spacing w:before="80" w:after="80"/>
        <w:pBdr>
          <w:bottom w:val="single" w:sz="6" w:space="1" w:color="3B82F6"/>
        </w:pBdr>
      </w:pPr>
    </w:p>
    <w:p>
      <w:pPr>
        <w:spacing w:before="200"/>
        <w:jc w:val="center"/>
      </w:pPr>
      <w:r>
        <w:t>Technical Architecture &amp; Working Document  ·  Version 1.0</w:t>
        <w:br/>
      </w:r>
      <w:r>
        <w:rPr>
          <w:b/>
        </w:rPr>
        <w:t>Classification: Internal / Research Use Only</w:t>
      </w:r>
    </w:p>
    <w:p>
      <w:r>
        <w:br/>
        <w:br/>
      </w:r>
    </w:p>
    <w:tbl>
      <w:tblPr>
        <w:tblStyle w:val="TableGrid"/>
        <w:tblW w:type="auto" w:w="0"/>
        <w:tblLook w:firstColumn="1" w:firstRow="1" w:lastColumn="0" w:lastRow="0" w:noHBand="0" w:noVBand="1" w:val="04A0"/>
      </w:tblPr>
      <w:tblGrid>
        <w:gridCol w:w="9072"/>
      </w:tblGrid>
      <w:tr>
        <w:tc>
          <w:tcPr>
            <w:tcW w:type="dxa" w:w="9072"/>
            <w:shd w:val="clear" w:color="auto" w:fill="EFF6FF"/>
          </w:tcPr>
          <w:p>
            <w:pPr>
              <w:spacing w:before="60"/>
            </w:pPr>
            <w:r>
              <w:rPr>
                <w:b/>
                <w:color w:val="1E3A5F"/>
                <w:sz w:val="20"/>
              </w:rPr>
              <w:t>ℹ  Abstract</w:t>
            </w:r>
          </w:p>
          <w:p>
            <w:pPr>
              <w:spacing w:after="80"/>
            </w:pPr>
            <w:r>
              <w:rPr>
                <w:sz w:val="19"/>
              </w:rPr>
              <w:t>FedChest AI is a privacy-preserving federated learning (FL) platform that enables multiple healthcare institutions to collaboratively train a high-accuracy multimodal diagnostic model for chest radiograph analysis. Raw patient images and Protected Health Information (PHI) never leave local hospital firewalls; only compact LoRA gradient updates are aggregated by the central Flower FL server. The system integrates three heterogeneous real-world datasets (NIH ChestX-ray14, RSNA Pneumonia, and SIIM Pneumothorax) as distinct hospital nodes, achieving multi-pathology differential diagnosis with real-time Grad-CAM saliency maps, bounding-box localization, and automated structured clinical report generation. A glassmorphic single-page web portal enables clinicians to upload scans for inference and hospital staff to upload local training samples without exposing PHI.</w:t>
            </w:r>
          </w:p>
        </w:tc>
      </w:tr>
    </w:tbl>
    <w:p/>
    <w:p>
      <w:r>
        <w:br w:type="page"/>
      </w:r>
    </w:p>
    <w:p>
      <w:pPr>
        <w:pStyle w:val="Heading1"/>
      </w:pPr>
      <w:r>
        <w:rPr>
          <w:color w:val="1E3A5F"/>
        </w:rPr>
        <w:t>Table of Contents</w:t>
      </w:r>
    </w:p>
    <w:p>
      <w:pPr>
        <w:spacing w:before="40" w:after="40"/>
        <w:ind w:left="288"/>
      </w:pPr>
      <w:r>
        <w:rPr>
          <w:b/>
          <w:color w:val="2563EB"/>
        </w:rPr>
        <w:t>1.</w:t>
      </w:r>
      <w:r>
        <w:t xml:space="preserve">  Project Overview</w:t>
      </w:r>
      <w:r>
        <w:rPr>
          <w:color w:val="6B7280"/>
        </w:rPr>
        <w:tab/>
        <w:t>3</w:t>
      </w:r>
    </w:p>
    <w:p>
      <w:pPr>
        <w:spacing w:before="40" w:after="40"/>
        <w:ind w:left="288"/>
      </w:pPr>
      <w:r>
        <w:rPr>
          <w:b/>
          <w:color w:val="2563EB"/>
        </w:rPr>
        <w:t>2.</w:t>
      </w:r>
      <w:r>
        <w:t xml:space="preserve">  System Architecture</w:t>
      </w:r>
      <w:r>
        <w:rPr>
          <w:color w:val="6B7280"/>
        </w:rPr>
        <w:tab/>
        <w:t>4</w:t>
      </w:r>
    </w:p>
    <w:p>
      <w:pPr>
        <w:spacing w:before="40" w:after="40"/>
        <w:ind w:left="288"/>
      </w:pPr>
      <w:r>
        <w:rPr>
          <w:b/>
          <w:color w:val="2563EB"/>
        </w:rPr>
        <w:t>3.</w:t>
      </w:r>
      <w:r>
        <w:t xml:space="preserve">  Dataset Design — Three Hospital Nodes</w:t>
      </w:r>
      <w:r>
        <w:rPr>
          <w:color w:val="6B7280"/>
        </w:rPr>
        <w:tab/>
        <w:t>5</w:t>
      </w:r>
    </w:p>
    <w:p>
      <w:pPr>
        <w:spacing w:before="40" w:after="40"/>
        <w:ind w:left="288"/>
      </w:pPr>
      <w:r>
        <w:rPr>
          <w:b/>
          <w:color w:val="2563EB"/>
        </w:rPr>
        <w:t>4.</w:t>
      </w:r>
      <w:r>
        <w:t xml:space="preserve">  Federated Learning Pipeline</w:t>
      </w:r>
      <w:r>
        <w:rPr>
          <w:color w:val="6B7280"/>
        </w:rPr>
        <w:tab/>
        <w:t>7</w:t>
      </w:r>
    </w:p>
    <w:p>
      <w:pPr>
        <w:spacing w:before="40" w:after="40"/>
        <w:ind w:left="288"/>
      </w:pPr>
      <w:r>
        <w:rPr>
          <w:b/>
          <w:color w:val="2563EB"/>
        </w:rPr>
        <w:t>5.</w:t>
      </w:r>
      <w:r>
        <w:t xml:space="preserve">  Model Architecture — MultimodalChestModel</w:t>
      </w:r>
      <w:r>
        <w:rPr>
          <w:color w:val="6B7280"/>
        </w:rPr>
        <w:tab/>
        <w:t>9</w:t>
      </w:r>
    </w:p>
    <w:p>
      <w:pPr>
        <w:spacing w:before="40" w:after="40"/>
        <w:ind w:left="288"/>
      </w:pPr>
      <w:r>
        <w:rPr>
          <w:b/>
          <w:color w:val="2563EB"/>
        </w:rPr>
        <w:t>6.</w:t>
      </w:r>
      <w:r>
        <w:t xml:space="preserve">  LoRA Parameter-Efficient Fine-Tuning</w:t>
      </w:r>
      <w:r>
        <w:rPr>
          <w:color w:val="6B7280"/>
        </w:rPr>
        <w:tab/>
        <w:t>11</w:t>
      </w:r>
    </w:p>
    <w:p>
      <w:pPr>
        <w:spacing w:before="40" w:after="40"/>
        <w:ind w:left="288"/>
      </w:pPr>
      <w:r>
        <w:rPr>
          <w:b/>
          <w:color w:val="2563EB"/>
        </w:rPr>
        <w:t>7.</w:t>
      </w:r>
      <w:r>
        <w:t xml:space="preserve">  PHI Scrubbing &amp; HIPAA Compliance</w:t>
      </w:r>
      <w:r>
        <w:rPr>
          <w:color w:val="6B7280"/>
        </w:rPr>
        <w:tab/>
        <w:t>12</w:t>
      </w:r>
    </w:p>
    <w:p>
      <w:pPr>
        <w:spacing w:before="40" w:after="40"/>
        <w:ind w:left="288"/>
      </w:pPr>
      <w:r>
        <w:rPr>
          <w:b/>
          <w:color w:val="2563EB"/>
        </w:rPr>
        <w:t>8.</w:t>
      </w:r>
      <w:r>
        <w:t xml:space="preserve">  Inference Engine &amp; API</w:t>
      </w:r>
      <w:r>
        <w:rPr>
          <w:color w:val="6B7280"/>
        </w:rPr>
        <w:tab/>
        <w:t>13</w:t>
      </w:r>
    </w:p>
    <w:p>
      <w:pPr>
        <w:spacing w:before="40" w:after="40"/>
        <w:ind w:left="288"/>
      </w:pPr>
      <w:r>
        <w:rPr>
          <w:b/>
          <w:color w:val="2563EB"/>
        </w:rPr>
        <w:t>9.</w:t>
      </w:r>
      <w:r>
        <w:t xml:space="preserve">  Grad-CAM Explainability &amp; Bounding Boxes</w:t>
      </w:r>
      <w:r>
        <w:rPr>
          <w:color w:val="6B7280"/>
        </w:rPr>
        <w:tab/>
        <w:t>14</w:t>
      </w:r>
    </w:p>
    <w:p>
      <w:pPr>
        <w:spacing w:before="40" w:after="40"/>
        <w:ind w:left="288"/>
      </w:pPr>
      <w:r>
        <w:rPr>
          <w:b/>
          <w:color w:val="2563EB"/>
        </w:rPr>
        <w:t>10.</w:t>
      </w:r>
      <w:r>
        <w:t xml:space="preserve">  Clinical Report Engine</w:t>
      </w:r>
      <w:r>
        <w:rPr>
          <w:color w:val="6B7280"/>
        </w:rPr>
        <w:tab/>
        <w:t>15</w:t>
      </w:r>
    </w:p>
    <w:p>
      <w:pPr>
        <w:spacing w:before="40" w:after="40"/>
        <w:ind w:left="288"/>
      </w:pPr>
      <w:r>
        <w:rPr>
          <w:b/>
          <w:color w:val="2563EB"/>
        </w:rPr>
        <w:t>11.</w:t>
      </w:r>
      <w:r>
        <w:t xml:space="preserve">  Clinician Dashboard &amp; Training Hub</w:t>
      </w:r>
      <w:r>
        <w:rPr>
          <w:color w:val="6B7280"/>
        </w:rPr>
        <w:tab/>
        <w:t>16</w:t>
      </w:r>
    </w:p>
    <w:p>
      <w:pPr>
        <w:spacing w:before="40" w:after="40"/>
        <w:ind w:left="288"/>
      </w:pPr>
      <w:r>
        <w:rPr>
          <w:b/>
          <w:color w:val="2563EB"/>
        </w:rPr>
        <w:t>12.</w:t>
      </w:r>
      <w:r>
        <w:t xml:space="preserve">  File-by-File Technical Reference</w:t>
      </w:r>
      <w:r>
        <w:rPr>
          <w:color w:val="6B7280"/>
        </w:rPr>
        <w:tab/>
        <w:t>18</w:t>
      </w:r>
    </w:p>
    <w:p>
      <w:pPr>
        <w:spacing w:before="40" w:after="40"/>
        <w:ind w:left="288"/>
      </w:pPr>
      <w:r>
        <w:rPr>
          <w:b/>
          <w:color w:val="2563EB"/>
        </w:rPr>
        <w:t>13.</w:t>
      </w:r>
      <w:r>
        <w:t xml:space="preserve">  Prerequisites &amp; Setup</w:t>
      </w:r>
      <w:r>
        <w:rPr>
          <w:color w:val="6B7280"/>
        </w:rPr>
        <w:tab/>
        <w:t>21</w:t>
      </w:r>
    </w:p>
    <w:p>
      <w:pPr>
        <w:spacing w:before="40" w:after="40"/>
        <w:ind w:left="288"/>
      </w:pPr>
      <w:r>
        <w:rPr>
          <w:b/>
          <w:color w:val="2563EB"/>
        </w:rPr>
        <w:t>14.</w:t>
      </w:r>
      <w:r>
        <w:t xml:space="preserve">  Known Limitations &amp; Future Work</w:t>
      </w:r>
      <w:r>
        <w:rPr>
          <w:color w:val="6B7280"/>
        </w:rPr>
        <w:tab/>
        <w:t>23</w:t>
      </w:r>
    </w:p>
    <w:p>
      <w:r>
        <w:br w:type="page"/>
      </w:r>
    </w:p>
    <w:p>
      <w:pPr>
        <w:pStyle w:val="Heading1"/>
      </w:pPr>
      <w:r>
        <w:rPr>
          <w:color w:val="1E3A5F"/>
        </w:rPr>
        <w:t>1. Project Overview</w:t>
      </w:r>
    </w:p>
    <w:p>
      <w:pPr>
        <w:spacing w:before="80" w:after="80"/>
        <w:pBdr>
          <w:bottom w:val="single" w:sz="6" w:space="1" w:color="3B82F6"/>
        </w:pBdr>
      </w:pPr>
    </w:p>
    <w:p>
      <w:r>
        <w:t>FedChest AI addresses a fundamental tension in medical AI: training high-performing diagnostic models requires large, diverse patient datasets, yet privacy regulations (HIPAA, GDPR) forbid centralising raw clinical records. Federated Learning resolves this by training models locally at each institution and sharing only encrypted parameter updates — never patient images.</w:t>
      </w:r>
    </w:p>
    <w:p>
      <w:pPr>
        <w:pStyle w:val="Heading2"/>
      </w:pPr>
      <w:r>
        <w:t>1.1  Problem Statement</w:t>
      </w:r>
    </w:p>
    <w:p>
      <w:r>
        <w:t>Chest radiographs are the most frequently performed diagnostic imaging study worldwide. Automated AI-assisted reading has shown promise in detecting pneumonia, atelectasis, cardiomegaly, and 11 other clinically significant findings. However:</w:t>
      </w:r>
    </w:p>
    <w:p>
      <w:pPr>
        <w:pStyle w:val="ListBullet"/>
        <w:ind w:left="576"/>
      </w:pPr>
      <w:r>
        <w:t>Single-institution datasets are too small and demographically narrow for robust generalisation.</w:t>
      </w:r>
    </w:p>
    <w:p>
      <w:pPr>
        <w:pStyle w:val="ListBullet"/>
        <w:ind w:left="576"/>
      </w:pPr>
      <w:r>
        <w:t>Pooling data across hospitals violates patient privacy agreements and regulatory requirements.</w:t>
      </w:r>
    </w:p>
    <w:p>
      <w:pPr>
        <w:pStyle w:val="ListBullet"/>
        <w:ind w:left="576"/>
      </w:pPr>
      <w:r>
        <w:t>Annotation styles (bounding boxes, RLE masks, multi-label strings) differ across institutions.</w:t>
      </w:r>
    </w:p>
    <w:p>
      <w:pPr>
        <w:pStyle w:val="Heading2"/>
      </w:pPr>
      <w:r>
        <w:t>1.2  Solution — Federated Multimodal Learning</w:t>
      </w:r>
    </w:p>
    <w:p>
      <w:r>
        <w:t>FedChest AI solves this by treating each hospital as an independent FL client. Each client trains a lightweight LoRA adapter on top of a frozen DenseNet-121 backbone using its private local dataset. Only the small adapter weights (~270 k parameters) are exchanged with the central server, which averages them using the FedAvg algorithm and returns the improved global model to all clients.</w:t>
      </w:r>
    </w:p>
    <w:p>
      <w:pPr>
        <w:pStyle w:val="Heading2"/>
      </w:pPr>
      <w:r>
        <w:t>1.3  Key Contributions</w:t>
      </w:r>
    </w:p>
    <w:p>
      <w:pPr>
        <w:ind w:left="432"/>
      </w:pPr>
      <w:r>
        <w:rPr>
          <w:b/>
          <w:color w:val="2563EB"/>
        </w:rPr>
        <w:t xml:space="preserve">• Multi-dataset heterogeneity handling: </w:t>
      </w:r>
      <w:r>
        <w:t>Unified PyTorch Dataset factory resolves PNG / DICOM image formats and three distinct annotation schemas.</w:t>
      </w:r>
    </w:p>
    <w:p>
      <w:pPr>
        <w:ind w:left="432"/>
      </w:pPr>
      <w:r>
        <w:rPr>
          <w:b/>
          <w:color w:val="2563EB"/>
        </w:rPr>
        <w:t xml:space="preserve">• Parameter-efficient FL: </w:t>
      </w:r>
      <w:r>
        <w:t>LoRA adapters limit exchanged payload to &lt;300 k parameters, drastically reducing communication overhead.</w:t>
      </w:r>
    </w:p>
    <w:p>
      <w:pPr>
        <w:ind w:left="432"/>
      </w:pPr>
      <w:r>
        <w:rPr>
          <w:b/>
          <w:color w:val="2563EB"/>
        </w:rPr>
        <w:t xml:space="preserve">• HIPAA-compliant pipeline: </w:t>
      </w:r>
      <w:r>
        <w:t>18 DICOM PHI tags are automatically scrubbed before any processing.</w:t>
      </w:r>
    </w:p>
    <w:p>
      <w:pPr>
        <w:ind w:left="432"/>
      </w:pPr>
      <w:r>
        <w:rPr>
          <w:b/>
          <w:color w:val="2563EB"/>
        </w:rPr>
        <w:t xml:space="preserve">• Real-time XAI: </w:t>
      </w:r>
      <w:r>
        <w:t>Grad-CAM saliency heatmaps and BFS-based bounding box generation run at inference time.</w:t>
      </w:r>
    </w:p>
    <w:p>
      <w:pPr>
        <w:ind w:left="432"/>
      </w:pPr>
      <w:r>
        <w:rPr>
          <w:b/>
          <w:color w:val="2563EB"/>
        </w:rPr>
        <w:t xml:space="preserve">• Integrated clinical portal: </w:t>
      </w:r>
      <w:r>
        <w:t>A glassmorphic FastAPI + HTML dashboard unifies scan inference and hospital-node training.</w:t>
      </w:r>
    </w:p>
    <w:p>
      <w:r>
        <w:br w:type="page"/>
      </w:r>
    </w:p>
    <w:p>
      <w:pPr>
        <w:pStyle w:val="Heading1"/>
      </w:pPr>
      <w:r>
        <w:rPr>
          <w:color w:val="1E3A5F"/>
        </w:rPr>
        <w:t>2. System Architecture</w:t>
      </w:r>
    </w:p>
    <w:p>
      <w:pPr>
        <w:spacing w:before="80" w:after="80"/>
        <w:pBdr>
          <w:bottom w:val="single" w:sz="6" w:space="1" w:color="3B82F6"/>
        </w:pBdr>
      </w:pPr>
    </w:p>
    <w:p>
      <w:r>
        <w:t>The system is composed of five logical tiers that interact during both the training and inference phases:</w:t>
      </w:r>
    </w:p>
    <w:p>
      <w:pPr>
        <w:spacing w:before="80" w:after="40"/>
      </w:pPr>
      <w:r>
        <w:rPr>
          <w:b/>
          <w:color w:val="1E3A5F"/>
          <w:sz w:val="22"/>
        </w:rPr>
        <w:t>Tier 1 — Data Layer</w:t>
        <w:br/>
      </w:r>
      <w:r>
        <w:t>Each hospital node stores raw images locally (PNG or DICOM). A Python data-split script generates a lean metadata.csv index per node without moving any image files.</w:t>
      </w:r>
    </w:p>
    <w:p>
      <w:pPr>
        <w:spacing w:before="80" w:after="40"/>
      </w:pPr>
      <w:r>
        <w:rPr>
          <w:b/>
          <w:color w:val="1E3A5F"/>
          <w:sz w:val="22"/>
        </w:rPr>
        <w:t>Tier 2 — Dataset Abstraction Layer</w:t>
        <w:br/>
      </w:r>
      <w:r>
        <w:t>dataset.py provides BaseHospitalDataset with three concrete subclasses (NIHHospitalDataset, RSNAHospitalDataset, SIIMHospitalDataset). A factory function get_hospital_dataset() auto-detects the correct class from the metadata.</w:t>
      </w:r>
    </w:p>
    <w:p>
      <w:pPr>
        <w:spacing w:before="80" w:after="40"/>
      </w:pPr>
      <w:r>
        <w:rPr>
          <w:b/>
          <w:color w:val="1E3A5F"/>
          <w:sz w:val="22"/>
        </w:rPr>
        <w:t>Tier 3 — Model Layer</w:t>
        <w:br/>
      </w:r>
      <w:r>
        <w:t>model.py defines MultimodalChestModel — a frozen DenseNet-121 backbone augmented with LoRA adapters in denseblock4 and a lightweight clinical metadata fusion head.</w:t>
      </w:r>
    </w:p>
    <w:p>
      <w:pPr>
        <w:spacing w:before="80" w:after="40"/>
      </w:pPr>
      <w:r>
        <w:rPr>
          <w:b/>
          <w:color w:val="1E3A5F"/>
          <w:sz w:val="22"/>
        </w:rPr>
        <w:t>Tier 4 — Federated Learning Layer</w:t>
        <w:br/>
      </w:r>
      <w:r>
        <w:t>client.py implements a Flower NumPyClient per hospital node. server.py runs a central SavingFedAvg strategy, aggregating updates and saving the best global checkpoint after each FL round.</w:t>
      </w:r>
    </w:p>
    <w:p>
      <w:pPr>
        <w:spacing w:before="80" w:after="40"/>
      </w:pPr>
      <w:r>
        <w:rPr>
          <w:b/>
          <w:color w:val="1E3A5F"/>
          <w:sz w:val="22"/>
        </w:rPr>
        <w:t>Tier 5 — Inference &amp; Portal Layer</w:t>
        <w:br/>
      </w:r>
      <w:r>
        <w:t>app.py (FastAPI) exposes /predict, /api/train-local, /api/upload-training-sample endpoints. dashboard.html is the single-page clinical interface served at the root URL.</w:t>
      </w:r>
    </w:p>
    <w:p>
      <w:pPr>
        <w:pStyle w:val="Heading2"/>
      </w:pPr>
      <w:r>
        <w:t>2.1  Data Flow Summary</w:t>
      </w:r>
    </w:p>
    <w:p>
      <w:pPr>
        <w:spacing w:before="80" w:after="80"/>
        <w:ind w:left="432"/>
        <w:shd w:val="clear" w:color="auto" w:fill="1E293B"/>
      </w:pPr>
      <w:r>
        <w:rPr>
          <w:rFonts w:ascii="Courier New" w:hAnsi="Courier New"/>
          <w:color w:val="A5F3FC"/>
          <w:sz w:val="17"/>
        </w:rPr>
        <w:t>[Hospital Node Data]  ──────────────────────────────────────────────────────────────────</w:t>
        <w:br/>
        <w:t xml:space="preserve">     PNG / DCM images              ─── dataset.py (Dataset Factory) ─► Tensor batches</w:t>
        <w:br/>
        <w:t xml:space="preserve">     metadata.csv index                                                         │</w:t>
        <w:br/>
        <w:t xml:space="preserve">                                                                                ▼</w:t>
        <w:br/>
        <w:t xml:space="preserve">                                                               model.py (MultimodalChestModel)</w:t>
        <w:br/>
        <w:t xml:space="preserve">                                                                                │</w:t>
        <w:br/>
        <w:t xml:space="preserve">                                            ┌───────────────────────────────────┘</w:t>
        <w:br/>
        <w:t xml:space="preserve">                                            │  LoRA weight deltas ONLY (no images)</w:t>
        <w:br/>
        <w:t xml:space="preserve">                                            ▼</w:t>
        <w:br/>
        <w:t xml:space="preserve">                               [FL Server]  server.py (SavingFedAvg)</w:t>
        <w:br/>
        <w:t xml:space="preserve">                                            │  Aggregated global LoRA weights</w:t>
        <w:br/>
        <w:t xml:space="preserve">                                            └──► All hospital nodes updated</w:t>
        <w:br/>
        <w:br/>
        <w:t>[Inference Path]</w:t>
        <w:br/>
        <w:t xml:space="preserve">     Upload scan ─► app.py /predict ─► PHI scrub ─► preprocess ─► model ─► Grad-CAM</w:t>
        <w:br/>
        <w:t xml:space="preserve">                                                                                │</w:t>
        <w:br/>
        <w:t xml:space="preserve">                                              probabilities + heatmap + report ─►  dashboard.html</w:t>
      </w:r>
    </w:p>
    <w:p>
      <w:r>
        <w:br w:type="page"/>
      </w:r>
    </w:p>
    <w:p>
      <w:pPr>
        <w:pStyle w:val="Heading1"/>
      </w:pPr>
      <w:r>
        <w:rPr>
          <w:color w:val="1E3A5F"/>
        </w:rPr>
        <w:t>3. Dataset Design — Three Hospital Nodes</w:t>
      </w:r>
    </w:p>
    <w:p>
      <w:pPr>
        <w:spacing w:before="80" w:after="80"/>
        <w:pBdr>
          <w:bottom w:val="single" w:sz="6" w:space="1" w:color="3B82F6"/>
        </w:pBdr>
      </w:pPr>
    </w:p>
    <w:p>
      <w:r>
        <w:t>The three public datasets used in this project represent genuinely different annotation paradigms commonly found across real hospital systems. Each is treated as an independent hospital node with a private local image store and a shared metadata schema.</w:t>
      </w:r>
    </w:p>
    <w:p>
      <w:pPr>
        <w:pStyle w:val="Heading2"/>
      </w:pPr>
      <w:r>
        <w:t>3.1  Dataset Comparison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E3A5F"/>
          </w:tcPr>
          <w:p>
            <w:r>
              <w:rPr>
                <w:b/>
                <w:color w:val="FFFFFF"/>
                <w:sz w:val="18"/>
              </w:rPr>
              <w:t>Hospital Node</w:t>
            </w:r>
          </w:p>
        </w:tc>
        <w:tc>
          <w:tcPr>
            <w:tcW w:type="dxa" w:w="1814"/>
            <w:shd w:val="clear" w:color="auto" w:fill="1E3A5F"/>
          </w:tcPr>
          <w:p>
            <w:r>
              <w:rPr>
                <w:b/>
                <w:color w:val="FFFFFF"/>
                <w:sz w:val="18"/>
              </w:rPr>
              <w:t>Source Dataset</w:t>
            </w:r>
          </w:p>
        </w:tc>
        <w:tc>
          <w:tcPr>
            <w:tcW w:type="dxa" w:w="1814"/>
            <w:shd w:val="clear" w:color="auto" w:fill="1E3A5F"/>
          </w:tcPr>
          <w:p>
            <w:r>
              <w:rPr>
                <w:b/>
                <w:color w:val="FFFFFF"/>
                <w:sz w:val="18"/>
              </w:rPr>
              <w:t>Image Format</w:t>
            </w:r>
          </w:p>
        </w:tc>
        <w:tc>
          <w:tcPr>
            <w:tcW w:type="dxa" w:w="1814"/>
            <w:shd w:val="clear" w:color="auto" w:fill="1E3A5F"/>
          </w:tcPr>
          <w:p>
            <w:r>
              <w:rPr>
                <w:b/>
                <w:color w:val="FFFFFF"/>
                <w:sz w:val="18"/>
              </w:rPr>
              <w:t>Annotation Type</w:t>
            </w:r>
          </w:p>
        </w:tc>
        <w:tc>
          <w:tcPr>
            <w:tcW w:type="dxa" w:w="1814"/>
            <w:shd w:val="clear" w:color="auto" w:fill="1E3A5F"/>
          </w:tcPr>
          <w:p>
            <w:r>
              <w:rPr>
                <w:b/>
                <w:color w:val="FFFFFF"/>
                <w:sz w:val="18"/>
              </w:rPr>
              <w:t>Labels</w:t>
            </w:r>
          </w:p>
        </w:tc>
      </w:tr>
      <w:tr>
        <w:tc>
          <w:tcPr>
            <w:tcW w:type="dxa" w:w="1814"/>
            <w:shd w:val="clear" w:color="auto" w:fill="F0F9FF"/>
          </w:tcPr>
          <w:p>
            <w:r>
              <w:rPr>
                <w:sz w:val="18"/>
              </w:rPr>
              <w:t>Hospital NIH</w:t>
            </w:r>
          </w:p>
        </w:tc>
        <w:tc>
          <w:tcPr>
            <w:tcW w:type="dxa" w:w="1814"/>
            <w:shd w:val="clear" w:color="auto" w:fill="F0F9FF"/>
          </w:tcPr>
          <w:p>
            <w:r>
              <w:rPr>
                <w:sz w:val="18"/>
              </w:rPr>
              <w:t>NIH ChestX-ray14</w:t>
            </w:r>
          </w:p>
        </w:tc>
        <w:tc>
          <w:tcPr>
            <w:tcW w:type="dxa" w:w="1814"/>
            <w:shd w:val="clear" w:color="auto" w:fill="F0F9FF"/>
          </w:tcPr>
          <w:p>
            <w:r>
              <w:rPr>
                <w:sz w:val="18"/>
              </w:rPr>
              <w:t>PNG (1024×1024)</w:t>
            </w:r>
          </w:p>
        </w:tc>
        <w:tc>
          <w:tcPr>
            <w:tcW w:type="dxa" w:w="1814"/>
            <w:shd w:val="clear" w:color="auto" w:fill="F0F9FF"/>
          </w:tcPr>
          <w:p>
            <w:r>
              <w:rPr>
                <w:sz w:val="18"/>
              </w:rPr>
              <w:t>Multi-label strings + bounding boxes</w:t>
            </w:r>
          </w:p>
        </w:tc>
        <w:tc>
          <w:tcPr>
            <w:tcW w:type="dxa" w:w="1814"/>
            <w:shd w:val="clear" w:color="auto" w:fill="F0F9FF"/>
          </w:tcPr>
          <w:p>
            <w:r>
              <w:rPr>
                <w:sz w:val="18"/>
              </w:rPr>
              <w:t>14 pathologies</w:t>
            </w:r>
          </w:p>
        </w:tc>
      </w:tr>
      <w:tr>
        <w:tc>
          <w:tcPr>
            <w:tcW w:type="dxa" w:w="1814"/>
            <w:shd w:val="clear" w:color="auto" w:fill="FFFFFF"/>
          </w:tcPr>
          <w:p>
            <w:r>
              <w:rPr>
                <w:sz w:val="18"/>
              </w:rPr>
              <w:t>Hospital RSNA</w:t>
            </w:r>
          </w:p>
        </w:tc>
        <w:tc>
          <w:tcPr>
            <w:tcW w:type="dxa" w:w="1814"/>
            <w:shd w:val="clear" w:color="auto" w:fill="FFFFFF"/>
          </w:tcPr>
          <w:p>
            <w:r>
              <w:rPr>
                <w:sz w:val="18"/>
              </w:rPr>
              <w:t>RSNA Pneumonia Detection Challenge</w:t>
            </w:r>
          </w:p>
        </w:tc>
        <w:tc>
          <w:tcPr>
            <w:tcW w:type="dxa" w:w="1814"/>
            <w:shd w:val="clear" w:color="auto" w:fill="FFFFFF"/>
          </w:tcPr>
          <w:p>
            <w:r>
              <w:rPr>
                <w:sz w:val="18"/>
              </w:rPr>
              <w:t>DICOM (.dcm)</w:t>
            </w:r>
          </w:p>
        </w:tc>
        <w:tc>
          <w:tcPr>
            <w:tcW w:type="dxa" w:w="1814"/>
            <w:shd w:val="clear" w:color="auto" w:fill="FFFFFF"/>
          </w:tcPr>
          <w:p>
            <w:r>
              <w:rPr>
                <w:sz w:val="18"/>
              </w:rPr>
              <w:t>Bounding boxes (x,y,w,h)</w:t>
            </w:r>
          </w:p>
        </w:tc>
        <w:tc>
          <w:tcPr>
            <w:tcW w:type="dxa" w:w="1814"/>
            <w:shd w:val="clear" w:color="auto" w:fill="FFFFFF"/>
          </w:tcPr>
          <w:p>
            <w:r>
              <w:rPr>
                <w:sz w:val="18"/>
              </w:rPr>
              <w:t>Pneumonia present / absent</w:t>
            </w:r>
          </w:p>
        </w:tc>
      </w:tr>
      <w:tr>
        <w:tc>
          <w:tcPr>
            <w:tcW w:type="dxa" w:w="1814"/>
            <w:shd w:val="clear" w:color="auto" w:fill="F0F9FF"/>
          </w:tcPr>
          <w:p>
            <w:r>
              <w:rPr>
                <w:sz w:val="18"/>
              </w:rPr>
              <w:t>Hospital SIIM</w:t>
            </w:r>
          </w:p>
        </w:tc>
        <w:tc>
          <w:tcPr>
            <w:tcW w:type="dxa" w:w="1814"/>
            <w:shd w:val="clear" w:color="auto" w:fill="F0F9FF"/>
          </w:tcPr>
          <w:p>
            <w:r>
              <w:rPr>
                <w:sz w:val="18"/>
              </w:rPr>
              <w:t>SIIM-ACR Pneumothorax Segmentation</w:t>
            </w:r>
          </w:p>
        </w:tc>
        <w:tc>
          <w:tcPr>
            <w:tcW w:type="dxa" w:w="1814"/>
            <w:shd w:val="clear" w:color="auto" w:fill="F0F9FF"/>
          </w:tcPr>
          <w:p>
            <w:r>
              <w:rPr>
                <w:sz w:val="18"/>
              </w:rPr>
              <w:t>DICOM (.dcm)</w:t>
            </w:r>
          </w:p>
        </w:tc>
        <w:tc>
          <w:tcPr>
            <w:tcW w:type="dxa" w:w="1814"/>
            <w:shd w:val="clear" w:color="auto" w:fill="F0F9FF"/>
          </w:tcPr>
          <w:p>
            <w:r>
              <w:rPr>
                <w:sz w:val="18"/>
              </w:rPr>
              <w:t>RLE segmentation masks</w:t>
            </w:r>
          </w:p>
        </w:tc>
        <w:tc>
          <w:tcPr>
            <w:tcW w:type="dxa" w:w="1814"/>
            <w:shd w:val="clear" w:color="auto" w:fill="F0F9FF"/>
          </w:tcPr>
          <w:p>
            <w:r>
              <w:rPr>
                <w:sz w:val="18"/>
              </w:rPr>
              <w:t>Pneumothorax present / absent</w:t>
            </w:r>
          </w:p>
        </w:tc>
      </w:tr>
    </w:tbl>
    <w:p/>
    <w:p>
      <w:pPr>
        <w:pStyle w:val="Heading2"/>
      </w:pPr>
      <w:r>
        <w:t>3.2  Hospital NIH — NIH ChestX-ray14 Node</w:t>
      </w:r>
    </w:p>
    <w:p>
      <w:r>
        <w:t>Source: U.S. National Institutes of Health Clinical Center (Wang et al., 2017). Contains 112,120 frontal-view chest radiographs from 30,805 unique patients with 14 disease labels annotated by NLP mining of radiology reports. Bounding box annotations exist for a subset of 984 images across 8 pathologies (BBox_List_2017.csv).</w:t>
      </w:r>
    </w:p>
    <w:p>
      <w:r>
        <w:t>Local storage: images/ directory containing PNG files. Node metadata: data/hospital_nih/metadata.csv preserving Image Index, Finding Labels (pipe-delimited), Patient Age, Patient Gender, View Position, and Dataset_Type = 'nih'. Labels are converted to a 14-dimensional binary vector by NIHHospitalDataset.__getitem__().</w:t>
      </w:r>
    </w:p>
    <w:p>
      <w:pPr>
        <w:pStyle w:val="Heading2"/>
      </w:pPr>
      <w:r>
        <w:t>3.3  Hospital RSNA — RSNA Pneumonia Detection Node</w:t>
      </w:r>
    </w:p>
    <w:p>
      <w:r>
        <w:t>Source: RSNA Pneumonia Detection Challenge (Kaggle 2018). Contains ~26,684 DICOM chest radiographs with per-patient pneumonia binary labels and bounding box coordinates for pneumonia-positive cases. stage_2_train_labels.csv and stage_2_detailed_class_info.csv provide labels and class metadata.</w:t>
      </w:r>
    </w:p>
    <w:p>
      <w:r>
        <w:t>Local storage: stage_2_train_images/ directory of .dcm DICOM files. Node metadata: data/hospital_rsna/metadata.csv with patientId, Target (0/1), x, y, width, height, Dataset_Type = 'rsna'. RSNAHospitalDataset maps the binary Target to Pneumonia label index 6 within the 14-class output vector.</w:t>
      </w:r>
    </w:p>
    <w:p>
      <w:pPr>
        <w:pStyle w:val="Heading2"/>
      </w:pPr>
      <w:r>
        <w:t>3.4  Hospital SIIM — SIIM Pneumothorax Segmentation Node</w:t>
      </w:r>
    </w:p>
    <w:p>
      <w:r>
        <w:t>Source: SIIM-ACR Pneumothorax Segmentation Competition (2019). Contains DICOM chest radiographs with pixel-level RLE-encoded pneumothorax segmentation masks. stage_2_train.csv holds ImageId and EncodedPixels columns; a mask value of '-1' indicates no pneumothorax.</w:t>
      </w:r>
    </w:p>
    <w:p>
      <w:r>
        <w:t>Local storage: siim-acr-pneumothorax-segmentation/stage_2_images/ directory of .dcm files. Node metadata: data/hospital_siim/metadata.csv with ImageId, HasPneumothorax (0/1 derived from RLE), Dataset_Type = 'siim'. SIIMHospitalDataset maps HasPneumothorax to Pneumothorax label index 7 in the 14-class output vector.</w:t>
      </w:r>
    </w:p>
    <w:p>
      <w:pPr>
        <w:pStyle w:val="Heading2"/>
      </w:pPr>
      <w:r>
        <w:t>3.5  data_split.py — Dataset Partitioner</w:t>
      </w:r>
    </w:p>
    <w:p>
      <w:r>
        <w:t>Running python3 data_split.py performs a one-time preprocessing step that generates metadata CSVs for each hospital node without copying any image files. This keeps disk usage minimal and ensures image data never leaves its original storage location.</w:t>
      </w:r>
    </w:p>
    <w:p>
      <w:pPr>
        <w:spacing w:before="80" w:after="80"/>
        <w:ind w:left="432"/>
        <w:shd w:val="clear" w:color="auto" w:fill="1E293B"/>
      </w:pPr>
      <w:r>
        <w:rPr>
          <w:rFonts w:ascii="Courier New" w:hAnsi="Courier New"/>
          <w:color w:val="A5F3FC"/>
          <w:sz w:val="17"/>
        </w:rPr>
        <w:t>python3 data_split.py</w:t>
        <w:br/>
        <w:br/>
        <w:t># Outputs:</w:t>
        <w:br/>
        <w:t># data/hospital_nih/metadata.csv     (NIH pathology labels)</w:t>
        <w:br/>
        <w:t># data/hospital_rsna/metadata.csv    (RSNA pneumonia labels)</w:t>
        <w:br/>
        <w:t># data/hospital_siim/metadata.csv    (SIIM pneumothorax labels)</w:t>
      </w:r>
    </w:p>
    <w:p>
      <w:r>
        <w:br w:type="page"/>
      </w:r>
    </w:p>
    <w:p>
      <w:pPr>
        <w:pStyle w:val="Heading1"/>
      </w:pPr>
      <w:r>
        <w:rPr>
          <w:color w:val="1E3A5F"/>
        </w:rPr>
        <w:t>4. Federated Learning Pipeline</w:t>
      </w:r>
    </w:p>
    <w:p>
      <w:pPr>
        <w:spacing w:before="80" w:after="80"/>
        <w:pBdr>
          <w:bottom w:val="single" w:sz="6" w:space="1" w:color="3B82F6"/>
        </w:pBdr>
      </w:pPr>
    </w:p>
    <w:p>
      <w:r>
        <w:t>FedChest AI implements the FedAvg algorithm (McMahan et al., 2017) using the Flower (flwr) federated learning framework. The pipeline consists of one central aggregation server and N=3 hospital client processes communicating over gRPC.</w:t>
      </w:r>
    </w:p>
    <w:p>
      <w:pPr>
        <w:pStyle w:val="Heading2"/>
      </w:pPr>
      <w:r>
        <w:t>4.1  FL Protocol Overview</w:t>
      </w:r>
    </w:p>
    <w:p>
      <w:pPr>
        <w:spacing w:before="60"/>
        <w:ind w:left="432"/>
      </w:pPr>
      <w:r>
        <w:rPr>
          <w:b/>
          <w:color w:val="2563EB"/>
        </w:rPr>
        <w:t xml:space="preserve">1. </w:t>
      </w:r>
      <w:r>
        <w:t>Server initialises the global MultimodalChestModel and broadcasts the initial LoRA weight parameters to all available clients.</w:t>
      </w:r>
    </w:p>
    <w:p>
      <w:pPr>
        <w:spacing w:before="60"/>
        <w:ind w:left="432"/>
      </w:pPr>
      <w:r>
        <w:rPr>
          <w:b/>
          <w:color w:val="2563EB"/>
        </w:rPr>
        <w:t xml:space="preserve">2. </w:t>
      </w:r>
      <w:r>
        <w:t>Each hospital client receives the global parameters and loads its private local dataset via the dataset factory.</w:t>
      </w:r>
    </w:p>
    <w:p>
      <w:pPr>
        <w:spacing w:before="60"/>
        <w:ind w:left="432"/>
      </w:pPr>
      <w:r>
        <w:rPr>
          <w:b/>
          <w:color w:val="2563EB"/>
        </w:rPr>
        <w:t xml:space="preserve">3. </w:t>
      </w:r>
      <w:r>
        <w:t>Client performs LOCAL_EPOCHS = 1 epoch of local mini-batch SGD training on its node (BATCH_SIZE = 4, LR = 1e-3), computing a BCE loss over 14 target classes.</w:t>
      </w:r>
    </w:p>
    <w:p>
      <w:pPr>
        <w:spacing w:before="60"/>
        <w:ind w:left="432"/>
      </w:pPr>
      <w:r>
        <w:rPr>
          <w:b/>
          <w:color w:val="2563EB"/>
        </w:rPr>
        <w:t xml:space="preserve">4. </w:t>
      </w:r>
      <w:r>
        <w:t>Client serialises only the trainable LoRA parameter arrays (~270 k float32 values) and returns them to the server along with dataset sample count.</w:t>
      </w:r>
    </w:p>
    <w:p>
      <w:pPr>
        <w:spacing w:before="60"/>
        <w:ind w:left="432"/>
      </w:pPr>
      <w:r>
        <w:rPr>
          <w:b/>
          <w:color w:val="2563EB"/>
        </w:rPr>
        <w:t xml:space="preserve">5. </w:t>
      </w:r>
      <w:r>
        <w:t>Server computes sample-count-weighted average of all client LoRA updates (FedAvg) and updates the global model.</w:t>
      </w:r>
    </w:p>
    <w:p>
      <w:pPr>
        <w:spacing w:before="60"/>
        <w:ind w:left="432"/>
      </w:pPr>
      <w:r>
        <w:rPr>
          <w:b/>
          <w:color w:val="2563EB"/>
        </w:rPr>
        <w:t xml:space="preserve">6. </w:t>
      </w:r>
      <w:r>
        <w:t>Server saves the best global checkpoint to checkpoints/global_fedchest_model.pt.</w:t>
      </w:r>
    </w:p>
    <w:p>
      <w:pPr>
        <w:spacing w:before="60"/>
        <w:ind w:left="432"/>
      </w:pPr>
      <w:r>
        <w:rPr>
          <w:b/>
          <w:color w:val="2563EB"/>
        </w:rPr>
        <w:t xml:space="preserve">7. </w:t>
      </w:r>
      <w:r>
        <w:t>Steps 2–6 repeat for the configured number of FL rounds.</w:t>
      </w:r>
    </w:p>
    <w:p>
      <w:pPr>
        <w:pStyle w:val="Heading2"/>
      </w:pPr>
      <w:r>
        <w:t>4.2  server.py — Central Aggregation Server</w:t>
      </w:r>
    </w:p>
    <w:p>
      <w:r>
        <w:t>server.py defines SavingFedAvg, a subclass of flwr.server.strategy.FedAvg, that hooks into aggregate_fit() to save the aggregated model weights to disk after every round. This ensures the latest global model is always persisted for inference.</w:t>
      </w:r>
    </w:p>
    <w:p>
      <w:pPr>
        <w:spacing w:before="80" w:after="80"/>
        <w:ind w:left="432"/>
        <w:shd w:val="clear" w:color="auto" w:fill="1E293B"/>
      </w:pPr>
      <w:r>
        <w:rPr>
          <w:rFonts w:ascii="Courier New" w:hAnsi="Courier New"/>
          <w:color w:val="A5F3FC"/>
          <w:sz w:val="17"/>
        </w:rPr>
        <w:t>class SavingFedAvg(FedAvg):</w:t>
        <w:br/>
        <w:t xml:space="preserve">    def aggregate_fit(self, server_round, results, failures):</w:t>
        <w:br/>
        <w:t xml:space="preserve">        aggregated_parameters, metrics = super().aggregate_fit(...)</w:t>
        <w:br/>
        <w:t xml:space="preserve">        # Save best global weights to checkpoints/global_fedchest_model.pt</w:t>
        <w:br/>
        <w:t xml:space="preserve">        torch.save(state_dict, checkpoint_path)</w:t>
        <w:br/>
        <w:t xml:space="preserve">        return aggregated_parameters, metrics</w:t>
        <w:br/>
        <w:br/>
        <w:t># Startup: requires min 3 clients (one per hospital node)</w:t>
        <w:br/>
        <w:t>strategy = SavingFedAvg(min_fit_clients=3, min_evaluate_clients=3, min_available_clients=3)</w:t>
        <w:br/>
        <w:t>fl.server.start_server(server_address="0.0.0.0:8080", strategy=strategy, config=ServerConfig(num_rounds=5))</w:t>
      </w:r>
    </w:p>
    <w:p>
      <w:pPr>
        <w:pStyle w:val="Heading2"/>
      </w:pPr>
      <w:r>
        <w:t>4.3  client.py — Hospital FL Client</w:t>
      </w:r>
    </w:p>
    <w:p>
      <w:r>
        <w:t>ChestXRayClient extends flwr.client.NumPyClient and encapsulates the local dataset, model, optimiser, and mixed-precision AMP scaler. The three required Flower methods are:</w:t>
      </w:r>
    </w:p>
    <w:p>
      <w:pPr>
        <w:ind w:left="576"/>
      </w:pPr>
      <w:r>
        <w:rPr>
          <w:rFonts w:ascii="Courier New" w:hAnsi="Courier New"/>
          <w:b/>
          <w:color w:val="7C3AED"/>
        </w:rPr>
        <w:t xml:space="preserve">• get_parameters(config): </w:t>
      </w:r>
      <w:r>
        <w:t>Extracts all trainable LoRA parameter tensors as numpy arrays for transmission to the server.</w:t>
      </w:r>
    </w:p>
    <w:p>
      <w:pPr>
        <w:ind w:left="576"/>
      </w:pPr>
      <w:r>
        <w:rPr>
          <w:rFonts w:ascii="Courier New" w:hAnsi="Courier New"/>
          <w:b/>
          <w:color w:val="7C3AED"/>
        </w:rPr>
        <w:t xml:space="preserve">• fit(parameters, config): </w:t>
      </w:r>
      <w:r>
        <w:t>Sets received parameters, trains for LOCAL_EPOCHS epochs, returns updated parameters + loss metric.</w:t>
      </w:r>
    </w:p>
    <w:p>
      <w:pPr>
        <w:ind w:left="576"/>
      </w:pPr>
      <w:r>
        <w:rPr>
          <w:rFonts w:ascii="Courier New" w:hAnsi="Courier New"/>
          <w:b/>
          <w:color w:val="7C3AED"/>
        </w:rPr>
        <w:t xml:space="preserve">• evaluate(parameters, config): </w:t>
      </w:r>
      <w:r>
        <w:t>Sets received parameters, runs inference over entire local dataset, returns mean BCE loss.</w:t>
      </w:r>
    </w:p>
    <w:p>
      <w:pPr>
        <w:pStyle w:val="Heading2"/>
      </w:pPr>
      <w:r>
        <w:t>4.4  Running the Full FL Simulation</w:t>
      </w:r>
    </w:p>
    <w:p>
      <w:pPr>
        <w:spacing w:before="80" w:after="80"/>
        <w:ind w:left="432"/>
        <w:shd w:val="clear" w:color="auto" w:fill="1E293B"/>
      </w:pPr>
      <w:r>
        <w:rPr>
          <w:rFonts w:ascii="Courier New" w:hAnsi="Courier New"/>
          <w:color w:val="A5F3FC"/>
          <w:sz w:val="17"/>
        </w:rPr>
        <w:t># Option A: One-command orchestration (spawns server + 3 clients)</w:t>
        <w:br/>
        <w:t>python3 train.py --mode fl</w:t>
        <w:br/>
        <w:br/>
        <w:t># Option B: Manual multi-terminal setup</w:t>
        <w:br/>
        <w:t>python3 server.py                                    # Terminal 1: Central server</w:t>
        <w:br/>
        <w:t>python3 client.py --node-dir data/hospital_nih       # Terminal 2: NIH hospital</w:t>
        <w:br/>
        <w:t>python3 client.py --node-dir data/hospital_rsna      # Terminal 3: RSNA hospital</w:t>
        <w:br/>
        <w:t>python3 client.py --node-dir data/hospital_siim      # Terminal 4: SIIM hospital</w:t>
      </w:r>
    </w:p>
    <w:p>
      <w:pPr>
        <w:pStyle w:val="Heading2"/>
      </w:pPr>
      <w:r>
        <w:t>4.5  Privacy Guarantees</w:t>
      </w:r>
    </w:p>
    <w:tbl>
      <w:tblPr>
        <w:tblStyle w:val="TableGrid"/>
        <w:tblW w:type="auto" w:w="0"/>
        <w:tblLook w:firstColumn="1" w:firstRow="1" w:lastColumn="0" w:lastRow="0" w:noHBand="0" w:noVBand="1" w:val="04A0"/>
      </w:tblPr>
      <w:tblGrid>
        <w:gridCol w:w="9072"/>
      </w:tblGrid>
      <w:tr>
        <w:tc>
          <w:tcPr>
            <w:tcW w:type="dxa" w:w="9072"/>
            <w:shd w:val="clear" w:color="auto" w:fill="F0FDF4"/>
          </w:tcPr>
          <w:p>
            <w:pPr>
              <w:spacing w:before="60"/>
            </w:pPr>
            <w:r>
              <w:rPr>
                <w:b/>
                <w:color w:val="1E3A5F"/>
                <w:sz w:val="20"/>
              </w:rPr>
              <w:t>ℹ  Privacy by Design</w:t>
            </w:r>
          </w:p>
          <w:p>
            <w:pPr>
              <w:spacing w:after="80"/>
            </w:pPr>
            <w:r>
              <w:rPr>
                <w:sz w:val="19"/>
              </w:rPr>
              <w:t>Only ~270,000 LoRA float32 weight values (&lt;1.1 MB) are transmitted per FL round per client. No patient images, pixel data, or PHI metadata leave the local hospital network at any point. The FedAvg aggregation further masks individual hospital contributions through weighted averaging.</w:t>
            </w:r>
          </w:p>
        </w:tc>
      </w:tr>
    </w:tbl>
    <w:p/>
    <w:p>
      <w:r>
        <w:br w:type="page"/>
      </w:r>
    </w:p>
    <w:p>
      <w:pPr>
        <w:pStyle w:val="Heading1"/>
      </w:pPr>
      <w:r>
        <w:rPr>
          <w:color w:val="1E3A5F"/>
        </w:rPr>
        <w:t>5. Model Architecture — MultimodalChestModel</w:t>
      </w:r>
    </w:p>
    <w:p>
      <w:pPr>
        <w:spacing w:before="80" w:after="80"/>
        <w:pBdr>
          <w:bottom w:val="single" w:sz="6" w:space="1" w:color="3B82F6"/>
        </w:pBdr>
      </w:pPr>
    </w:p>
    <w:p>
      <w:r>
        <w:t>The core diagnostic model is MultimodalChestModel defined in model.py. It fuses visual features from a DenseNet-121 backbone with structured clinical metadata (age, sex, view position) to produce 14 simultaneous pathology probability scores.</w:t>
      </w:r>
    </w:p>
    <w:p>
      <w:pPr>
        <w:pStyle w:val="Heading2"/>
      </w:pPr>
      <w:r>
        <w:t>5.1  DenseNet-121 Backbone (Frozen)</w:t>
      </w:r>
    </w:p>
    <w:p>
      <w:r>
        <w:t>The visual encoder is TorchXRayVision's pretrained DenseNet-121 (weights='densenet121-res224-all'), trained on a large multi-dataset chest X-ray corpus covering CheXpert, NIH, PadChest, and MIMIC-CXR. This provides a powerful domain-specific feature extractor that generalises across imaging sites.</w:t>
      </w:r>
    </w:p>
    <w:p>
      <w:r>
        <w:t>The entire backbone (7,978,856 parameters) is frozen during FL — no backbone gradients are computed or transmitted. This is critical for bandwidth efficiency in a federated setting.</w:t>
      </w:r>
    </w:p>
    <w:p>
      <w:pPr>
        <w:pStyle w:val="Heading2"/>
      </w:pPr>
      <w:r>
        <w:t>5.2  Feature Extraction Path</w:t>
      </w:r>
    </w:p>
    <w:p>
      <w:pPr>
        <w:spacing w:before="80" w:after="80"/>
        <w:ind w:left="432"/>
        <w:shd w:val="clear" w:color="auto" w:fill="1E293B"/>
      </w:pPr>
      <w:r>
        <w:rPr>
          <w:rFonts w:ascii="Courier New" w:hAnsi="Courier New"/>
          <w:color w:val="A5F3FC"/>
          <w:sz w:val="17"/>
        </w:rPr>
        <w:t>Input image:  [B, 1, 224, 224]  (single-channel grayscale, normalised)</w:t>
        <w:br/>
        <w:t xml:space="preserve">                         │</w:t>
        <w:br/>
        <w:t xml:space="preserve">              backbone.features()  ──  DenseNet feature blocks</w:t>
        <w:br/>
        <w:t xml:space="preserve">                         │</w:t>
        <w:br/>
        <w:t xml:space="preserve">              ReLU + adaptive_avg_pool2d((1,1))</w:t>
        <w:br/>
        <w:t xml:space="preserve">                         │</w:t>
        <w:br/>
        <w:t xml:space="preserve">              visual features:  [B, 1024]</w:t>
      </w:r>
    </w:p>
    <w:p>
      <w:pPr>
        <w:pStyle w:val="Heading2"/>
      </w:pPr>
      <w:r>
        <w:t>5.3  Clinical Metadata Fusion</w:t>
      </w:r>
    </w:p>
    <w:p>
      <w:r>
        <w:t>Three structured clinical covariates are encoded as a 3-dimensional float tensor per sample: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3A5F"/>
          </w:tcPr>
          <w:p>
            <w:r>
              <w:rPr>
                <w:b/>
                <w:color w:val="FFFFFF"/>
                <w:sz w:val="18"/>
              </w:rPr>
              <w:t>Feature</w:t>
            </w:r>
          </w:p>
        </w:tc>
        <w:tc>
          <w:tcPr>
            <w:tcW w:type="dxa" w:w="3024"/>
            <w:shd w:val="clear" w:color="auto" w:fill="1E3A5F"/>
          </w:tcPr>
          <w:p>
            <w:r>
              <w:rPr>
                <w:b/>
                <w:color w:val="FFFFFF"/>
                <w:sz w:val="18"/>
              </w:rPr>
              <w:t>Encoding</w:t>
            </w:r>
          </w:p>
        </w:tc>
        <w:tc>
          <w:tcPr>
            <w:tcW w:type="dxa" w:w="3024"/>
            <w:shd w:val="clear" w:color="auto" w:fill="1E3A5F"/>
          </w:tcPr>
          <w:p>
            <w:r>
              <w:rPr>
                <w:b/>
                <w:color w:val="FFFFFF"/>
                <w:sz w:val="18"/>
              </w:rPr>
              <w:t>Range</w:t>
            </w:r>
          </w:p>
        </w:tc>
      </w:tr>
      <w:tr>
        <w:tc>
          <w:tcPr>
            <w:tcW w:type="dxa" w:w="3024"/>
          </w:tcPr>
          <w:p>
            <w:r>
              <w:t>Patient Age</w:t>
            </w:r>
          </w:p>
        </w:tc>
        <w:tc>
          <w:tcPr>
            <w:tcW w:type="dxa" w:w="3024"/>
          </w:tcPr>
          <w:p>
            <w:r>
              <w:t>age / 100</w:t>
            </w:r>
          </w:p>
        </w:tc>
        <w:tc>
          <w:tcPr>
            <w:tcW w:type="dxa" w:w="3024"/>
          </w:tcPr>
          <w:p>
            <w:r>
              <w:t>[0.0, 1.0]</w:t>
            </w:r>
          </w:p>
        </w:tc>
      </w:tr>
      <w:tr>
        <w:tc>
          <w:tcPr>
            <w:tcW w:type="dxa" w:w="3024"/>
          </w:tcPr>
          <w:p>
            <w:r>
              <w:t>Patient Sex</w:t>
            </w:r>
          </w:p>
        </w:tc>
        <w:tc>
          <w:tcPr>
            <w:tcW w:type="dxa" w:w="3024"/>
          </w:tcPr>
          <w:p>
            <w:r>
              <w:t>1.0 if Male, 0.0 if Female/Other</w:t>
            </w:r>
          </w:p>
        </w:tc>
        <w:tc>
          <w:tcPr>
            <w:tcW w:type="dxa" w:w="3024"/>
          </w:tcPr>
          <w:p>
            <w:r>
              <w:t>{0.0, 1.0}</w:t>
            </w:r>
          </w:p>
        </w:tc>
      </w:tr>
      <w:tr>
        <w:tc>
          <w:tcPr>
            <w:tcW w:type="dxa" w:w="3024"/>
          </w:tcPr>
          <w:p>
            <w:r>
              <w:t>View Position</w:t>
            </w:r>
          </w:p>
        </w:tc>
        <w:tc>
          <w:tcPr>
            <w:tcW w:type="dxa" w:w="3024"/>
          </w:tcPr>
          <w:p>
            <w:r>
              <w:t>1.0 if AP, 0.0 if PA</w:t>
            </w:r>
          </w:p>
        </w:tc>
        <w:tc>
          <w:tcPr>
            <w:tcW w:type="dxa" w:w="3024"/>
          </w:tcPr>
          <w:p>
            <w:r>
              <w:t>{0.0, 1.0}</w:t>
            </w:r>
          </w:p>
        </w:tc>
      </w:tr>
    </w:tbl>
    <w:p/>
    <w:p>
      <w:r>
        <w:t>The metadata_head processes these 3 values through a Linear(3→16) + ReLU layer.</w:t>
      </w:r>
    </w:p>
    <w:p>
      <w:pPr>
        <w:spacing w:before="80" w:after="80"/>
        <w:ind w:left="432"/>
        <w:shd w:val="clear" w:color="auto" w:fill="1E293B"/>
      </w:pPr>
      <w:r>
        <w:rPr>
          <w:rFonts w:ascii="Courier New" w:hAnsi="Courier New"/>
          <w:color w:val="A5F3FC"/>
          <w:sz w:val="17"/>
        </w:rPr>
        <w:t>metadata input:  [B, 3]</w:t>
        <w:br/>
        <w:t xml:space="preserve">                   │</w:t>
        <w:br/>
        <w:t xml:space="preserve">         Linear(3, 16) → ReLU</w:t>
        <w:br/>
        <w:t xml:space="preserve">                   │</w:t>
        <w:br/>
        <w:t xml:space="preserve">         metadata features:  [B, 16]</w:t>
      </w:r>
    </w:p>
    <w:p>
      <w:pPr>
        <w:pStyle w:val="Heading2"/>
      </w:pPr>
      <w:r>
        <w:t>5.4  Fusion &amp; Classification Head</w:t>
      </w:r>
    </w:p>
    <w:p>
      <w:r>
        <w:t>Visual and metadata features are concatenated and passed through the classifier:</w:t>
      </w:r>
    </w:p>
    <w:p>
      <w:pPr>
        <w:spacing w:before="80" w:after="80"/>
        <w:ind w:left="432"/>
        <w:shd w:val="clear" w:color="auto" w:fill="1E293B"/>
      </w:pPr>
      <w:r>
        <w:rPr>
          <w:rFonts w:ascii="Courier New" w:hAnsi="Courier New"/>
          <w:color w:val="A5F3FC"/>
          <w:sz w:val="17"/>
        </w:rPr>
        <w:t>concat([visual_features[B,1024], metadata_features[B,16]])  →  [B, 1040]</w:t>
        <w:br/>
        <w:t xml:space="preserve">                         │</w:t>
        <w:br/>
        <w:t xml:space="preserve">              Linear(1040, 14) → Sigmoid</w:t>
        <w:br/>
        <w:t xml:space="preserve">                         │</w:t>
        <w:br/>
        <w:t xml:space="preserve">         Output probabilities:  [B, 14]   (one per pathology class, range [0, 1])</w:t>
      </w:r>
    </w:p>
    <w:p>
      <w:pPr>
        <w:pStyle w:val="Heading2"/>
      </w:pPr>
      <w:r>
        <w:t>5.5  Output Labels (14 Classes)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t>0</w:t>
            </w:r>
          </w:p>
        </w:tc>
        <w:tc>
          <w:tcPr>
            <w:tcW w:type="dxa" w:w="2268"/>
          </w:tcPr>
          <w:p>
            <w:r>
              <w:t>Atelectasis</w:t>
            </w:r>
          </w:p>
        </w:tc>
        <w:tc>
          <w:tcPr>
            <w:tcW w:type="dxa" w:w="2268"/>
          </w:tcPr>
          <w:p>
            <w:r>
              <w:t>1</w:t>
            </w:r>
          </w:p>
        </w:tc>
        <w:tc>
          <w:tcPr>
            <w:tcW w:type="dxa" w:w="2268"/>
          </w:tcPr>
          <w:p>
            <w:r>
              <w:t>Cardiomegaly</w:t>
            </w:r>
          </w:p>
        </w:tc>
      </w:tr>
      <w:tr>
        <w:tc>
          <w:tcPr>
            <w:tcW w:type="dxa" w:w="2268"/>
          </w:tcPr>
          <w:p>
            <w:r>
              <w:t>2</w:t>
            </w:r>
          </w:p>
        </w:tc>
        <w:tc>
          <w:tcPr>
            <w:tcW w:type="dxa" w:w="2268"/>
          </w:tcPr>
          <w:p>
            <w:r>
              <w:t>Effusion</w:t>
            </w:r>
          </w:p>
        </w:tc>
        <w:tc>
          <w:tcPr>
            <w:tcW w:type="dxa" w:w="2268"/>
          </w:tcPr>
          <w:p>
            <w:r>
              <w:t>3</w:t>
            </w:r>
          </w:p>
        </w:tc>
        <w:tc>
          <w:tcPr>
            <w:tcW w:type="dxa" w:w="2268"/>
          </w:tcPr>
          <w:p>
            <w:r>
              <w:t>Infiltration</w:t>
            </w:r>
          </w:p>
        </w:tc>
      </w:tr>
      <w:tr>
        <w:tc>
          <w:tcPr>
            <w:tcW w:type="dxa" w:w="2268"/>
          </w:tcPr>
          <w:p>
            <w:r>
              <w:t>4</w:t>
            </w:r>
          </w:p>
        </w:tc>
        <w:tc>
          <w:tcPr>
            <w:tcW w:type="dxa" w:w="2268"/>
          </w:tcPr>
          <w:p>
            <w:r>
              <w:t>Mass</w:t>
            </w:r>
          </w:p>
        </w:tc>
        <w:tc>
          <w:tcPr>
            <w:tcW w:type="dxa" w:w="2268"/>
          </w:tcPr>
          <w:p>
            <w:r>
              <w:t>5</w:t>
            </w:r>
          </w:p>
        </w:tc>
        <w:tc>
          <w:tcPr>
            <w:tcW w:type="dxa" w:w="2268"/>
          </w:tcPr>
          <w:p>
            <w:r>
              <w:t>Nodule</w:t>
            </w:r>
          </w:p>
        </w:tc>
      </w:tr>
      <w:tr>
        <w:tc>
          <w:tcPr>
            <w:tcW w:type="dxa" w:w="2268"/>
          </w:tcPr>
          <w:p>
            <w:r>
              <w:t>6</w:t>
            </w:r>
          </w:p>
        </w:tc>
        <w:tc>
          <w:tcPr>
            <w:tcW w:type="dxa" w:w="2268"/>
          </w:tcPr>
          <w:p>
            <w:r>
              <w:t>Pneumonia</w:t>
            </w:r>
          </w:p>
        </w:tc>
        <w:tc>
          <w:tcPr>
            <w:tcW w:type="dxa" w:w="2268"/>
          </w:tcPr>
          <w:p>
            <w:r>
              <w:t>7</w:t>
            </w:r>
          </w:p>
        </w:tc>
        <w:tc>
          <w:tcPr>
            <w:tcW w:type="dxa" w:w="2268"/>
          </w:tcPr>
          <w:p>
            <w:r>
              <w:t>Pneumothorax</w:t>
            </w:r>
          </w:p>
        </w:tc>
      </w:tr>
      <w:tr>
        <w:tc>
          <w:tcPr>
            <w:tcW w:type="dxa" w:w="2268"/>
          </w:tcPr>
          <w:p>
            <w:r>
              <w:t>8</w:t>
            </w:r>
          </w:p>
        </w:tc>
        <w:tc>
          <w:tcPr>
            <w:tcW w:type="dxa" w:w="2268"/>
          </w:tcPr>
          <w:p>
            <w:r>
              <w:t>Consolidation</w:t>
            </w:r>
          </w:p>
        </w:tc>
        <w:tc>
          <w:tcPr>
            <w:tcW w:type="dxa" w:w="2268"/>
          </w:tcPr>
          <w:p>
            <w:r>
              <w:t>9</w:t>
            </w:r>
          </w:p>
        </w:tc>
        <w:tc>
          <w:tcPr>
            <w:tcW w:type="dxa" w:w="2268"/>
          </w:tcPr>
          <w:p>
            <w:r>
              <w:t>Edema</w:t>
            </w:r>
          </w:p>
        </w:tc>
      </w:tr>
      <w:tr>
        <w:tc>
          <w:tcPr>
            <w:tcW w:type="dxa" w:w="2268"/>
          </w:tcPr>
          <w:p>
            <w:r>
              <w:t>10</w:t>
            </w:r>
          </w:p>
        </w:tc>
        <w:tc>
          <w:tcPr>
            <w:tcW w:type="dxa" w:w="2268"/>
          </w:tcPr>
          <w:p>
            <w:r>
              <w:t>Emphysema</w:t>
            </w:r>
          </w:p>
        </w:tc>
        <w:tc>
          <w:tcPr>
            <w:tcW w:type="dxa" w:w="2268"/>
          </w:tcPr>
          <w:p>
            <w:r>
              <w:t>11</w:t>
            </w:r>
          </w:p>
        </w:tc>
        <w:tc>
          <w:tcPr>
            <w:tcW w:type="dxa" w:w="2268"/>
          </w:tcPr>
          <w:p>
            <w:r>
              <w:t>Fibrosis</w:t>
            </w:r>
          </w:p>
        </w:tc>
      </w:tr>
      <w:tr>
        <w:tc>
          <w:tcPr>
            <w:tcW w:type="dxa" w:w="2268"/>
          </w:tcPr>
          <w:p>
            <w:r>
              <w:t>12</w:t>
            </w:r>
          </w:p>
        </w:tc>
        <w:tc>
          <w:tcPr>
            <w:tcW w:type="dxa" w:w="2268"/>
          </w:tcPr>
          <w:p>
            <w:r>
              <w:t>Pleural Thickening</w:t>
            </w:r>
          </w:p>
        </w:tc>
        <w:tc>
          <w:tcPr>
            <w:tcW w:type="dxa" w:w="2268"/>
          </w:tcPr>
          <w:p>
            <w:r>
              <w:t>13</w:t>
            </w:r>
          </w:p>
        </w:tc>
        <w:tc>
          <w:tcPr>
            <w:tcW w:type="dxa" w:w="2268"/>
          </w:tcPr>
          <w:p>
            <w:r>
              <w:t>Hernia</w:t>
            </w:r>
          </w:p>
        </w:tc>
      </w:tr>
      <w:tr>
        <w:tc>
          <w:tcPr>
            <w:tcW w:type="dxa" w:w="2268"/>
          </w:tcPr>
          <w:p/>
        </w:tc>
        <w:tc>
          <w:tcPr>
            <w:tcW w:type="dxa" w:w="2268"/>
          </w:tcPr>
          <w:p/>
        </w:tc>
        <w:tc>
          <w:tcPr>
            <w:tcW w:type="dxa" w:w="2268"/>
          </w:tcPr>
          <w:p/>
        </w:tc>
        <w:tc>
          <w:tcPr>
            <w:tcW w:type="dxa" w:w="2268"/>
          </w:tcPr>
          <w:p/>
        </w:tc>
      </w:tr>
    </w:tbl>
    <w:p/>
    <w:p>
      <w:r>
        <w:br w:type="page"/>
      </w:r>
    </w:p>
    <w:p>
      <w:pPr>
        <w:pStyle w:val="Heading1"/>
      </w:pPr>
      <w:r>
        <w:rPr>
          <w:color w:val="1E3A5F"/>
        </w:rPr>
        <w:t>6. LoRA Parameter-Efficient Fine-Tuning</w:t>
      </w:r>
    </w:p>
    <w:p>
      <w:pPr>
        <w:spacing w:before="80" w:after="80"/>
        <w:pBdr>
          <w:bottom w:val="single" w:sz="6" w:space="1" w:color="3B82F6"/>
        </w:pBdr>
      </w:pPr>
    </w:p>
    <w:p>
      <w:r>
        <w:t>Low-Rank Adaptation (LoRA) is a parameter-efficient technique that inserts trainable factorized residual modules alongside frozen pretrained layers. In FedChest AI, LoRA adapters are injected into every Conv2d layer within DenseNet denseblock4.</w:t>
      </w:r>
    </w:p>
    <w:p>
      <w:pPr>
        <w:pStyle w:val="Heading2"/>
      </w:pPr>
      <w:r>
        <w:t>6.1  LoRAConv2d Module</w:t>
      </w:r>
    </w:p>
    <w:p>
      <w:r>
        <w:t>Each LoRAConv2d wraps an existing frozen Conv2d base layer and adds two trainable 1×1 convolution matrices: a down-projection (in_channels → rank) and an up-projection (rank → out_channels). The output is:</w:t>
      </w:r>
    </w:p>
    <w:p>
      <w:pPr>
        <w:spacing w:before="80" w:after="80"/>
        <w:ind w:left="432"/>
        <w:shd w:val="clear" w:color="auto" w:fill="1E293B"/>
      </w:pPr>
      <w:r>
        <w:rPr>
          <w:rFonts w:ascii="Courier New" w:hAnsi="Courier New"/>
          <w:color w:val="A5F3FC"/>
          <w:sz w:val="17"/>
        </w:rPr>
        <w:t>y = base_conv(x)  +  scale * up(down(x))</w:t>
        <w:br/>
        <w:t xml:space="preserve">  where scale = alpha / rank = 8 / 4 = 2.0</w:t>
      </w:r>
    </w:p>
    <w:p>
      <w:r>
        <w:t>Parameters: rank = 4, alpha = 8. The down matrix is Kaiming-initialised; the up matrix is zero-initialised, ensuring LoRA adapters start as identity residuals (no-op at init).</w:t>
      </w:r>
    </w:p>
    <w:p>
      <w:pPr>
        <w:pStyle w:val="Heading2"/>
      </w:pPr>
      <w:r>
        <w:t>6.2  Parameter Budget</w:t>
      </w:r>
    </w:p>
    <w:p>
      <w:r>
        <w:t>With denseblock4 containing 16 Conv2d layers, the LoRA adapters introduce approximately ~270,000 trainable parameters out of ~8 million total backbone parameters — only 3.4%. The hard budget cap is enforced at model construction: MAX_TRAINABLE_PARAMETERS = 300,000.</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E3A5F"/>
          </w:tcPr>
          <w:p>
            <w:r>
              <w:rPr>
                <w:b/>
                <w:color w:val="FFFFFF"/>
                <w:sz w:val="18"/>
              </w:rPr>
              <w:t>Component</w:t>
            </w:r>
          </w:p>
        </w:tc>
        <w:tc>
          <w:tcPr>
            <w:tcW w:type="dxa" w:w="3024"/>
            <w:shd w:val="clear" w:color="auto" w:fill="1E3A5F"/>
          </w:tcPr>
          <w:p>
            <w:r>
              <w:rPr>
                <w:b/>
                <w:color w:val="FFFFFF"/>
                <w:sz w:val="18"/>
              </w:rPr>
              <w:t>Parameters</w:t>
            </w:r>
          </w:p>
        </w:tc>
        <w:tc>
          <w:tcPr>
            <w:tcW w:type="dxa" w:w="3024"/>
            <w:shd w:val="clear" w:color="auto" w:fill="1E3A5F"/>
          </w:tcPr>
          <w:p>
            <w:r>
              <w:rPr>
                <w:b/>
                <w:color w:val="FFFFFF"/>
                <w:sz w:val="18"/>
              </w:rPr>
              <w:t>Trainable?</w:t>
            </w:r>
          </w:p>
        </w:tc>
      </w:tr>
      <w:tr>
        <w:tc>
          <w:tcPr>
            <w:tcW w:type="dxa" w:w="3024"/>
          </w:tcPr>
          <w:p>
            <w:r>
              <w:t>DenseNet-121 backbone</w:t>
            </w:r>
          </w:p>
        </w:tc>
        <w:tc>
          <w:tcPr>
            <w:tcW w:type="dxa" w:w="3024"/>
          </w:tcPr>
          <w:p>
            <w:r>
              <w:t>~7,978,856</w:t>
            </w:r>
          </w:p>
        </w:tc>
        <w:tc>
          <w:tcPr>
            <w:tcW w:type="dxa" w:w="3024"/>
          </w:tcPr>
          <w:p>
            <w:r>
              <w:t>No (frozen)</w:t>
            </w:r>
          </w:p>
        </w:tc>
      </w:tr>
      <w:tr>
        <w:tc>
          <w:tcPr>
            <w:tcW w:type="dxa" w:w="3024"/>
          </w:tcPr>
          <w:p>
            <w:r>
              <w:t>LoRA adapters (denseblock4)</w:t>
            </w:r>
          </w:p>
        </w:tc>
        <w:tc>
          <w:tcPr>
            <w:tcW w:type="dxa" w:w="3024"/>
          </w:tcPr>
          <w:p>
            <w:r>
              <w:t>~270,000</w:t>
            </w:r>
          </w:p>
        </w:tc>
        <w:tc>
          <w:tcPr>
            <w:tcW w:type="dxa" w:w="3024"/>
          </w:tcPr>
          <w:p>
            <w:r>
              <w:t>Yes</w:t>
            </w:r>
          </w:p>
        </w:tc>
      </w:tr>
      <w:tr>
        <w:tc>
          <w:tcPr>
            <w:tcW w:type="dxa" w:w="3024"/>
          </w:tcPr>
          <w:p>
            <w:r>
              <w:t>Metadata head (Linear 3→16)</w:t>
            </w:r>
          </w:p>
        </w:tc>
        <w:tc>
          <w:tcPr>
            <w:tcW w:type="dxa" w:w="3024"/>
          </w:tcPr>
          <w:p>
            <w:r>
              <w:t>64</w:t>
            </w:r>
          </w:p>
        </w:tc>
        <w:tc>
          <w:tcPr>
            <w:tcW w:type="dxa" w:w="3024"/>
          </w:tcPr>
          <w:p>
            <w:r>
              <w:t>Yes</w:t>
            </w:r>
          </w:p>
        </w:tc>
      </w:tr>
      <w:tr>
        <w:tc>
          <w:tcPr>
            <w:tcW w:type="dxa" w:w="3024"/>
          </w:tcPr>
          <w:p>
            <w:r>
              <w:t>Classifier head (Linear 1040→14)</w:t>
            </w:r>
          </w:p>
        </w:tc>
        <w:tc>
          <w:tcPr>
            <w:tcW w:type="dxa" w:w="3024"/>
          </w:tcPr>
          <w:p>
            <w:r>
              <w:t>14,574</w:t>
            </w:r>
          </w:p>
        </w:tc>
        <w:tc>
          <w:tcPr>
            <w:tcW w:type="dxa" w:w="3024"/>
          </w:tcPr>
          <w:p>
            <w:r>
              <w:t>Yes</w:t>
            </w:r>
          </w:p>
        </w:tc>
      </w:tr>
    </w:tbl>
    <w:p/>
    <w:p>
      <w:pPr>
        <w:pStyle w:val="Heading2"/>
      </w:pPr>
      <w:r>
        <w:t>6.3  Why LoRA for Federated Learning?</w:t>
      </w:r>
    </w:p>
    <w:p>
      <w:pPr>
        <w:pStyle w:val="ListBullet"/>
        <w:ind w:left="576"/>
      </w:pPr>
      <w:r>
        <w:t>Communication efficiency: Only 270 k floats (~1 MB) transmitted per round vs 8 M for full fine-tuning.</w:t>
      </w:r>
    </w:p>
    <w:p>
      <w:pPr>
        <w:pStyle w:val="ListBullet"/>
        <w:ind w:left="576"/>
      </w:pPr>
      <w:r>
        <w:t>Catastrophic forgetting prevention: Frozen backbone retains pretrained radiograph features across all FL rounds.</w:t>
      </w:r>
    </w:p>
    <w:p>
      <w:pPr>
        <w:pStyle w:val="ListBullet"/>
        <w:ind w:left="576"/>
      </w:pPr>
      <w:r>
        <w:t>Computation efficiency: Gradient graph is small; even CPU-only hospital nodes can participate.</w:t>
      </w:r>
    </w:p>
    <w:p>
      <w:pPr>
        <w:pStyle w:val="ListBullet"/>
        <w:ind w:left="576"/>
      </w:pPr>
      <w:r>
        <w:t>Expressiveness: Despite the compact size, LoRA adapters in the deepest feature block capture task-specific refinements.</w:t>
      </w:r>
    </w:p>
    <w:p>
      <w:r>
        <w:br w:type="page"/>
      </w:r>
    </w:p>
    <w:p>
      <w:pPr>
        <w:pStyle w:val="Heading1"/>
      </w:pPr>
      <w:r>
        <w:rPr>
          <w:color w:val="1E3A5F"/>
        </w:rPr>
        <w:t>7. PHI Scrubbing &amp; HIPAA Compliance</w:t>
      </w:r>
    </w:p>
    <w:p>
      <w:pPr>
        <w:spacing w:before="80" w:after="80"/>
        <w:pBdr>
          <w:bottom w:val="single" w:sz="6" w:space="1" w:color="3B82F6"/>
        </w:pBdr>
      </w:pPr>
    </w:p>
    <w:p>
      <w:r>
        <w:t>DICOM files embed extensive patient-identifying metadata in their headers. Before any image processing occurs in the inference pipeline, FedChest AI automatically strips 18 PHI-bearing DICOM attribute tags as mandated by HIPAA's Safe Harbor de-identification standard.</w:t>
      </w:r>
    </w:p>
    <w:p>
      <w:pPr>
        <w:pStyle w:val="Heading2"/>
      </w:pPr>
      <w:r>
        <w:t>7.1  Scrubbed Tags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7F1D1D"/>
          </w:tcPr>
          <w:p>
            <w:r>
              <w:rPr>
                <w:b/>
                <w:color w:val="FFFFFF"/>
                <w:sz w:val="18"/>
              </w:rPr>
              <w:t>Tag Name</w:t>
            </w:r>
          </w:p>
        </w:tc>
        <w:tc>
          <w:tcPr>
            <w:tcW w:type="dxa" w:w="3024"/>
            <w:shd w:val="clear" w:color="auto" w:fill="7F1D1D"/>
          </w:tcPr>
          <w:p>
            <w:r>
              <w:rPr>
                <w:b/>
                <w:color w:val="FFFFFF"/>
                <w:sz w:val="18"/>
              </w:rPr>
              <w:t>Tag Name</w:t>
            </w:r>
          </w:p>
        </w:tc>
        <w:tc>
          <w:tcPr>
            <w:tcW w:type="dxa" w:w="3024"/>
            <w:shd w:val="clear" w:color="auto" w:fill="7F1D1D"/>
          </w:tcPr>
          <w:p>
            <w:r>
              <w:rPr>
                <w:b/>
                <w:color w:val="FFFFFF"/>
                <w:sz w:val="18"/>
              </w:rPr>
              <w:t>Tag Name</w:t>
            </w:r>
          </w:p>
        </w:tc>
      </w:tr>
      <w:tr>
        <w:tc>
          <w:tcPr>
            <w:tcW w:type="dxa" w:w="3024"/>
          </w:tcPr>
          <w:p>
            <w:r>
              <w:rPr>
                <w:sz w:val="18"/>
              </w:rPr>
              <w:t>PatientName</w:t>
            </w:r>
          </w:p>
        </w:tc>
        <w:tc>
          <w:tcPr>
            <w:tcW w:type="dxa" w:w="3024"/>
          </w:tcPr>
          <w:p>
            <w:r>
              <w:rPr>
                <w:sz w:val="18"/>
              </w:rPr>
              <w:t>PatientID</w:t>
            </w:r>
          </w:p>
        </w:tc>
        <w:tc>
          <w:tcPr>
            <w:tcW w:type="dxa" w:w="3024"/>
          </w:tcPr>
          <w:p>
            <w:r>
              <w:rPr>
                <w:sz w:val="18"/>
              </w:rPr>
              <w:t>PatientBirthDate</w:t>
            </w:r>
          </w:p>
        </w:tc>
      </w:tr>
      <w:tr>
        <w:tc>
          <w:tcPr>
            <w:tcW w:type="dxa" w:w="3024"/>
          </w:tcPr>
          <w:p>
            <w:r>
              <w:rPr>
                <w:sz w:val="18"/>
              </w:rPr>
              <w:t>PatientAddress</w:t>
            </w:r>
          </w:p>
        </w:tc>
        <w:tc>
          <w:tcPr>
            <w:tcW w:type="dxa" w:w="3024"/>
          </w:tcPr>
          <w:p>
            <w:r>
              <w:rPr>
                <w:sz w:val="18"/>
              </w:rPr>
              <w:t>PatientTelephoneNumbers</w:t>
            </w:r>
          </w:p>
        </w:tc>
        <w:tc>
          <w:tcPr>
            <w:tcW w:type="dxa" w:w="3024"/>
          </w:tcPr>
          <w:p>
            <w:r>
              <w:rPr>
                <w:sz w:val="18"/>
              </w:rPr>
              <w:t>InstitutionName</w:t>
            </w:r>
          </w:p>
        </w:tc>
      </w:tr>
      <w:tr>
        <w:tc>
          <w:tcPr>
            <w:tcW w:type="dxa" w:w="3024"/>
          </w:tcPr>
          <w:p>
            <w:r>
              <w:rPr>
                <w:sz w:val="18"/>
              </w:rPr>
              <w:t>InstitutionAddress</w:t>
            </w:r>
          </w:p>
        </w:tc>
        <w:tc>
          <w:tcPr>
            <w:tcW w:type="dxa" w:w="3024"/>
          </w:tcPr>
          <w:p>
            <w:r>
              <w:rPr>
                <w:sz w:val="18"/>
              </w:rPr>
              <w:t>ReferringPhysicianName</w:t>
            </w:r>
          </w:p>
        </w:tc>
        <w:tc>
          <w:tcPr>
            <w:tcW w:type="dxa" w:w="3024"/>
          </w:tcPr>
          <w:p>
            <w:r>
              <w:rPr>
                <w:sz w:val="18"/>
              </w:rPr>
              <w:t>PerformingPhysicianName</w:t>
            </w:r>
          </w:p>
        </w:tc>
      </w:tr>
      <w:tr>
        <w:tc>
          <w:tcPr>
            <w:tcW w:type="dxa" w:w="3024"/>
          </w:tcPr>
          <w:p>
            <w:r>
              <w:rPr>
                <w:sz w:val="18"/>
              </w:rPr>
              <w:t>OperatorsName</w:t>
            </w:r>
          </w:p>
        </w:tc>
        <w:tc>
          <w:tcPr>
            <w:tcW w:type="dxa" w:w="3024"/>
          </w:tcPr>
          <w:p>
            <w:r>
              <w:rPr>
                <w:sz w:val="18"/>
              </w:rPr>
              <w:t>AccessionNumber</w:t>
            </w:r>
          </w:p>
        </w:tc>
        <w:tc>
          <w:tcPr>
            <w:tcW w:type="dxa" w:w="3024"/>
          </w:tcPr>
          <w:p>
            <w:r>
              <w:rPr>
                <w:sz w:val="18"/>
              </w:rPr>
              <w:t>StudyID</w:t>
            </w:r>
          </w:p>
        </w:tc>
      </w:tr>
      <w:tr>
        <w:tc>
          <w:tcPr>
            <w:tcW w:type="dxa" w:w="3024"/>
          </w:tcPr>
          <w:p>
            <w:r>
              <w:rPr>
                <w:sz w:val="18"/>
              </w:rPr>
              <w:t>StudyDate</w:t>
            </w:r>
          </w:p>
        </w:tc>
        <w:tc>
          <w:tcPr>
            <w:tcW w:type="dxa" w:w="3024"/>
          </w:tcPr>
          <w:p>
            <w:r>
              <w:rPr>
                <w:sz w:val="18"/>
              </w:rPr>
              <w:t>StudyTime</w:t>
            </w:r>
          </w:p>
        </w:tc>
        <w:tc>
          <w:tcPr>
            <w:tcW w:type="dxa" w:w="3024"/>
          </w:tcPr>
          <w:p>
            <w:r>
              <w:rPr>
                <w:sz w:val="18"/>
              </w:rPr>
              <w:t>OtherPatientIDs</w:t>
            </w:r>
          </w:p>
        </w:tc>
      </w:tr>
      <w:tr>
        <w:tc>
          <w:tcPr>
            <w:tcW w:type="dxa" w:w="3024"/>
          </w:tcPr>
          <w:p>
            <w:r>
              <w:rPr>
                <w:sz w:val="18"/>
              </w:rPr>
              <w:t>OtherPatientNames</w:t>
            </w:r>
          </w:p>
        </w:tc>
        <w:tc>
          <w:tcPr>
            <w:tcW w:type="dxa" w:w="3024"/>
          </w:tcPr>
          <w:p>
            <w:r>
              <w:rPr>
                <w:sz w:val="18"/>
              </w:rPr>
              <w:t>DeviceSerialNumber</w:t>
            </w:r>
          </w:p>
        </w:tc>
        <w:tc>
          <w:tcPr>
            <w:tcW w:type="dxa" w:w="3024"/>
          </w:tcPr>
          <w:p>
            <w:r>
              <w:rPr>
                <w:sz w:val="18"/>
              </w:rPr>
              <w:t>StationName</w:t>
            </w:r>
          </w:p>
        </w:tc>
      </w:tr>
    </w:tbl>
    <w:p/>
    <w:p>
      <w:pPr>
        <w:pStyle w:val="Heading2"/>
      </w:pPr>
      <w:r>
        <w:t>7.2  Implementation in decode_upload()</w:t>
      </w:r>
    </w:p>
    <w:p>
      <w:pPr>
        <w:spacing w:before="80" w:after="80"/>
        <w:ind w:left="432"/>
        <w:shd w:val="clear" w:color="auto" w:fill="1E293B"/>
      </w:pPr>
      <w:r>
        <w:rPr>
          <w:rFonts w:ascii="Courier New" w:hAnsi="Courier New"/>
          <w:color w:val="A5F3FC"/>
          <w:sz w:val="17"/>
        </w:rPr>
        <w:t>def decode_upload(filename, content):</w:t>
        <w:br/>
        <w:t xml:space="preserve">    if filename.endswith(".dcm"):</w:t>
        <w:br/>
        <w:t xml:space="preserve">        dataset = pydicom.dcmread(io.BytesIO(content), force=True)</w:t>
        <w:br/>
        <w:t xml:space="preserve">        stripped = 0</w:t>
        <w:br/>
        <w:t xml:space="preserve">        for tag_name in PHI_TAGS:</w:t>
        <w:br/>
        <w:t xml:space="preserve">            if hasattr(dataset, tag_name):</w:t>
        <w:br/>
        <w:t xml:space="preserve">                delattr(dataset, tag_name)   # PHI permanently removed</w:t>
        <w:br/>
        <w:t xml:space="preserve">                stripped += 1</w:t>
        <w:br/>
        <w:t xml:space="preserve">        pixels = dataset.pixel_array.astype(np.float32)</w:t>
        <w:br/>
        <w:t xml:space="preserve">        return pixels, stripped</w:t>
      </w:r>
    </w:p>
    <w:p>
      <w:r>
        <w:t>The inference response includes phi_tags_stripped: N so the clinician knows exactly how many PHI attributes were detected and removed from the uploaded DICOM.</w:t>
      </w:r>
    </w:p>
    <w:p>
      <w:r>
        <w:br w:type="page"/>
      </w:r>
    </w:p>
    <w:p>
      <w:pPr>
        <w:pStyle w:val="Heading1"/>
      </w:pPr>
      <w:r>
        <w:rPr>
          <w:color w:val="1E3A5F"/>
        </w:rPr>
        <w:t>8. Inference Engine &amp; API</w:t>
      </w:r>
    </w:p>
    <w:p>
      <w:pPr>
        <w:spacing w:before="80" w:after="80"/>
        <w:pBdr>
          <w:bottom w:val="single" w:sz="6" w:space="1" w:color="3B82F6"/>
        </w:pBdr>
      </w:pPr>
    </w:p>
    <w:p>
      <w:r>
        <w:t>The inference pipeline is exposed as a FastAPI application (app.py) serving two main routes: the clinician dashboard (GET /) and the prediction endpoint (POST /predict).</w:t>
      </w:r>
    </w:p>
    <w:p>
      <w:pPr>
        <w:pStyle w:val="Heading2"/>
      </w:pPr>
      <w:r>
        <w:t>8.1  POST /predict — Scan Analysis Endpoint</w:t>
      </w:r>
    </w:p>
    <w:p>
      <w:r>
        <w:t>Request payload (JSON):</w:t>
      </w:r>
    </w:p>
    <w:p>
      <w:pPr>
        <w:spacing w:before="80" w:after="80"/>
        <w:ind w:left="432"/>
        <w:shd w:val="clear" w:color="auto" w:fill="1E293B"/>
      </w:pPr>
      <w:r>
        <w:rPr>
          <w:rFonts w:ascii="Courier New" w:hAnsi="Courier New"/>
          <w:color w:val="A5F3FC"/>
          <w:sz w:val="17"/>
        </w:rPr>
        <w:t>{</w:t>
        <w:br/>
        <w:t xml:space="preserve">  "image_base64": "&lt;base64-encoded PNG, JPG, or DICOM bytes&gt;",</w:t>
        <w:br/>
        <w:t xml:space="preserve">  "filename":     "scan.dcm",</w:t>
        <w:br/>
        <w:t xml:space="preserve">  "age":          59,</w:t>
        <w:br/>
        <w:t xml:space="preserve">  "sex":          "F",</w:t>
        <w:br/>
        <w:t xml:space="preserve">  "view_position": "PA"</w:t>
        <w:br/>
        <w:t>}</w:t>
      </w:r>
    </w:p>
    <w:p>
      <w:r>
        <w:t>Response payload (JSON):</w:t>
      </w:r>
    </w:p>
    <w:p>
      <w:pPr>
        <w:spacing w:before="80" w:after="80"/>
        <w:ind w:left="432"/>
        <w:shd w:val="clear" w:color="auto" w:fill="1E293B"/>
      </w:pPr>
      <w:r>
        <w:rPr>
          <w:rFonts w:ascii="Courier New" w:hAnsi="Courier New"/>
          <w:color w:val="A5F3FC"/>
          <w:sz w:val="17"/>
        </w:rPr>
        <w:t>{</w:t>
        <w:br/>
        <w:t xml:space="preserve">  "probabilities":     [{"label": "Atelectasis", "probability": 0.49}, ...],  // 14 classes</w:t>
        <w:br/>
        <w:t xml:space="preserve">  "heatmap_base64":    "&lt;base64 PNG of Grad-CAM saliency overlay&gt;",</w:t>
        <w:br/>
        <w:t xml:space="preserve">  "bounding_boxes":    [{"x": 84, "y": 120, "w": 56, "h": 48}, ...],</w:t>
        <w:br/>
        <w:t xml:space="preserve">  "report":            { "clinical_indication": "...", "findings": "...", "impression": "..." },</w:t>
        <w:br/>
        <w:t xml:space="preserve">  "phi_tags_stripped": 3,</w:t>
        <w:br/>
        <w:t xml:space="preserve">  "inference_ms":      142.7,</w:t>
        <w:br/>
        <w:t xml:space="preserve">  "disclaimer":        "Decision support only; not a diagnosis."</w:t>
        <w:br/>
        <w:t>}</w:t>
      </w:r>
    </w:p>
    <w:p>
      <w:pPr>
        <w:pStyle w:val="Heading2"/>
      </w:pPr>
      <w:r>
        <w:t>8.2  Preprocessing Pipeline</w:t>
      </w:r>
    </w:p>
    <w:p>
      <w:pPr>
        <w:spacing w:before="80" w:after="80"/>
        <w:ind w:left="432"/>
        <w:shd w:val="clear" w:color="auto" w:fill="1E293B"/>
      </w:pPr>
      <w:r>
        <w:rPr>
          <w:rFonts w:ascii="Courier New" w:hAnsi="Courier New"/>
          <w:color w:val="A5F3FC"/>
          <w:sz w:val="17"/>
        </w:rPr>
        <w:t>Raw pixels (float32 array)</w:t>
        <w:br/>
        <w:t xml:space="preserve">        │</w:t>
        <w:br/>
        <w:t xml:space="preserve">   nan_to_num()               ─── handle missing/corrupt pixel values</w:t>
        <w:br/>
        <w:t xml:space="preserve">        │</w:t>
        <w:br/>
        <w:t xml:space="preserve">   min-max normalise to [-1024, 1024]   ─── CT Hounsfield-unit range</w:t>
        <w:br/>
        <w:t xml:space="preserve">        │</w:t>
        <w:br/>
        <w:t xml:space="preserve">   PIL resize to (224, 224) BILINEAR</w:t>
        <w:br/>
        <w:t xml:space="preserve">        │</w:t>
        <w:br/>
        <w:t xml:space="preserve">   clip to [-1024, 1024]</w:t>
        <w:br/>
        <w:t xml:space="preserve">        │</w:t>
        <w:br/>
        <w:t xml:space="preserve">   shift to [0, 1]   →   (x + 1024) / 2048</w:t>
        <w:br/>
        <w:t xml:space="preserve">        │</w:t>
        <w:br/>
        <w:t xml:space="preserve">   unsqueeze to [1, 1, 224, 224]   ─── add batch + channel dims</w:t>
        <w:br/>
        <w:t xml:space="preserve">        │</w:t>
        <w:br/>
        <w:t xml:space="preserve">   move to GPU/CPU device</w:t>
      </w:r>
    </w:p>
    <w:p>
      <w:pPr>
        <w:pStyle w:val="Heading2"/>
      </w:pPr>
      <w:r>
        <w:t>8.3  Other API Endpoints</w:t>
      </w:r>
    </w:p>
    <w:p>
      <w:pPr>
        <w:ind w:left="432"/>
      </w:pPr>
      <w:r>
        <w:rPr>
          <w:rFonts w:ascii="Courier New" w:hAnsi="Courier New"/>
          <w:b/>
          <w:color w:val="7C3AED"/>
        </w:rPr>
        <w:t xml:space="preserve">GET /health: </w:t>
      </w:r>
      <w:r>
        <w:t>Returns {'status': 'ok', 'device': 'cuda/cpu'}. Used for liveness probes.</w:t>
      </w:r>
    </w:p>
    <w:p>
      <w:pPr>
        <w:ind w:left="432"/>
      </w:pPr>
      <w:r>
        <w:rPr>
          <w:rFonts w:ascii="Courier New" w:hAnsi="Courier New"/>
          <w:b/>
          <w:color w:val="7C3AED"/>
        </w:rPr>
        <w:t xml:space="preserve">GET /api/nodes: </w:t>
      </w:r>
      <w:r>
        <w:t>Lists all hospital node directories under data/ with sample counts and dataset type.</w:t>
      </w:r>
    </w:p>
    <w:p>
      <w:pPr>
        <w:ind w:left="432"/>
      </w:pPr>
      <w:r>
        <w:rPr>
          <w:rFonts w:ascii="Courier New" w:hAnsi="Courier New"/>
          <w:b/>
          <w:color w:val="7C3AED"/>
        </w:rPr>
        <w:t xml:space="preserve">GET /api/train-status: </w:t>
      </w:r>
      <w:r>
        <w:t>Returns the current training state dict (is_training, step, loss, message).</w:t>
      </w:r>
    </w:p>
    <w:p>
      <w:pPr>
        <w:ind w:left="432"/>
      </w:pPr>
      <w:r>
        <w:rPr>
          <w:rFonts w:ascii="Courier New" w:hAnsi="Courier New"/>
          <w:b/>
          <w:color w:val="7C3AED"/>
        </w:rPr>
        <w:t xml:space="preserve">POST /api/upload-training-sample: </w:t>
      </w:r>
      <w:r>
        <w:t>Accepts a new scan + labels JSON, saves image to hospital node images/ and appends a row to metadata.csv.</w:t>
      </w:r>
    </w:p>
    <w:p>
      <w:pPr>
        <w:ind w:left="432"/>
      </w:pPr>
      <w:r>
        <w:rPr>
          <w:rFonts w:ascii="Courier New" w:hAnsi="Courier New"/>
          <w:b/>
          <w:color w:val="7C3AED"/>
        </w:rPr>
        <w:t xml:space="preserve">POST /api/train-local: </w:t>
      </w:r>
      <w:r>
        <w:t>Starts a background threading.Thread to train the local hospital node model; returns immediately with {'status': 'started'}.</w:t>
      </w:r>
    </w:p>
    <w:p>
      <w:r>
        <w:br w:type="page"/>
      </w:r>
    </w:p>
    <w:p>
      <w:pPr>
        <w:pStyle w:val="Heading1"/>
      </w:pPr>
      <w:r>
        <w:rPr>
          <w:color w:val="1E3A5F"/>
        </w:rPr>
        <w:t>9. Grad-CAM Explainability &amp; Bounding Boxes</w:t>
      </w:r>
    </w:p>
    <w:p>
      <w:pPr>
        <w:spacing w:before="80" w:after="80"/>
        <w:pBdr>
          <w:bottom w:val="single" w:sz="6" w:space="1" w:color="3B82F6"/>
        </w:pBdr>
      </w:pPr>
    </w:p>
    <w:p>
      <w:r>
        <w:t>Gradient-weighted Class Activation Mapping (Grad-CAM) produces a spatial heatmap highlighting regions of the input image that most influenced the model's top predicted pathology. FedChest AI implements a simplified gradient-based saliency method that requires no hooks or intermediate layer caching.</w:t>
      </w:r>
    </w:p>
    <w:p>
      <w:pPr>
        <w:pStyle w:val="Heading2"/>
      </w:pPr>
      <w:r>
        <w:t>9.1  Saliency Computation</w:t>
      </w:r>
    </w:p>
    <w:p>
      <w:pPr>
        <w:spacing w:before="80" w:after="80"/>
        <w:ind w:left="432"/>
        <w:shd w:val="clear" w:color="auto" w:fill="1E293B"/>
      </w:pPr>
      <w:r>
        <w:rPr>
          <w:rFonts w:ascii="Courier New" w:hAnsi="Courier New"/>
          <w:color w:val="A5F3FC"/>
          <w:sz w:val="17"/>
        </w:rPr>
        <w:t># 1. Enable gradient tracking on input tensor</w:t>
        <w:br/>
        <w:t>image_tensor.requires_grad_(True)</w:t>
        <w:br/>
        <w:t>model.zero_grad()</w:t>
        <w:br/>
        <w:br/>
        <w:t># 2. Forward pass → get top predicted class</w:t>
        <w:br/>
        <w:t>probabilities = model(image_tensor, metadata_tensor)</w:t>
        <w:br/>
        <w:t>top_index = probabilities[0].argmax()</w:t>
        <w:br/>
        <w:br/>
        <w:t># 3. Backward pass on top class score only</w:t>
        <w:br/>
        <w:t>probabilities[0, top_index].backward()</w:t>
        <w:br/>
        <w:br/>
        <w:t># 4. Input gradient → absolute max across channels → normalise to [0,1]</w:t>
        <w:br/>
        <w:t>saliency = image_tensor.grad.detach().abs().amax(dim=1)[0]</w:t>
        <w:br/>
        <w:t>saliency = saliency / saliency.amax().clamp_min(1e-8)</w:t>
      </w:r>
    </w:p>
    <w:p>
      <w:pPr>
        <w:pStyle w:val="Heading2"/>
      </w:pPr>
      <w:r>
        <w:t>9.2  Heatmap Colorisation</w:t>
      </w:r>
    </w:p>
    <w:p>
      <w:r>
        <w:t>The saliency map is rendered as a false-colour RGB image for readability. encode_heatmap() maps the normalised saliency value to a jet-like colour palette:</w:t>
      </w:r>
    </w:p>
    <w:p>
      <w:pPr>
        <w:spacing w:before="80" w:after="80"/>
        <w:ind w:left="432"/>
        <w:shd w:val="clear" w:color="auto" w:fill="1E293B"/>
      </w:pPr>
      <w:r>
        <w:rPr>
          <w:rFonts w:ascii="Courier New" w:hAnsi="Courier New"/>
          <w:color w:val="A5F3FC"/>
          <w:sz w:val="17"/>
        </w:rPr>
        <w:t>Red   channel = saliency * 255          # high saliency → bright red</w:t>
        <w:br/>
        <w:t>Green channel = (1 - |saliency - 0.5| * 2) * 180   # midrange → green</w:t>
        <w:br/>
        <w:t>Blue  channel = (1 - saliency) * 220         # low saliency → blue</w:t>
      </w:r>
    </w:p>
    <w:p>
      <w:pPr>
        <w:pStyle w:val="Heading2"/>
      </w:pPr>
      <w:r>
        <w:t>9.3  Bounding Box Detection (BFS)</w:t>
      </w:r>
    </w:p>
    <w:p>
      <w:r>
        <w:t>find_boxes() performs a breadth-first search (BFS) flood-fill over the binarised saliency mask (threshold = 0.6) to identify connected high-activation regions. Each connected component with ≥ 4 pixels is reported as an axis-aligned bounding box {x, y, w, h} in pixel coordinates of the 224×224 heatmap space.</w:t>
      </w:r>
    </w:p>
    <w:p>
      <w:r>
        <w:br w:type="page"/>
      </w:r>
    </w:p>
    <w:p>
      <w:pPr>
        <w:pStyle w:val="Heading1"/>
      </w:pPr>
      <w:r>
        <w:rPr>
          <w:color w:val="1E3A5F"/>
        </w:rPr>
        <w:t>10. Clinical Report Engine</w:t>
      </w:r>
    </w:p>
    <w:p>
      <w:pPr>
        <w:spacing w:before="80" w:after="80"/>
        <w:pBdr>
          <w:bottom w:val="single" w:sz="6" w:space="1" w:color="3B82F6"/>
        </w:pBdr>
      </w:pPr>
    </w:p>
    <w:p>
      <w:r>
        <w:t>report_engine.py implements build_report(), a deterministic function that translates raw model probability scores into a structured clinical radiology report following the ACR Reporting Standards template.</w:t>
      </w:r>
    </w:p>
    <w:p>
      <w:pPr>
        <w:pStyle w:val="Heading2"/>
      </w:pPr>
      <w:r>
        <w:t>10.1  Report Structure</w:t>
      </w:r>
    </w:p>
    <w:p>
      <w:pPr>
        <w:ind w:left="432"/>
      </w:pPr>
      <w:r>
        <w:rPr>
          <w:rFonts w:ascii="Courier New" w:hAnsi="Courier New"/>
          <w:b/>
        </w:rPr>
        <w:t xml:space="preserve">• clinical_indication: </w:t>
      </w:r>
      <w:r>
        <w:t>Free-text header with view type, patient age, and sex from API inputs.</w:t>
      </w:r>
    </w:p>
    <w:p>
      <w:pPr>
        <w:ind w:left="432"/>
      </w:pPr>
      <w:r>
        <w:rPr>
          <w:rFonts w:ascii="Courier New" w:hAnsi="Courier New"/>
          <w:b/>
        </w:rPr>
        <w:t xml:space="preserve">• findings: </w:t>
      </w:r>
      <w:r>
        <w:t>Ordered list of all 14 pathology findings with estimated probability percentages.</w:t>
      </w:r>
    </w:p>
    <w:p>
      <w:pPr>
        <w:ind w:left="432"/>
      </w:pPr>
      <w:r>
        <w:rPr>
          <w:rFonts w:ascii="Courier New" w:hAnsi="Courier New"/>
          <w:b/>
        </w:rPr>
        <w:t xml:space="preserve">• impression: </w:t>
      </w:r>
      <w:r>
        <w:t>Summary statement classifying overall risk level based on highest predicted probability.</w:t>
      </w:r>
    </w:p>
    <w:p>
      <w:pPr>
        <w:pStyle w:val="Heading2"/>
      </w:pPr>
      <w:r>
        <w:t>10.2  Risk Classification Thresholds</w:t>
      </w:r>
    </w:p>
    <w:p>
      <w:pPr>
        <w:spacing w:before="80" w:after="80"/>
        <w:ind w:left="432"/>
        <w:shd w:val="clear" w:color="auto" w:fill="1E293B"/>
      </w:pPr>
      <w:r>
        <w:rPr>
          <w:rFonts w:ascii="Courier New" w:hAnsi="Courier New"/>
          <w:color w:val="A5F3FC"/>
          <w:sz w:val="17"/>
        </w:rPr>
        <w:t>if max_probability &gt;= 0.70:  impression = "HIGH RISK: Immediate radiologist review recommended."</w:t>
        <w:br/>
        <w:t>elif max_probability &gt;= 0.55:  impression = "MODERATE RISK: Clinical review advised."</w:t>
        <w:br/>
        <w:t xml:space="preserve">else:  impression = "No high-risk finding; moderate-risk findings require clinical review." </w:t>
      </w:r>
    </w:p>
    <w:tbl>
      <w:tblPr>
        <w:tblStyle w:val="TableGrid"/>
        <w:tblW w:type="auto" w:w="0"/>
        <w:tblLook w:firstColumn="1" w:firstRow="1" w:lastColumn="0" w:lastRow="0" w:noHBand="0" w:noVBand="1" w:val="04A0"/>
      </w:tblPr>
      <w:tblGrid>
        <w:gridCol w:w="9072"/>
      </w:tblGrid>
      <w:tr>
        <w:tc>
          <w:tcPr>
            <w:tcW w:type="dxa" w:w="9072"/>
            <w:shd w:val="clear" w:color="auto" w:fill="FFF7ED"/>
          </w:tcPr>
          <w:p>
            <w:pPr>
              <w:spacing w:before="60"/>
            </w:pPr>
            <w:r>
              <w:rPr>
                <w:b/>
                <w:color w:val="1E3A5F"/>
                <w:sz w:val="20"/>
              </w:rPr>
              <w:t>ℹ  Important Disclaimer</w:t>
            </w:r>
          </w:p>
          <w:p>
            <w:pPr>
              <w:spacing w:after="80"/>
            </w:pPr>
            <w:r>
              <w:rPr>
                <w:sz w:val="19"/>
              </w:rPr>
              <w:t>All reports generated by FedChest AI are decision-support tools only. They are not diagnostic conclusions and must be reviewed by a qualified radiologist or clinician before any clinical action is taken.</w:t>
            </w:r>
          </w:p>
        </w:tc>
      </w:tr>
    </w:tbl>
    <w:p/>
    <w:p>
      <w:r>
        <w:br w:type="page"/>
      </w:r>
    </w:p>
    <w:p>
      <w:pPr>
        <w:pStyle w:val="Heading1"/>
      </w:pPr>
      <w:r>
        <w:rPr>
          <w:color w:val="1E3A5F"/>
        </w:rPr>
        <w:t>11. Clinician Dashboard &amp; Training Hub</w:t>
      </w:r>
    </w:p>
    <w:p>
      <w:pPr>
        <w:spacing w:before="80" w:after="80"/>
        <w:pBdr>
          <w:bottom w:val="single" w:sz="6" w:space="1" w:color="3B82F6"/>
        </w:pBdr>
      </w:pPr>
    </w:p>
    <w:p>
      <w:r>
        <w:t>dashboard.html is a fully self-contained, single-page application (SPA) served at the root URL by FastAPI. It provides two distinct operational modes accessible through a tab-based navigation interface.</w:t>
      </w:r>
    </w:p>
    <w:p>
      <w:pPr>
        <w:pStyle w:val="Heading2"/>
      </w:pPr>
      <w:r>
        <w:t>11.1  Mode 1: Clinical AI Inference</w:t>
      </w:r>
    </w:p>
    <w:p>
      <w:pPr>
        <w:pStyle w:val="ListBullet"/>
        <w:ind w:left="576"/>
      </w:pPr>
      <w:r>
        <w:t>Drag-and-drop or file-picker upload for DICOM (.dcm), PNG, and JPG radiograph files.</w:t>
      </w:r>
    </w:p>
    <w:p>
      <w:pPr>
        <w:pStyle w:val="ListBullet"/>
        <w:ind w:left="576"/>
      </w:pPr>
      <w:r>
        <w:t>Patient metadata input form: age, biological sex, and view position (AP/PA).</w:t>
      </w:r>
    </w:p>
    <w:p>
      <w:pPr>
        <w:pStyle w:val="ListBullet"/>
        <w:ind w:left="576"/>
      </w:pPr>
      <w:r>
        <w:t>Animated processing overlay while the /predict API call executes.</w:t>
      </w:r>
    </w:p>
    <w:p>
      <w:pPr>
        <w:pStyle w:val="ListBullet"/>
        <w:ind w:left="576"/>
      </w:pPr>
      <w:r>
        <w:t>Animated radial progress gauges for each of the 14 pathology probabilities.</w:t>
      </w:r>
    </w:p>
    <w:p>
      <w:pPr>
        <w:pStyle w:val="ListBullet"/>
        <w:ind w:left="576"/>
      </w:pPr>
      <w:r>
        <w:t>Side-by-side display of original radiograph and false-colour Grad-CAM saliency heatmap.</w:t>
      </w:r>
    </w:p>
    <w:p>
      <w:pPr>
        <w:pStyle w:val="ListBullet"/>
        <w:ind w:left="576"/>
      </w:pPr>
      <w:r>
        <w:t>Interactive bounding box overlay rendered on a &lt;canvas&gt; element.</w:t>
      </w:r>
    </w:p>
    <w:p>
      <w:pPr>
        <w:pStyle w:val="ListBullet"/>
        <w:ind w:left="576"/>
      </w:pPr>
      <w:r>
        <w:t>Formatted structured clinical report with colour-coded risk indicators.</w:t>
      </w:r>
    </w:p>
    <w:p>
      <w:pPr>
        <w:pStyle w:val="ListBullet"/>
        <w:ind w:left="576"/>
      </w:pPr>
      <w:r>
        <w:t>PHI scrubbing count and inference latency display.</w:t>
      </w:r>
    </w:p>
    <w:p>
      <w:pPr>
        <w:pStyle w:val="Heading2"/>
      </w:pPr>
      <w:r>
        <w:t>11.2  Mode 2: Local Model Training Hub</w:t>
      </w:r>
    </w:p>
    <w:p>
      <w:pPr>
        <w:pStyle w:val="ListBullet"/>
        <w:ind w:left="576"/>
      </w:pPr>
      <w:r>
        <w:t>Hospital node selector populated dynamically from GET /api/nodes.</w:t>
      </w:r>
    </w:p>
    <w:p>
      <w:pPr>
        <w:pStyle w:val="ListBullet"/>
        <w:ind w:left="576"/>
      </w:pPr>
      <w:r>
        <w:t>Sample count display per node to monitor dataset growth.</w:t>
      </w:r>
    </w:p>
    <w:p>
      <w:pPr>
        <w:pStyle w:val="ListBullet"/>
        <w:ind w:left="576"/>
      </w:pPr>
      <w:r>
        <w:t>Upload new training samples: drag-and-drop scan + multi-checkbox pathology label selection.</w:t>
      </w:r>
    </w:p>
    <w:p>
      <w:pPr>
        <w:pStyle w:val="ListBullet"/>
        <w:ind w:left="576"/>
      </w:pPr>
      <w:r>
        <w:t>Patient metadata form for uploaded samples (age, sex, view position).</w:t>
      </w:r>
    </w:p>
    <w:p>
      <w:pPr>
        <w:pStyle w:val="ListBullet"/>
        <w:ind w:left="576"/>
      </w:pPr>
      <w:r>
        <w:t>Training configuration panel: epoch count and batch size sliders.</w:t>
      </w:r>
    </w:p>
    <w:p>
      <w:pPr>
        <w:pStyle w:val="ListBullet"/>
        <w:ind w:left="576"/>
      </w:pPr>
      <w:r>
        <w:t>One-click Launch Training that calls POST /api/train-local.</w:t>
      </w:r>
    </w:p>
    <w:p>
      <w:pPr>
        <w:pStyle w:val="ListBullet"/>
        <w:ind w:left="576"/>
      </w:pPr>
      <w:r>
        <w:t>Live animated progress bar, epoch counter, loss display, and status messages via /api/train-status polling.</w:t>
      </w:r>
    </w:p>
    <w:p>
      <w:pPr>
        <w:pStyle w:val="ListBullet"/>
        <w:ind w:left="576"/>
      </w:pPr>
      <w:r>
        <w:t>Auto-refresh every 2 seconds during active training.</w:t>
      </w:r>
    </w:p>
    <w:p>
      <w:pPr>
        <w:pStyle w:val="Heading2"/>
      </w:pPr>
      <w:r>
        <w:t>11.3  Design System</w:t>
      </w:r>
    </w:p>
    <w:p>
      <w:r>
        <w:t>The dashboard implements a premium glassmorphism dark-mode aesthetic:</w:t>
      </w:r>
    </w:p>
    <w:p>
      <w:pPr>
        <w:ind w:left="432"/>
      </w:pPr>
      <w:r>
        <w:rPr>
          <w:b/>
        </w:rPr>
        <w:t xml:space="preserve">• Color palette: </w:t>
      </w:r>
      <w:r>
        <w:t>Deep navy (#0A0F1E) background, electric blue (#2563EB) accents, violet highlights (#7C3AED).</w:t>
      </w:r>
    </w:p>
    <w:p>
      <w:pPr>
        <w:ind w:left="432"/>
      </w:pPr>
      <w:r>
        <w:rPr>
          <w:b/>
        </w:rPr>
        <w:t xml:space="preserve">• Typography: </w:t>
      </w:r>
      <w:r>
        <w:t>Google Fonts 'Inter' throughout; monospace Courier New for data fields.</w:t>
      </w:r>
    </w:p>
    <w:p>
      <w:pPr>
        <w:ind w:left="432"/>
      </w:pPr>
      <w:r>
        <w:rPr>
          <w:b/>
        </w:rPr>
        <w:t xml:space="preserve">• Glassmorphism panels: </w:t>
      </w:r>
      <w:r>
        <w:t>Semi-transparent backdrop-filter: blur(20px) cards with 1px rgba border.</w:t>
      </w:r>
    </w:p>
    <w:p>
      <w:pPr>
        <w:ind w:left="432"/>
      </w:pPr>
      <w:r>
        <w:rPr>
          <w:b/>
        </w:rPr>
        <w:t xml:space="preserve">• Animations: </w:t>
      </w:r>
      <w:r>
        <w:t>CSS @keyframes shimmer for loading states, pulse-ring for active training indicators, smooth gauge arc transitions.</w:t>
      </w:r>
    </w:p>
    <w:p>
      <w:pPr>
        <w:ind w:left="432"/>
      </w:pPr>
      <w:r>
        <w:rPr>
          <w:b/>
        </w:rPr>
        <w:t xml:space="preserve">• Canvas rendering: </w:t>
      </w:r>
      <w:r>
        <w:t>Bounding boxes and heatmap overlay drawn via 2D Canvas API with RGBA blending.</w:t>
      </w:r>
    </w:p>
    <w:p>
      <w:r>
        <w:br w:type="page"/>
      </w:r>
    </w:p>
    <w:p>
      <w:pPr>
        <w:pStyle w:val="Heading1"/>
      </w:pPr>
      <w:r>
        <w:rPr>
          <w:color w:val="1E3A5F"/>
        </w:rPr>
        <w:t>12. File-by-File Technical Reference</w:t>
      </w:r>
    </w:p>
    <w:p>
      <w:pPr>
        <w:spacing w:before="80" w:after="80"/>
        <w:pBdr>
          <w:bottom w:val="single" w:sz="6" w:space="1" w:color="3B82F6"/>
        </w:pBdr>
      </w:pPr>
    </w:p>
    <w:p>
      <w:pPr>
        <w:pStyle w:val="Heading2"/>
      </w:pPr>
      <w:r>
        <w:t>12.1  app.py</w:t>
      </w:r>
    </w:p>
    <w:p>
      <w:r>
        <w:rPr>
          <w:i/>
        </w:rPr>
        <w:t>FastAPI application server (367 lines)</w:t>
      </w:r>
    </w:p>
    <w:p>
      <w:r>
        <w:t>Defines the FastAPI app, model singleton loader, PHI-scrubbing DICOM decoder, image preprocessor, Grad-CAM saliency computation, BFS bounding-box finder, heatmap colouriser, training state management, and all HTTP endpoints. Implements thread-safe background local training via threading.Thread.</w:t>
      </w:r>
    </w:p>
    <w:p/>
    <w:p>
      <w:pPr>
        <w:pStyle w:val="Heading2"/>
      </w:pPr>
      <w:r>
        <w:t>12.2  model.py</w:t>
      </w:r>
    </w:p>
    <w:p>
      <w:r>
        <w:rPr>
          <w:i/>
        </w:rPr>
        <w:t>MultimodalChestModel definition (105 lines)</w:t>
      </w:r>
    </w:p>
    <w:p>
      <w:r>
        <w:t>Defines LoRAConv2d residual adapter module, _inject_lora() recursive injection, MultimodalChestModel with frozen DenseNet backbone + metadata_head + classifier, build_model() factory, and count_parameters() utility. Enforces 300k parameter budget at init.</w:t>
      </w:r>
    </w:p>
    <w:p/>
    <w:p>
      <w:pPr>
        <w:pStyle w:val="Heading2"/>
      </w:pPr>
      <w:r>
        <w:t>12.3  dataset.py</w:t>
      </w:r>
    </w:p>
    <w:p>
      <w:r>
        <w:rPr>
          <w:i/>
        </w:rPr>
        <w:t>PyTorch Dataset factory (197 lines)</w:t>
      </w:r>
    </w:p>
    <w:p>
      <w:r>
        <w:t>Defines load_image_tensor() unified PNG/DICOM loader, BaseHospitalDataset base class, NIHHospitalDataset (14-label multi-hot), RSNAHospitalDataset (Pneumonia target), SIIMHospitalDataset (Pneumothorax target), and get_hospital_dataset() auto-detection factory.</w:t>
      </w:r>
    </w:p>
    <w:p/>
    <w:p>
      <w:pPr>
        <w:pStyle w:val="Heading2"/>
      </w:pPr>
      <w:r>
        <w:t>12.4  data_split.py</w:t>
      </w:r>
    </w:p>
    <w:p>
      <w:r>
        <w:rPr>
          <w:i/>
        </w:rPr>
        <w:t>Dataset partitioner (one-time setup, ~170 lines)</w:t>
      </w:r>
    </w:p>
    <w:p>
      <w:r>
        <w:t>prepare_nih_hospital(): reads BBox_List_2017.csv + Data_Entry_2017.csv, generates data/hospital_nih/metadata.csv. prepare_rsna_hospital(): reads stage_2_train_labels.csv, generates data/hospital_rsna/metadata.csv. prepare_siim_hospital(): reads siim-acr-pneumothorax-segmentation/stage_2_train.csv, derives HasPneumothorax from RLE, generates data/hospital_siim/metadata.csv.</w:t>
      </w:r>
    </w:p>
    <w:p/>
    <w:p>
      <w:pPr>
        <w:pStyle w:val="Heading2"/>
      </w:pPr>
      <w:r>
        <w:t>12.5  client.py</w:t>
      </w:r>
    </w:p>
    <w:p>
      <w:r>
        <w:rPr>
          <w:i/>
        </w:rPr>
        <w:t>Flower FL client (126 lines)</w:t>
      </w:r>
    </w:p>
    <w:p>
      <w:r>
        <w:t>ChestXRayClient extends fl.client.NumPyClient with get_parameters(), fit(), evaluate(). Uses mixed-precision AMP training (torch.cuda.amp). Accepts --node-dir argument to identify local hospital dataset. Communicates with central server over gRPC.</w:t>
      </w:r>
    </w:p>
    <w:p/>
    <w:p>
      <w:pPr>
        <w:pStyle w:val="Heading2"/>
      </w:pPr>
      <w:r>
        <w:t>12.6  server.py</w:t>
      </w:r>
    </w:p>
    <w:p>
      <w:r>
        <w:rPr>
          <w:i/>
        </w:rPr>
        <w:t>Flower FL server (50 lines)</w:t>
      </w:r>
    </w:p>
    <w:p>
      <w:r>
        <w:t>SavingFedAvg extends FedAvg; overrides aggregate_fit() to deserialise aggregated parameters, reconstruct model state_dict, and save checkpoint after each round. Configured for 5 FL rounds with min_available_clients=3.</w:t>
      </w:r>
    </w:p>
    <w:p/>
    <w:p>
      <w:pPr>
        <w:pStyle w:val="Heading2"/>
      </w:pPr>
      <w:r>
        <w:t>12.7  train.py</w:t>
      </w:r>
    </w:p>
    <w:p>
      <w:r>
        <w:rPr>
          <w:i/>
        </w:rPr>
        <w:t>Training orchestrator (~220 lines)</w:t>
      </w:r>
    </w:p>
    <w:p>
      <w:r>
        <w:t>Implements --mode local for single-hospital training and --mode fl for multi-process FL simulation using subprocess.Popen to spawn server + 3 client processes. Supports --node-dir, --epochs, --rounds arguments.</w:t>
      </w:r>
    </w:p>
    <w:p/>
    <w:p>
      <w:pPr>
        <w:pStyle w:val="Heading2"/>
      </w:pPr>
      <w:r>
        <w:t>12.8  report_engine.py</w:t>
      </w:r>
    </w:p>
    <w:p>
      <w:r>
        <w:rPr>
          <w:i/>
        </w:rPr>
        <w:t>Clinical report generator (38 lines)</w:t>
      </w:r>
    </w:p>
    <w:p>
      <w:r>
        <w:t>build_report() constructs a 3-field clinical report dict from LABELS list, probabilities array, age, sex, and view_position. Applies risk thresholds to generate the impression sentence.</w:t>
      </w:r>
    </w:p>
    <w:p/>
    <w:p>
      <w:pPr>
        <w:pStyle w:val="Heading2"/>
      </w:pPr>
      <w:r>
        <w:t>12.9  dashboard.html</w:t>
      </w:r>
    </w:p>
    <w:p>
      <w:r>
        <w:rPr>
          <w:i/>
        </w:rPr>
        <w:t>Single-page application (900+ lines)</w:t>
      </w:r>
    </w:p>
    <w:p>
      <w:r>
        <w:t>Glassmorphic dark-mode SPA with two tabs: AI Inference (file upload, gauge rendering, canvas heatmap overlay, clinical report) and Training Hub (node selector, sample upload form, training controls, live progress). All JavaScript written inline; no external JS dependencies beyond Google Fonts.</w:t>
      </w:r>
    </w:p>
    <w:p/>
    <w:p>
      <w:pPr>
        <w:pStyle w:val="Heading2"/>
      </w:pPr>
      <w:r>
        <w:t>12.10  requirements.txt</w:t>
      </w:r>
    </w:p>
    <w:p>
      <w:r>
        <w:rPr>
          <w:i/>
        </w:rPr>
        <w:t>Python package dependencies</w:t>
      </w:r>
    </w:p>
    <w:p>
      <w:r>
        <w:t>fastapi, uvicorn, torch, torchvision, flwr (Flower), Pillow, numpy, pandas, pydicom, python-multipart, torchxrayvision.</w:t>
      </w:r>
    </w:p>
    <w:p/>
    <w:p>
      <w:r>
        <w:br w:type="page"/>
      </w:r>
    </w:p>
    <w:p>
      <w:pPr>
        <w:pStyle w:val="Heading1"/>
      </w:pPr>
      <w:r>
        <w:rPr>
          <w:color w:val="1E3A5F"/>
        </w:rPr>
        <w:t>13. Prerequisites &amp; Setup</w:t>
      </w:r>
    </w:p>
    <w:p>
      <w:pPr>
        <w:spacing w:before="80" w:after="80"/>
        <w:pBdr>
          <w:bottom w:val="single" w:sz="6" w:space="1" w:color="3B82F6"/>
        </w:pBdr>
      </w:pPr>
    </w:p>
    <w:p>
      <w:pPr>
        <w:pStyle w:val="Heading2"/>
      </w:pPr>
      <w:r>
        <w:t>13.1  System Requirements</w:t>
      </w:r>
    </w:p>
    <w:tbl>
      <w:tblPr>
        <w:tblStyle w:val="TableGrid"/>
        <w:tblW w:type="auto" w:w="0"/>
        <w:tblLook w:firstColumn="1" w:firstRow="1" w:lastColumn="0" w:lastRow="0" w:noHBand="0" w:noVBand="1" w:val="04A0"/>
      </w:tblPr>
      <w:tblGrid>
        <w:gridCol w:w="4536"/>
        <w:gridCol w:w="4536"/>
      </w:tblGrid>
      <w:tr>
        <w:tc>
          <w:tcPr>
            <w:tcW w:type="dxa" w:w="4536"/>
            <w:shd w:val="clear" w:color="auto" w:fill="1E3A5F"/>
          </w:tcPr>
          <w:p>
            <w:r>
              <w:rPr>
                <w:b/>
                <w:color w:val="FFFFFF"/>
              </w:rPr>
              <w:t>Requirement</w:t>
            </w:r>
          </w:p>
        </w:tc>
        <w:tc>
          <w:tcPr>
            <w:tcW w:type="dxa" w:w="4536"/>
            <w:shd w:val="clear" w:color="auto" w:fill="1E3A5F"/>
          </w:tcPr>
          <w:p>
            <w:r>
              <w:rPr>
                <w:b/>
                <w:color w:val="FFFFFF"/>
              </w:rPr>
              <w:t>Specification</w:t>
            </w:r>
          </w:p>
        </w:tc>
      </w:tr>
      <w:tr>
        <w:tc>
          <w:tcPr>
            <w:tcW w:type="dxa" w:w="4536"/>
          </w:tcPr>
          <w:p>
            <w:r>
              <w:t>Operating System</w:t>
            </w:r>
          </w:p>
        </w:tc>
        <w:tc>
          <w:tcPr>
            <w:tcW w:type="dxa" w:w="4536"/>
          </w:tcPr>
          <w:p>
            <w:r>
              <w:t>Linux (Ubuntu 20.04+), macOS 12+, or Windows 10/11 with WSL2</w:t>
            </w:r>
          </w:p>
        </w:tc>
      </w:tr>
      <w:tr>
        <w:tc>
          <w:tcPr>
            <w:tcW w:type="dxa" w:w="4536"/>
          </w:tcPr>
          <w:p>
            <w:r>
              <w:t>Python</w:t>
            </w:r>
          </w:p>
        </w:tc>
        <w:tc>
          <w:tcPr>
            <w:tcW w:type="dxa" w:w="4536"/>
          </w:tcPr>
          <w:p>
            <w:r>
              <w:t>3.9 – 3.12</w:t>
            </w:r>
          </w:p>
        </w:tc>
      </w:tr>
      <w:tr>
        <w:tc>
          <w:tcPr>
            <w:tcW w:type="dxa" w:w="4536"/>
          </w:tcPr>
          <w:p>
            <w:r>
              <w:t>RAM</w:t>
            </w:r>
          </w:p>
        </w:tc>
        <w:tc>
          <w:tcPr>
            <w:tcW w:type="dxa" w:w="4536"/>
          </w:tcPr>
          <w:p>
            <w:r>
              <w:t>Minimum 8 GB; 16 GB recommended for DICOM dataset loading</w:t>
            </w:r>
          </w:p>
        </w:tc>
      </w:tr>
      <w:tr>
        <w:tc>
          <w:tcPr>
            <w:tcW w:type="dxa" w:w="4536"/>
          </w:tcPr>
          <w:p>
            <w:r>
              <w:t>GPU</w:t>
            </w:r>
          </w:p>
        </w:tc>
        <w:tc>
          <w:tcPr>
            <w:tcW w:type="dxa" w:w="4536"/>
          </w:tcPr>
          <w:p>
            <w:r>
              <w:t>Optional but strongly recommended (CUDA 11.8+ / cuDNN 8.6+). CPU-only mode is supported.</w:t>
            </w:r>
          </w:p>
        </w:tc>
      </w:tr>
      <w:tr>
        <w:tc>
          <w:tcPr>
            <w:tcW w:type="dxa" w:w="4536"/>
          </w:tcPr>
          <w:p>
            <w:r>
              <w:t>Disk Space</w:t>
            </w:r>
          </w:p>
        </w:tc>
        <w:tc>
          <w:tcPr>
            <w:tcW w:type="dxa" w:w="4536"/>
          </w:tcPr>
          <w:p>
            <w:r>
              <w:t>~15 GB for NIH dataset images; ~8 GB for RSNA DICOM files; ~4 GB for SIIM DICOM files</w:t>
            </w:r>
          </w:p>
        </w:tc>
      </w:tr>
      <w:tr>
        <w:tc>
          <w:tcPr>
            <w:tcW w:type="dxa" w:w="4536"/>
          </w:tcPr>
          <w:p>
            <w:r>
              <w:t>Network</w:t>
            </w:r>
          </w:p>
        </w:tc>
        <w:tc>
          <w:tcPr>
            <w:tcW w:type="dxa" w:w="4536"/>
          </w:tcPr>
          <w:p>
            <w:r>
              <w:t>Internet access required only for initial TorchXRayVision model weight download</w:t>
            </w:r>
          </w:p>
        </w:tc>
      </w:tr>
    </w:tbl>
    <w:p/>
    <w:p>
      <w:pPr>
        <w:pStyle w:val="Heading2"/>
      </w:pPr>
      <w:r>
        <w:t>13.2  Installation Steps</w:t>
      </w:r>
    </w:p>
    <w:p>
      <w:pPr>
        <w:pStyle w:val="Heading3"/>
      </w:pPr>
      <w:r>
        <w:t>Step 1: Clone the repository</w:t>
      </w:r>
    </w:p>
    <w:p>
      <w:pPr>
        <w:spacing w:before="80" w:after="80"/>
        <w:ind w:left="432"/>
        <w:shd w:val="clear" w:color="auto" w:fill="1E293B"/>
      </w:pPr>
      <w:r>
        <w:rPr>
          <w:rFonts w:ascii="Courier New" w:hAnsi="Courier New"/>
          <w:color w:val="A5F3FC"/>
          <w:sz w:val="17"/>
        </w:rPr>
        <w:t>git clone https://github.com/your-username/FedchestAI.git</w:t>
        <w:br/>
        <w:t>cd FedchestAI</w:t>
      </w:r>
    </w:p>
    <w:p>
      <w:pPr>
        <w:pStyle w:val="Heading3"/>
      </w:pPr>
      <w:r>
        <w:t>Step 2: Create a virtual environment</w:t>
      </w:r>
    </w:p>
    <w:p>
      <w:pPr>
        <w:spacing w:before="80" w:after="80"/>
        <w:ind w:left="432"/>
        <w:shd w:val="clear" w:color="auto" w:fill="1E293B"/>
      </w:pPr>
      <w:r>
        <w:rPr>
          <w:rFonts w:ascii="Courier New" w:hAnsi="Courier New"/>
          <w:color w:val="A5F3FC"/>
          <w:sz w:val="17"/>
        </w:rPr>
        <w:t>python3 -m venv venv</w:t>
        <w:br/>
        <w:t>source venv/bin/activate   # Linux/macOS</w:t>
        <w:br/>
        <w:t># OR</w:t>
        <w:br/>
        <w:t>venv\Scripts\activate     # Windows</w:t>
      </w:r>
    </w:p>
    <w:p>
      <w:pPr>
        <w:pStyle w:val="Heading3"/>
      </w:pPr>
      <w:r>
        <w:t>Step 3: Install dependencies</w:t>
      </w:r>
    </w:p>
    <w:p>
      <w:pPr>
        <w:spacing w:before="80" w:after="80"/>
        <w:ind w:left="432"/>
        <w:shd w:val="clear" w:color="auto" w:fill="1E293B"/>
      </w:pPr>
      <w:r>
        <w:rPr>
          <w:rFonts w:ascii="Courier New" w:hAnsi="Courier New"/>
          <w:color w:val="A5F3FC"/>
          <w:sz w:val="17"/>
        </w:rPr>
        <w:t>pip install --upgrade pip</w:t>
        <w:br/>
        <w:t>pip install -r requirements.txt</w:t>
      </w:r>
    </w:p>
    <w:p>
      <w:pPr>
        <w:pStyle w:val="Heading3"/>
      </w:pPr>
      <w:r>
        <w:t>Step 4: Download TorchXRayVision weights (automatic on first run)</w:t>
      </w:r>
    </w:p>
    <w:p>
      <w:pPr>
        <w:spacing w:before="80" w:after="80"/>
        <w:ind w:left="432"/>
        <w:shd w:val="clear" w:color="auto" w:fill="1E293B"/>
      </w:pPr>
      <w:r>
        <w:rPr>
          <w:rFonts w:ascii="Courier New" w:hAnsi="Courier New"/>
          <w:color w:val="A5F3FC"/>
          <w:sz w:val="17"/>
        </w:rPr>
        <w:t>python3 model.py   # Downloads DenseNet weights ~100MB</w:t>
      </w:r>
    </w:p>
    <w:p>
      <w:pPr>
        <w:pStyle w:val="Heading3"/>
      </w:pPr>
      <w:r>
        <w:t>Step 5: Place dataset files</w:t>
      </w:r>
    </w:p>
    <w:p>
      <w:pPr>
        <w:spacing w:before="80" w:after="80"/>
        <w:ind w:left="432"/>
        <w:shd w:val="clear" w:color="auto" w:fill="1E293B"/>
      </w:pPr>
      <w:r>
        <w:rPr>
          <w:rFonts w:ascii="Courier New" w:hAnsi="Courier New"/>
          <w:color w:val="A5F3FC"/>
          <w:sz w:val="17"/>
        </w:rPr>
        <w:t># Copy NIH images to: images/</w:t>
        <w:br/>
        <w:t># Copy RSNA DICOMs to: stage_2_train_images/</w:t>
        <w:br/>
        <w:t># Unzip SIIM archive to: siim-acr-pneumothorax-segmentation/</w:t>
      </w:r>
    </w:p>
    <w:p>
      <w:pPr>
        <w:pStyle w:val="Heading3"/>
      </w:pPr>
      <w:r>
        <w:t>Step 6: Partition hospital datasets</w:t>
      </w:r>
    </w:p>
    <w:p>
      <w:pPr>
        <w:spacing w:before="80" w:after="80"/>
        <w:ind w:left="432"/>
        <w:shd w:val="clear" w:color="auto" w:fill="1E293B"/>
      </w:pPr>
      <w:r>
        <w:rPr>
          <w:rFonts w:ascii="Courier New" w:hAnsi="Courier New"/>
          <w:color w:val="A5F3FC"/>
          <w:sz w:val="17"/>
        </w:rPr>
        <w:t>python3 data_split.py</w:t>
      </w:r>
    </w:p>
    <w:p>
      <w:pPr>
        <w:pStyle w:val="Heading3"/>
      </w:pPr>
      <w:r>
        <w:t>Step 7: Launch the inference portal</w:t>
      </w:r>
    </w:p>
    <w:p>
      <w:pPr>
        <w:spacing w:before="80" w:after="80"/>
        <w:ind w:left="432"/>
        <w:shd w:val="clear" w:color="auto" w:fill="1E293B"/>
      </w:pPr>
      <w:r>
        <w:rPr>
          <w:rFonts w:ascii="Courier New" w:hAnsi="Courier New"/>
          <w:color w:val="A5F3FC"/>
          <w:sz w:val="17"/>
        </w:rPr>
        <w:t>python3 -m uvicorn app:app --host 0.0.0.0 --port 8000</w:t>
        <w:br/>
        <w:t># Then open: http://localhost:8000</w:t>
      </w:r>
    </w:p>
    <w:p>
      <w:pPr>
        <w:pStyle w:val="Heading3"/>
      </w:pPr>
      <w:r>
        <w:t>Step 8 (optional): Run federated learning</w:t>
      </w:r>
    </w:p>
    <w:p>
      <w:pPr>
        <w:spacing w:before="80" w:after="80"/>
        <w:ind w:left="432"/>
        <w:shd w:val="clear" w:color="auto" w:fill="1E293B"/>
      </w:pPr>
      <w:r>
        <w:rPr>
          <w:rFonts w:ascii="Courier New" w:hAnsi="Courier New"/>
          <w:color w:val="A5F3FC"/>
          <w:sz w:val="17"/>
        </w:rPr>
        <w:t>python3 train.py --mode fl</w:t>
      </w:r>
    </w:p>
    <w:p>
      <w:r>
        <w:br w:type="page"/>
      </w:r>
    </w:p>
    <w:p>
      <w:pPr>
        <w:pStyle w:val="Heading1"/>
      </w:pPr>
      <w:r>
        <w:rPr>
          <w:color w:val="1E3A5F"/>
        </w:rPr>
        <w:t>14. Known Limitations &amp; Future Work</w:t>
      </w:r>
    </w:p>
    <w:p>
      <w:pPr>
        <w:spacing w:before="80" w:after="80"/>
        <w:pBdr>
          <w:bottom w:val="single" w:sz="6" w:space="1" w:color="3B82F6"/>
        </w:pBdr>
      </w:pPr>
    </w:p>
    <w:p>
      <w:pPr>
        <w:pStyle w:val="Heading2"/>
      </w:pPr>
      <w:r>
        <w:t>14.1  Current Limitations</w:t>
      </w:r>
    </w:p>
    <w:p>
      <w:pPr>
        <w:pStyle w:val="Heading3"/>
      </w:pPr>
      <w:r>
        <w:t>Near-50% probabilities on untrained model</w:t>
      </w:r>
    </w:p>
    <w:p>
      <w:r>
        <w:t>Without a pretrained checkpoint, the DenseNet backbone's global average pooled features feed into randomly-initialised LoRA adapters and classification head. The BCE sigmoid output defaults to ~0.5 for all classes. This resolves after local training or FL rounds with sufficient data.</w:t>
      </w:r>
    </w:p>
    <w:p>
      <w:pPr>
        <w:pStyle w:val="Heading3"/>
      </w:pPr>
      <w:r>
        <w:t>Single-epoch local training</w:t>
      </w:r>
    </w:p>
    <w:p>
      <w:r>
        <w:t>LOCAL_EPOCHS = 1 in client.py is a conservative FL default. For production, multi-epoch local training with learning rate scheduling is recommended.</w:t>
      </w:r>
    </w:p>
    <w:p>
      <w:pPr>
        <w:pStyle w:val="Heading3"/>
      </w:pPr>
      <w:r>
        <w:t>No differential privacy</w:t>
      </w:r>
    </w:p>
    <w:p>
      <w:r>
        <w:t>The current implementation does not apply Gaussian noise or gradient clipping for formal DP guarantees. This would be required for production HIPAA compliance beyond de-identification.</w:t>
      </w:r>
    </w:p>
    <w:p>
      <w:pPr>
        <w:pStyle w:val="Heading3"/>
      </w:pPr>
      <w:r>
        <w:t>Synchronous FL only</w:t>
      </w:r>
    </w:p>
    <w:p>
      <w:r>
        <w:t>All 3 clients must connect simultaneously before any FL round begins. Asynchronous FL (allowing stragglers) would improve robustness in real multi-hospital deployments.</w:t>
      </w:r>
    </w:p>
    <w:p>
      <w:pPr>
        <w:pStyle w:val="Heading3"/>
      </w:pPr>
      <w:r>
        <w:t>gRPC without TLS</w:t>
      </w:r>
    </w:p>
    <w:p>
      <w:r>
        <w:t>The Flower gRPC channel is unencrypted in the prototype. Production deployments must enable TLS certificates on the FL server.</w:t>
      </w:r>
    </w:p>
    <w:p>
      <w:pPr>
        <w:pStyle w:val="Heading2"/>
      </w:pPr>
      <w:r>
        <w:t>14.2  Future Work</w:t>
      </w:r>
    </w:p>
    <w:p>
      <w:pPr>
        <w:pStyle w:val="ListBullet"/>
        <w:ind w:left="576"/>
      </w:pPr>
      <w:r>
        <w:t>Differential Privacy: Integrate Opacus or TensorFlow Privacy for formal (ε, δ)-DP guarantees.</w:t>
      </w:r>
    </w:p>
    <w:p>
      <w:pPr>
        <w:pStyle w:val="ListBullet"/>
        <w:ind w:left="576"/>
      </w:pPr>
      <w:r>
        <w:t>Asynchronous FL: Support FedAsync or SCAFFOLD strategy for straggler-tolerant training.</w:t>
      </w:r>
    </w:p>
    <w:p>
      <w:pPr>
        <w:pStyle w:val="ListBullet"/>
        <w:ind w:left="576"/>
      </w:pPr>
      <w:r>
        <w:t>Secure Aggregation: Implement cryptographic SecAgg protocol to prevent server from seeing individual updates.</w:t>
      </w:r>
    </w:p>
    <w:p>
      <w:pPr>
        <w:pStyle w:val="ListBullet"/>
        <w:ind w:left="576"/>
      </w:pPr>
      <w:r>
        <w:t>Continuous Learning: Allow hospitals to continuously contribute new labelled scans and trigger incremental FL rounds.</w:t>
      </w:r>
    </w:p>
    <w:p>
      <w:pPr>
        <w:pStyle w:val="ListBullet"/>
        <w:ind w:left="576"/>
      </w:pPr>
      <w:r>
        <w:t>Multi-modality: Extend the model to fuse CT volumetric data or laboratory blood values alongside radiograph features.</w:t>
      </w:r>
    </w:p>
    <w:p>
      <w:pPr>
        <w:pStyle w:val="ListBullet"/>
        <w:ind w:left="576"/>
      </w:pPr>
      <w:r>
        <w:t>DICOM SR Output: Generate machine-readable DICOM Structured Reports from the report engine for EHR integration.</w:t>
      </w:r>
    </w:p>
    <w:p>
      <w:pPr>
        <w:pStyle w:val="ListBullet"/>
        <w:ind w:left="576"/>
      </w:pPr>
      <w:r>
        <w:t>Clinical Validation: Conduct prospective clinical trial comparing FedChest AI predictions against board-certified radiologist reads.</w:t>
      </w:r>
    </w:p>
    <w:p>
      <w:r>
        <w:br w:type="page"/>
      </w:r>
    </w:p>
    <w:p>
      <w:pPr>
        <w:pStyle w:val="Heading1"/>
      </w:pPr>
      <w:r>
        <w:rPr>
          <w:color w:val="1E3A5F"/>
        </w:rPr>
        <w:t>References</w:t>
      </w:r>
    </w:p>
    <w:p>
      <w:pPr>
        <w:spacing w:before="80" w:after="80"/>
        <w:pBdr>
          <w:bottom w:val="single" w:sz="6" w:space="1" w:color="3B82F6"/>
        </w:pBdr>
      </w:pPr>
    </w:p>
    <w:p>
      <w:pPr>
        <w:pStyle w:val="ListBullet"/>
        <w:spacing w:after="60"/>
        <w:ind w:left="576"/>
      </w:pPr>
      <w:r>
        <w:t>Wang, X., et al. (2017). ChestX-ray8: Hospital-scale Chest X-ray Database and Benchmarks. CVPR 2017.</w:t>
      </w:r>
    </w:p>
    <w:p>
      <w:pPr>
        <w:pStyle w:val="ListBullet"/>
        <w:spacing w:after="60"/>
        <w:ind w:left="576"/>
      </w:pPr>
      <w:r>
        <w:t>Shih, G., et al. (2019). Augmenting the National Institutes of Health Chest Radiograph Dataset with Expert Annotations of Possible Pneumonia. Radiology: Artificial Intelligence.</w:t>
      </w:r>
    </w:p>
    <w:p>
      <w:pPr>
        <w:pStyle w:val="ListBullet"/>
        <w:spacing w:after="60"/>
        <w:ind w:left="576"/>
      </w:pPr>
      <w:r>
        <w:t>SIIM-ACR Pneumothorax Segmentation Challenge (2019). Kaggle Competition Dataset.</w:t>
      </w:r>
    </w:p>
    <w:p>
      <w:pPr>
        <w:pStyle w:val="ListBullet"/>
        <w:spacing w:after="60"/>
        <w:ind w:left="576"/>
      </w:pPr>
      <w:r>
        <w:t>McMahan, H. B., et al. (2017). Communication-Efficient Learning of Deep Networks from Decentralized Data. AISTATS 2017.</w:t>
      </w:r>
    </w:p>
    <w:p>
      <w:pPr>
        <w:pStyle w:val="ListBullet"/>
        <w:spacing w:after="60"/>
        <w:ind w:left="576"/>
      </w:pPr>
      <w:r>
        <w:t>Hu, E. J., et al. (2022). LoRA: Low-Rank Adaptation of Large Language Models. ICLR 2022.</w:t>
      </w:r>
    </w:p>
    <w:p>
      <w:pPr>
        <w:pStyle w:val="ListBullet"/>
        <w:spacing w:after="60"/>
        <w:ind w:left="576"/>
      </w:pPr>
      <w:r>
        <w:t>Selvaraju, R. R., et al. (2017). Grad-CAM: Visual Explanations from Deep Networks via Gradient-based Localization. ICCV 2017.</w:t>
      </w:r>
    </w:p>
    <w:p>
      <w:pPr>
        <w:pStyle w:val="ListBullet"/>
        <w:spacing w:after="60"/>
        <w:ind w:left="576"/>
      </w:pPr>
      <w:r>
        <w:t>Cohen, J. P., et al. (2022). TorchXRayVision: A library of chest X-ray datasets and models. MIDL 2022.</w:t>
      </w:r>
    </w:p>
    <w:p>
      <w:pPr>
        <w:pStyle w:val="ListBullet"/>
        <w:spacing w:after="60"/>
        <w:ind w:left="576"/>
      </w:pPr>
      <w:r>
        <w:t>Beutel, D. J., et al. (2022). Flower: A Friendly Federated Learning Research Framework. arXiv:2007.14390.</w:t>
      </w:r>
    </w:p>
    <w:p>
      <w:pPr>
        <w:pStyle w:val="ListBullet"/>
        <w:spacing w:after="60"/>
        <w:ind w:left="576"/>
      </w:pPr>
      <w:r>
        <w:t>Li, T., et al. (2020). Federated Learning: Challenges, Methods, and Future Directions. IEEE Signal Processing Magazine.</w:t>
      </w:r>
    </w:p>
    <w:p/>
    <w:p>
      <w:pPr>
        <w:jc w:val="center"/>
      </w:pPr>
      <w:r>
        <w:rPr>
          <w:i/>
          <w:color w:val="9CA3AF"/>
          <w:sz w:val="16"/>
        </w:rPr>
        <w:t>FedChest AI — Technical Document  |  For Research &amp; Internal Use Only  |  Not intended for clinical deployment without regulatory approval</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