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D79E8" w14:textId="7B59F18F" w:rsidR="00E33F46" w:rsidRPr="00DA7066" w:rsidRDefault="002A4805" w:rsidP="002A4805">
      <w:pPr>
        <w:pStyle w:val="Heading3"/>
        <w:spacing w:before="0" w:after="0" w:line="240" w:lineRule="auto"/>
        <w:rPr>
          <w:rFonts w:ascii="Proxima Nova Alt Cn Rg" w:hAnsi="Proxima Nova Alt Cn Rg"/>
        </w:rPr>
      </w:pPr>
      <w:r w:rsidRPr="00DA7066">
        <w:rPr>
          <w:rFonts w:ascii="Proxima Nova Alt Cn Rg" w:hAnsi="Proxima Nova Alt Cn Rg"/>
        </w:rPr>
        <w:t xml:space="preserve">Module </w:t>
      </w:r>
      <w:r w:rsidR="00C80C89">
        <w:rPr>
          <w:rFonts w:ascii="Proxima Nova Alt Cn Rg" w:hAnsi="Proxima Nova Alt Cn Rg"/>
        </w:rPr>
        <w:t>10</w:t>
      </w:r>
      <w:r w:rsidR="000D0B25" w:rsidRPr="00DA7066">
        <w:rPr>
          <w:rFonts w:ascii="Proxima Nova Alt Cn Rg" w:hAnsi="Proxima Nova Alt Cn Rg"/>
        </w:rPr>
        <w:t>.1 Milestone #</w:t>
      </w:r>
      <w:r w:rsidR="008E108F">
        <w:rPr>
          <w:rFonts w:ascii="Proxima Nova Alt Cn Rg" w:hAnsi="Proxima Nova Alt Cn Rg"/>
        </w:rPr>
        <w:t>3</w:t>
      </w:r>
      <w:r w:rsidR="000D0B25" w:rsidRPr="00DA7066">
        <w:rPr>
          <w:rFonts w:ascii="Proxima Nova Alt Cn Rg" w:hAnsi="Proxima Nova Alt Cn Rg"/>
        </w:rPr>
        <w:t xml:space="preserve"> – Willson Financial Case Study</w:t>
      </w:r>
    </w:p>
    <w:p w14:paraId="4F325ABF" w14:textId="68E187C3" w:rsidR="00816543" w:rsidRPr="00DA7066" w:rsidRDefault="002A4805" w:rsidP="002A4805">
      <w:pPr>
        <w:rPr>
          <w:rFonts w:ascii="Proxima Nova Alt Cn Rg" w:hAnsi="Proxima Nova Alt Cn Rg"/>
          <w:smallCaps/>
          <w:color w:val="5A5A5A" w:themeColor="text1" w:themeTint="A5"/>
        </w:rPr>
      </w:pPr>
      <w:r w:rsidRPr="00DA7066">
        <w:rPr>
          <w:rStyle w:val="SubtleReference"/>
          <w:rFonts w:ascii="Proxima Nova Alt Cn Rg" w:hAnsi="Proxima Nova Alt Cn Rg"/>
        </w:rPr>
        <w:t>Spring 2025 CSD</w:t>
      </w:r>
      <w:r w:rsidR="007D44E7" w:rsidRPr="00DA7066">
        <w:rPr>
          <w:rStyle w:val="SubtleReference"/>
          <w:rFonts w:ascii="Proxima Nova Alt Cn Rg" w:hAnsi="Proxima Nova Alt Cn Rg"/>
        </w:rPr>
        <w:t>3</w:t>
      </w:r>
      <w:r w:rsidR="008343C4" w:rsidRPr="00DA7066">
        <w:rPr>
          <w:rStyle w:val="SubtleReference"/>
          <w:rFonts w:ascii="Proxima Nova Alt Cn Rg" w:hAnsi="Proxima Nova Alt Cn Rg"/>
        </w:rPr>
        <w:t>10 Database Development and Use</w:t>
      </w:r>
    </w:p>
    <w:p w14:paraId="5A62F39F" w14:textId="14D875F8" w:rsidR="002A4805" w:rsidRPr="00DA7066" w:rsidRDefault="002A4805" w:rsidP="002A4805">
      <w:pPr>
        <w:rPr>
          <w:rFonts w:ascii="Proxima Nova Alt Cn Rg" w:hAnsi="Proxima Nova Alt Cn Rg"/>
          <w:sz w:val="20"/>
          <w:szCs w:val="20"/>
        </w:rPr>
      </w:pPr>
      <w:r w:rsidRPr="00DA7066">
        <w:rPr>
          <w:rFonts w:ascii="Proxima Nova Alt Cn Rg" w:hAnsi="Proxima Nova Alt Cn Rg"/>
          <w:b/>
          <w:bCs/>
          <w:sz w:val="20"/>
          <w:szCs w:val="20"/>
        </w:rPr>
        <w:t>Author</w:t>
      </w:r>
      <w:r w:rsidRPr="00DA7066">
        <w:rPr>
          <w:rFonts w:ascii="Proxima Nova Alt Cn Rg" w:hAnsi="Proxima Nova Alt Cn Rg"/>
          <w:sz w:val="20"/>
          <w:szCs w:val="20"/>
        </w:rPr>
        <w:t>: Brittaney Perry-Morgan</w:t>
      </w:r>
    </w:p>
    <w:p w14:paraId="77645571" w14:textId="29AFACC3" w:rsidR="007101E2" w:rsidRPr="00DA7066" w:rsidRDefault="002A4805" w:rsidP="00F17858">
      <w:pPr>
        <w:rPr>
          <w:rFonts w:ascii="Proxima Nova Alt Cn Rg" w:hAnsi="Proxima Nova Alt Cn Rg"/>
          <w:sz w:val="20"/>
          <w:szCs w:val="20"/>
        </w:rPr>
      </w:pPr>
      <w:r w:rsidRPr="00DA7066">
        <w:rPr>
          <w:rFonts w:ascii="Proxima Nova Alt Cn Rg" w:hAnsi="Proxima Nova Alt Cn Rg"/>
          <w:b/>
          <w:bCs/>
          <w:sz w:val="20"/>
          <w:szCs w:val="20"/>
        </w:rPr>
        <w:t>Date</w:t>
      </w:r>
      <w:r w:rsidRPr="00DA7066">
        <w:rPr>
          <w:rFonts w:ascii="Proxima Nova Alt Cn Rg" w:hAnsi="Proxima Nova Alt Cn Rg"/>
          <w:sz w:val="20"/>
          <w:szCs w:val="20"/>
        </w:rPr>
        <w:t xml:space="preserve">: </w:t>
      </w:r>
      <w:r w:rsidR="00CE73B9" w:rsidRPr="00DA7066">
        <w:rPr>
          <w:rFonts w:ascii="Proxima Nova Alt Cn Rg" w:hAnsi="Proxima Nova Alt Cn Rg"/>
          <w:sz w:val="20"/>
          <w:szCs w:val="20"/>
        </w:rPr>
        <w:t xml:space="preserve">Sunday, July </w:t>
      </w:r>
      <w:r w:rsidR="008E108F">
        <w:rPr>
          <w:rFonts w:ascii="Proxima Nova Alt Cn Rg" w:hAnsi="Proxima Nova Alt Cn Rg"/>
          <w:sz w:val="20"/>
          <w:szCs w:val="20"/>
        </w:rPr>
        <w:t>20</w:t>
      </w:r>
      <w:r w:rsidR="008E108F" w:rsidRPr="008E108F">
        <w:rPr>
          <w:rFonts w:ascii="Proxima Nova Alt Cn Rg" w:hAnsi="Proxima Nova Alt Cn Rg"/>
          <w:sz w:val="20"/>
          <w:szCs w:val="20"/>
          <w:vertAlign w:val="superscript"/>
        </w:rPr>
        <w:t>th</w:t>
      </w:r>
      <w:r w:rsidR="00CE73B9" w:rsidRPr="00DA7066">
        <w:rPr>
          <w:rFonts w:ascii="Proxima Nova Alt Cn Rg" w:hAnsi="Proxima Nova Alt Cn Rg"/>
          <w:sz w:val="20"/>
          <w:szCs w:val="20"/>
        </w:rPr>
        <w:t>, 2025</w:t>
      </w:r>
    </w:p>
    <w:p w14:paraId="1F65DCE7" w14:textId="41FEA4BE" w:rsidR="007101E2" w:rsidRDefault="00CE73B9" w:rsidP="007D44E7">
      <w:pPr>
        <w:pStyle w:val="Heading3"/>
        <w:spacing w:before="0" w:after="0" w:line="240" w:lineRule="auto"/>
        <w:ind w:firstLine="720"/>
        <w:jc w:val="center"/>
        <w:rPr>
          <w:rFonts w:ascii="Proxima Nova Alt Cn Rg" w:hAnsi="Proxima Nova Alt Cn Rg"/>
        </w:rPr>
      </w:pPr>
      <w:r w:rsidRPr="00DA7066">
        <w:rPr>
          <w:rFonts w:ascii="Proxima Nova Alt Cn Rg" w:hAnsi="Proxima Nova Alt Cn Rg"/>
        </w:rPr>
        <w:t>Willson Financial Case Study</w:t>
      </w:r>
    </w:p>
    <w:p w14:paraId="76C7FD96" w14:textId="77777777" w:rsidR="00F17858" w:rsidRPr="00F17858" w:rsidRDefault="00F17858" w:rsidP="00F17858"/>
    <w:p w14:paraId="640FD6C6" w14:textId="77777777" w:rsidR="00F17858" w:rsidRDefault="00F17858" w:rsidP="006E6460">
      <w:pPr>
        <w:jc w:val="both"/>
        <w:rPr>
          <w:rFonts w:ascii="Proxima Nova Alt Cn Rg" w:hAnsi="Proxima Nova Alt Cn Rg"/>
          <w:noProof/>
          <w:sz w:val="20"/>
          <w:szCs w:val="20"/>
          <w14:ligatures w14:val="standardContextual"/>
        </w:rPr>
      </w:pPr>
      <w:r>
        <w:rPr>
          <w:rFonts w:ascii="Proxima Nova Alt Cn Rg" w:hAnsi="Proxima Nova Alt Cn Rg"/>
          <w:noProof/>
        </w:rPr>
        <w:drawing>
          <wp:inline distT="0" distB="0" distL="0" distR="0" wp14:anchorId="45C75052" wp14:editId="760CD70D">
            <wp:extent cx="5943600" cy="4535170"/>
            <wp:effectExtent l="0" t="0" r="0" b="0"/>
            <wp:docPr id="1280150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50458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858">
        <w:rPr>
          <w:rFonts w:ascii="Proxima Nova Alt Cn Rg" w:hAnsi="Proxima Nova Alt Cn Rg"/>
          <w:noProof/>
          <w:sz w:val="20"/>
          <w:szCs w:val="20"/>
          <w14:ligatures w14:val="standardContextual"/>
        </w:rPr>
        <w:t xml:space="preserve"> </w:t>
      </w:r>
    </w:p>
    <w:p w14:paraId="35A566B2" w14:textId="7158505C" w:rsidR="006E6460" w:rsidRPr="00DA7066" w:rsidRDefault="00F17858" w:rsidP="006E6460">
      <w:pPr>
        <w:jc w:val="both"/>
        <w:rPr>
          <w:rFonts w:ascii="Proxima Nova Alt Cn Rg" w:eastAsiaTheme="majorEastAsia" w:hAnsi="Proxima Nova Alt Cn Rg" w:cstheme="majorBidi"/>
          <w:color w:val="0F4761" w:themeColor="accent1" w:themeShade="BF"/>
          <w:kern w:val="2"/>
          <w14:ligatures w14:val="standardContextual"/>
        </w:rPr>
      </w:pPr>
      <w:r>
        <w:rPr>
          <w:rFonts w:ascii="Proxima Nova Alt Cn Rg" w:hAnsi="Proxima Nova Alt Cn Rg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23DCAFF" wp14:editId="3D40B281">
            <wp:extent cx="5943600" cy="4535170"/>
            <wp:effectExtent l="0" t="0" r="0" b="0"/>
            <wp:docPr id="162761751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17514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8E0B" w14:textId="7DBA6D5B" w:rsidR="00CF3D46" w:rsidRPr="00DA7066" w:rsidRDefault="00CF3D46" w:rsidP="00CF3D46">
      <w:pPr>
        <w:jc w:val="both"/>
        <w:rPr>
          <w:rFonts w:ascii="Proxima Nova Alt Cn Rg" w:eastAsiaTheme="majorEastAsia" w:hAnsi="Proxima Nova Alt Cn Rg" w:cstheme="majorBidi"/>
          <w:color w:val="0F4761" w:themeColor="accent1" w:themeShade="BF"/>
          <w:kern w:val="2"/>
          <w14:ligatures w14:val="standardContextual"/>
        </w:rPr>
      </w:pPr>
      <w:r>
        <w:rPr>
          <w:rFonts w:ascii="Proxima Nova Alt Cn Rg" w:eastAsiaTheme="majorEastAsia" w:hAnsi="Proxima Nova Alt Cn Rg" w:cstheme="majorBidi"/>
          <w:color w:val="0F4761" w:themeColor="accent1" w:themeShade="BF"/>
          <w:kern w:val="2"/>
          <w14:ligatures w14:val="standardContextual"/>
        </w:rPr>
        <w:t>Report 1: New Client Growth</w:t>
      </w:r>
    </w:p>
    <w:p w14:paraId="3B9C1CF4" w14:textId="54BF2028" w:rsidR="00CF3D46" w:rsidRDefault="00CF3D46" w:rsidP="00CF3D46">
      <w:pPr>
        <w:rPr>
          <w:rFonts w:ascii="Proxima Nova Alt Cn Rg" w:hAnsi="Proxima Nova Alt Cn Rg"/>
          <w:sz w:val="20"/>
          <w:szCs w:val="20"/>
        </w:rPr>
      </w:pPr>
      <w:r>
        <w:rPr>
          <w:rFonts w:ascii="Proxima Nova Alt Cn Rg" w:hAnsi="Proxima Nova Alt Cn Rg"/>
          <w:sz w:val="20"/>
          <w:szCs w:val="20"/>
        </w:rPr>
        <w:t>This report addresses the business need to track the number of new clients added per month over the last six months, which is essential for measuring growth.</w:t>
      </w:r>
    </w:p>
    <w:p w14:paraId="43DB8D5A" w14:textId="77777777" w:rsidR="00CF3D46" w:rsidRDefault="00CF3D46" w:rsidP="00CF3D46">
      <w:pPr>
        <w:rPr>
          <w:rFonts w:ascii="Proxima Nova Alt Cn Rg" w:hAnsi="Proxima Nova Alt Cn Rg"/>
          <w:sz w:val="20"/>
          <w:szCs w:val="20"/>
        </w:rPr>
      </w:pPr>
    </w:p>
    <w:p w14:paraId="31FC9C0B" w14:textId="7B5CE972" w:rsidR="00CF3D46" w:rsidRDefault="00F17858" w:rsidP="00CF3D46">
      <w:pPr>
        <w:rPr>
          <w:rFonts w:ascii="Proxima Nova Alt Cn Rg" w:hAnsi="Proxima Nova Alt Cn Rg"/>
          <w:sz w:val="20"/>
          <w:szCs w:val="20"/>
        </w:rPr>
      </w:pPr>
      <w:r>
        <w:rPr>
          <w:rFonts w:ascii="Proxima Nova Alt Cn Rg" w:hAnsi="Proxima Nova Alt Cn Rg"/>
          <w:noProof/>
          <w:sz w:val="20"/>
          <w:szCs w:val="20"/>
          <w14:ligatures w14:val="standardContextual"/>
        </w:rPr>
        <w:drawing>
          <wp:inline distT="0" distB="0" distL="0" distR="0" wp14:anchorId="1DF2AC00" wp14:editId="7C53FDE8">
            <wp:extent cx="5943600" cy="2961005"/>
            <wp:effectExtent l="0" t="0" r="0" b="0"/>
            <wp:docPr id="166085646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56469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FC53" w14:textId="77777777" w:rsidR="00F17858" w:rsidRDefault="00F17858" w:rsidP="00CF3D46">
      <w:pPr>
        <w:rPr>
          <w:rFonts w:ascii="Proxima Nova Alt Cn Rg" w:hAnsi="Proxima Nova Alt Cn Rg"/>
          <w:sz w:val="20"/>
          <w:szCs w:val="20"/>
        </w:rPr>
      </w:pPr>
    </w:p>
    <w:p w14:paraId="42FB2877" w14:textId="14724FC0" w:rsidR="00CF3D46" w:rsidRPr="00DA7066" w:rsidRDefault="00CF3D46" w:rsidP="00CF3D46">
      <w:pPr>
        <w:jc w:val="both"/>
        <w:rPr>
          <w:rFonts w:ascii="Proxima Nova Alt Cn Rg" w:eastAsiaTheme="majorEastAsia" w:hAnsi="Proxima Nova Alt Cn Rg" w:cstheme="majorBidi"/>
          <w:color w:val="0F4761" w:themeColor="accent1" w:themeShade="BF"/>
          <w:kern w:val="2"/>
          <w14:ligatures w14:val="standardContextual"/>
        </w:rPr>
      </w:pPr>
      <w:r>
        <w:rPr>
          <w:rFonts w:ascii="Proxima Nova Alt Cn Rg" w:eastAsiaTheme="majorEastAsia" w:hAnsi="Proxima Nova Alt Cn Rg" w:cstheme="majorBidi"/>
          <w:color w:val="0F4761" w:themeColor="accent1" w:themeShade="BF"/>
          <w:kern w:val="2"/>
          <w14:ligatures w14:val="standardContextual"/>
        </w:rPr>
        <w:lastRenderedPageBreak/>
        <w:t>Report 2: Average Assets Per Client</w:t>
      </w:r>
    </w:p>
    <w:p w14:paraId="384C283C" w14:textId="0F0C0FE6" w:rsidR="00CF3D46" w:rsidRDefault="00CF3D46" w:rsidP="00CF3D46">
      <w:pPr>
        <w:rPr>
          <w:rFonts w:ascii="Proxima Nova Alt Cn Rg" w:hAnsi="Proxima Nova Alt Cn Rg"/>
          <w:sz w:val="20"/>
          <w:szCs w:val="20"/>
        </w:rPr>
      </w:pPr>
      <w:r>
        <w:rPr>
          <w:rFonts w:ascii="Proxima Nova Alt Cn Rg" w:hAnsi="Proxima Nova Alt Cn Rg"/>
          <w:sz w:val="20"/>
          <w:szCs w:val="20"/>
        </w:rPr>
        <w:t xml:space="preserve">This report calculates </w:t>
      </w:r>
      <w:r w:rsidR="00F17858">
        <w:rPr>
          <w:rFonts w:ascii="Proxima Nova Alt Cn Rg" w:hAnsi="Proxima Nova Alt Cn Rg"/>
          <w:sz w:val="20"/>
          <w:szCs w:val="20"/>
        </w:rPr>
        <w:t>each client's</w:t>
      </w:r>
      <w:r>
        <w:rPr>
          <w:rFonts w:ascii="Proxima Nova Alt Cn Rg" w:hAnsi="Proxima Nova Alt Cn Rg"/>
          <w:sz w:val="20"/>
          <w:szCs w:val="20"/>
        </w:rPr>
        <w:t xml:space="preserve"> average total asset value, providing a key performance indicator for the firm’s management portfolio.</w:t>
      </w:r>
    </w:p>
    <w:p w14:paraId="0B56238E" w14:textId="77777777" w:rsidR="00CF3D46" w:rsidRDefault="00CF3D46" w:rsidP="00CF3D46">
      <w:pPr>
        <w:rPr>
          <w:rFonts w:ascii="Proxima Nova Alt Cn Rg" w:hAnsi="Proxima Nova Alt Cn Rg"/>
          <w:sz w:val="20"/>
          <w:szCs w:val="20"/>
        </w:rPr>
      </w:pPr>
    </w:p>
    <w:p w14:paraId="744C2DA7" w14:textId="254109BF" w:rsidR="00CF3D46" w:rsidRDefault="00F17858" w:rsidP="00CF3D46">
      <w:pPr>
        <w:rPr>
          <w:rFonts w:ascii="Proxima Nova Alt Cn Rg" w:hAnsi="Proxima Nova Alt Cn Rg"/>
          <w:sz w:val="20"/>
          <w:szCs w:val="20"/>
        </w:rPr>
      </w:pPr>
      <w:r>
        <w:rPr>
          <w:rFonts w:ascii="Proxima Nova Alt Cn Rg" w:hAnsi="Proxima Nova Alt Cn Rg"/>
          <w:noProof/>
          <w:sz w:val="20"/>
          <w:szCs w:val="20"/>
          <w14:ligatures w14:val="standardContextual"/>
        </w:rPr>
        <w:drawing>
          <wp:inline distT="0" distB="0" distL="0" distR="0" wp14:anchorId="66455961" wp14:editId="39E0B386">
            <wp:extent cx="5943600" cy="1589405"/>
            <wp:effectExtent l="0" t="0" r="0" b="0"/>
            <wp:docPr id="519580955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80955" name="Picture 6" descr="A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56CE" w14:textId="77777777" w:rsidR="00CF3D46" w:rsidRDefault="00CF3D46" w:rsidP="00CF3D46">
      <w:pPr>
        <w:rPr>
          <w:rFonts w:ascii="Proxima Nova Alt Cn Rg" w:hAnsi="Proxima Nova Alt Cn Rg"/>
          <w:sz w:val="20"/>
          <w:szCs w:val="20"/>
        </w:rPr>
      </w:pPr>
    </w:p>
    <w:p w14:paraId="3B8EEF55" w14:textId="6B09CEC6" w:rsidR="00CF3D46" w:rsidRPr="00DA7066" w:rsidRDefault="00CF3D46" w:rsidP="00CF3D46">
      <w:pPr>
        <w:jc w:val="both"/>
        <w:rPr>
          <w:rFonts w:ascii="Proxima Nova Alt Cn Rg" w:eastAsiaTheme="majorEastAsia" w:hAnsi="Proxima Nova Alt Cn Rg" w:cstheme="majorBidi"/>
          <w:color w:val="0F4761" w:themeColor="accent1" w:themeShade="BF"/>
          <w:kern w:val="2"/>
          <w14:ligatures w14:val="standardContextual"/>
        </w:rPr>
      </w:pPr>
      <w:r>
        <w:rPr>
          <w:rFonts w:ascii="Proxima Nova Alt Cn Rg" w:eastAsiaTheme="majorEastAsia" w:hAnsi="Proxima Nova Alt Cn Rg" w:cstheme="majorBidi"/>
          <w:color w:val="0F4761" w:themeColor="accent1" w:themeShade="BF"/>
          <w:kern w:val="2"/>
          <w14:ligatures w14:val="standardContextual"/>
        </w:rPr>
        <w:t>Report 3: High-Transaction Clients</w:t>
      </w:r>
    </w:p>
    <w:p w14:paraId="75806931" w14:textId="64AA443D" w:rsidR="00CF3D46" w:rsidRDefault="00CF3D46" w:rsidP="00CF3D46">
      <w:pPr>
        <w:rPr>
          <w:rFonts w:ascii="Proxima Nova Alt Cn Rg" w:hAnsi="Proxima Nova Alt Cn Rg"/>
          <w:sz w:val="20"/>
          <w:szCs w:val="20"/>
        </w:rPr>
      </w:pPr>
      <w:r>
        <w:rPr>
          <w:rFonts w:ascii="Proxima Nova Alt Cn Rg" w:hAnsi="Proxima Nova Alt Cn Rg"/>
          <w:sz w:val="20"/>
          <w:szCs w:val="20"/>
        </w:rPr>
        <w:t>This report identifies highly active clients w</w:t>
      </w:r>
      <w:r w:rsidR="00F17858">
        <w:rPr>
          <w:rFonts w:ascii="Proxima Nova Alt Cn Rg" w:hAnsi="Proxima Nova Alt Cn Rg"/>
          <w:sz w:val="20"/>
          <w:szCs w:val="20"/>
        </w:rPr>
        <w:t>ith</w:t>
      </w:r>
      <w:r>
        <w:rPr>
          <w:rFonts w:ascii="Proxima Nova Alt Cn Rg" w:hAnsi="Proxima Nova Alt Cn Rg"/>
          <w:sz w:val="20"/>
          <w:szCs w:val="20"/>
        </w:rPr>
        <w:t xml:space="preserve"> </w:t>
      </w:r>
      <w:r w:rsidR="00F17858">
        <w:rPr>
          <w:rFonts w:ascii="Proxima Nova Alt Cn Rg" w:hAnsi="Proxima Nova Alt Cn Rg"/>
          <w:sz w:val="20"/>
          <w:szCs w:val="20"/>
        </w:rPr>
        <w:t>over</w:t>
      </w:r>
      <w:r>
        <w:rPr>
          <w:rFonts w:ascii="Proxima Nova Alt Cn Rg" w:hAnsi="Proxima Nova Alt Cn Rg"/>
          <w:sz w:val="20"/>
          <w:szCs w:val="20"/>
        </w:rPr>
        <w:t xml:space="preserve"> 10 transactions in the current month. This is vital for analyzing whether the current billing structure suits these “power users.”</w:t>
      </w:r>
    </w:p>
    <w:p w14:paraId="5A0F812E" w14:textId="77777777" w:rsidR="00CF3D46" w:rsidRDefault="00CF3D46" w:rsidP="00CF3D46">
      <w:pPr>
        <w:rPr>
          <w:rFonts w:ascii="Proxima Nova Alt Cn Rg" w:hAnsi="Proxima Nova Alt Cn Rg"/>
          <w:b/>
          <w:bCs/>
          <w:sz w:val="20"/>
          <w:szCs w:val="20"/>
        </w:rPr>
      </w:pPr>
    </w:p>
    <w:p w14:paraId="2C69B3FE" w14:textId="456E3524" w:rsidR="00961345" w:rsidRDefault="00F17858" w:rsidP="00CF3D46">
      <w:pPr>
        <w:rPr>
          <w:rFonts w:ascii="Proxima Nova Alt Cn Rg" w:hAnsi="Proxima Nova Alt Cn Rg"/>
          <w:sz w:val="20"/>
          <w:szCs w:val="20"/>
        </w:rPr>
      </w:pPr>
      <w:r>
        <w:rPr>
          <w:rFonts w:ascii="Proxima Nova Alt Cn Rg" w:hAnsi="Proxima Nova Alt Cn Rg"/>
          <w:noProof/>
          <w:sz w:val="20"/>
          <w:szCs w:val="20"/>
          <w14:ligatures w14:val="standardContextual"/>
        </w:rPr>
        <w:drawing>
          <wp:inline distT="0" distB="0" distL="0" distR="0" wp14:anchorId="2FF98CF5" wp14:editId="4EAF65C9">
            <wp:extent cx="5943600" cy="612140"/>
            <wp:effectExtent l="0" t="0" r="0" b="0"/>
            <wp:docPr id="2024041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41979" name="Picture 20240419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BAA6" w14:textId="77777777" w:rsidR="00CF3D46" w:rsidRDefault="00CF3D46" w:rsidP="00CF3D46">
      <w:pPr>
        <w:rPr>
          <w:rFonts w:ascii="Proxima Nova Alt Cn Rg" w:hAnsi="Proxima Nova Alt Cn Rg"/>
          <w:sz w:val="20"/>
          <w:szCs w:val="20"/>
        </w:rPr>
      </w:pPr>
    </w:p>
    <w:p w14:paraId="4145C8E5" w14:textId="78F9B5FC" w:rsidR="00CF3D46" w:rsidRPr="004E5DDA" w:rsidRDefault="00CF3D46" w:rsidP="008E108F">
      <w:pPr>
        <w:rPr>
          <w:rFonts w:ascii="Proxima Nova Alt Cn Rg" w:hAnsi="Proxima Nova Alt Cn Rg"/>
          <w:sz w:val="20"/>
          <w:szCs w:val="20"/>
        </w:rPr>
      </w:pPr>
    </w:p>
    <w:sectPr w:rsidR="00CF3D46" w:rsidRPr="004E5DDA" w:rsidSect="00C75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8EEC6" w14:textId="77777777" w:rsidR="006D0C3D" w:rsidRDefault="006D0C3D" w:rsidP="000D0B25">
      <w:r>
        <w:separator/>
      </w:r>
    </w:p>
  </w:endnote>
  <w:endnote w:type="continuationSeparator" w:id="0">
    <w:p w14:paraId="05C1E77F" w14:textId="77777777" w:rsidR="006D0C3D" w:rsidRDefault="006D0C3D" w:rsidP="000D0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Light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roxima Nova Alt Cn Rg">
    <w:panose1 w:val="02000506030000020004"/>
    <w:charset w:val="4D"/>
    <w:family w:val="auto"/>
    <w:notTrueType/>
    <w:pitch w:val="variable"/>
    <w:sig w:usb0="800000AF" w:usb1="5000E0FB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8EECC3" w14:textId="77777777" w:rsidR="006D0C3D" w:rsidRDefault="006D0C3D" w:rsidP="000D0B25">
      <w:r>
        <w:separator/>
      </w:r>
    </w:p>
  </w:footnote>
  <w:footnote w:type="continuationSeparator" w:id="0">
    <w:p w14:paraId="125568FB" w14:textId="77777777" w:rsidR="006D0C3D" w:rsidRDefault="006D0C3D" w:rsidP="000D0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C76E6C"/>
    <w:multiLevelType w:val="hybridMultilevel"/>
    <w:tmpl w:val="10E81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A69A8"/>
    <w:multiLevelType w:val="hybridMultilevel"/>
    <w:tmpl w:val="22CA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F40D2"/>
    <w:multiLevelType w:val="hybridMultilevel"/>
    <w:tmpl w:val="1130A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8213B4"/>
    <w:multiLevelType w:val="hybridMultilevel"/>
    <w:tmpl w:val="D5687AC4"/>
    <w:lvl w:ilvl="0" w:tplc="0004185C">
      <w:start w:val="1"/>
      <w:numFmt w:val="bullet"/>
      <w:lvlText w:val="-"/>
      <w:lvlJc w:val="left"/>
      <w:pPr>
        <w:ind w:left="720" w:hanging="360"/>
      </w:pPr>
      <w:rPr>
        <w:rFonts w:ascii="Aptos Light" w:eastAsiaTheme="minorHAnsi" w:hAnsi="Aptos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0D3DBC"/>
    <w:multiLevelType w:val="hybridMultilevel"/>
    <w:tmpl w:val="57941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B32715"/>
    <w:multiLevelType w:val="hybridMultilevel"/>
    <w:tmpl w:val="A888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222372">
    <w:abstractNumId w:val="5"/>
  </w:num>
  <w:num w:numId="2" w16cid:durableId="949236228">
    <w:abstractNumId w:val="0"/>
  </w:num>
  <w:num w:numId="3" w16cid:durableId="951397769">
    <w:abstractNumId w:val="1"/>
  </w:num>
  <w:num w:numId="4" w16cid:durableId="961228839">
    <w:abstractNumId w:val="3"/>
  </w:num>
  <w:num w:numId="5" w16cid:durableId="740373871">
    <w:abstractNumId w:val="4"/>
  </w:num>
  <w:num w:numId="6" w16cid:durableId="111287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A7"/>
    <w:rsid w:val="000031EE"/>
    <w:rsid w:val="0005284C"/>
    <w:rsid w:val="00072DAB"/>
    <w:rsid w:val="00073B2D"/>
    <w:rsid w:val="000D0B25"/>
    <w:rsid w:val="001151DE"/>
    <w:rsid w:val="00130663"/>
    <w:rsid w:val="00152109"/>
    <w:rsid w:val="0015317E"/>
    <w:rsid w:val="00157B75"/>
    <w:rsid w:val="001843A2"/>
    <w:rsid w:val="0018469A"/>
    <w:rsid w:val="002013BE"/>
    <w:rsid w:val="002A4805"/>
    <w:rsid w:val="00317989"/>
    <w:rsid w:val="003278B4"/>
    <w:rsid w:val="00342660"/>
    <w:rsid w:val="004038A7"/>
    <w:rsid w:val="004405C0"/>
    <w:rsid w:val="004855E0"/>
    <w:rsid w:val="004B175A"/>
    <w:rsid w:val="004E5DDA"/>
    <w:rsid w:val="00516343"/>
    <w:rsid w:val="00520B47"/>
    <w:rsid w:val="006C3CFC"/>
    <w:rsid w:val="006D0C3D"/>
    <w:rsid w:val="006E6460"/>
    <w:rsid w:val="007101E2"/>
    <w:rsid w:val="007772DC"/>
    <w:rsid w:val="00792AD3"/>
    <w:rsid w:val="007A27FC"/>
    <w:rsid w:val="007D44E7"/>
    <w:rsid w:val="007E5A32"/>
    <w:rsid w:val="00816543"/>
    <w:rsid w:val="008343C4"/>
    <w:rsid w:val="0087756F"/>
    <w:rsid w:val="008E108F"/>
    <w:rsid w:val="00961345"/>
    <w:rsid w:val="00A52979"/>
    <w:rsid w:val="00A82FB0"/>
    <w:rsid w:val="00C22399"/>
    <w:rsid w:val="00C34C52"/>
    <w:rsid w:val="00C755FE"/>
    <w:rsid w:val="00C80C89"/>
    <w:rsid w:val="00C87735"/>
    <w:rsid w:val="00CB290C"/>
    <w:rsid w:val="00CC074C"/>
    <w:rsid w:val="00CC598E"/>
    <w:rsid w:val="00CE73B9"/>
    <w:rsid w:val="00CF3D46"/>
    <w:rsid w:val="00D03DE0"/>
    <w:rsid w:val="00D23BCA"/>
    <w:rsid w:val="00D347B2"/>
    <w:rsid w:val="00DA7066"/>
    <w:rsid w:val="00DC0DD8"/>
    <w:rsid w:val="00E33F46"/>
    <w:rsid w:val="00EA28CB"/>
    <w:rsid w:val="00EF66AD"/>
    <w:rsid w:val="00F17858"/>
    <w:rsid w:val="00F22908"/>
    <w:rsid w:val="00F406EC"/>
    <w:rsid w:val="00F465CE"/>
    <w:rsid w:val="00F82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1A306"/>
  <w15:chartTrackingRefBased/>
  <w15:docId w15:val="{7475AC30-95B0-9140-A3E6-D6A74ACFB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A3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38A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8A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8A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8A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8A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8A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8A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3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8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03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8A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03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8A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038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8A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03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8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8A7"/>
    <w:rPr>
      <w:b/>
      <w:bCs/>
      <w:smallCaps/>
      <w:color w:val="0F4761" w:themeColor="accent1" w:themeShade="BF"/>
      <w:spacing w:val="5"/>
    </w:rPr>
  </w:style>
  <w:style w:type="character" w:styleId="SubtleReference">
    <w:name w:val="Subtle Reference"/>
    <w:basedOn w:val="DefaultParagraphFont"/>
    <w:uiPriority w:val="31"/>
    <w:qFormat/>
    <w:rsid w:val="002A4805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0D0B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0B25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D0B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B25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Perry-Morgan, Brittaney</dc:creator>
  <cp:keywords/>
  <dc:description/>
  <cp:lastModifiedBy>Perry-Morgan, Brittaney</cp:lastModifiedBy>
  <cp:revision>7</cp:revision>
  <dcterms:created xsi:type="dcterms:W3CDTF">2025-07-28T05:18:00Z</dcterms:created>
  <dcterms:modified xsi:type="dcterms:W3CDTF">2025-07-29T23:03:00Z</dcterms:modified>
</cp:coreProperties>
</file>