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0" w:line="20" w:lineRule="exact"/>
      </w:pPr>
    </w:p>
    <w:p>
      <w:pPr>
        <w:spacing w:before="0" w:after="80"/>
        <w:jc w:val="left"/>
        <w:pBdr>
          <w:bottom w:val="single" w:sz="18" w:space="6" w:color="2E75B6"/>
        </w:pBdr>
      </w:pPr>
      <w:r>
        <w:rPr>
          <w:rFonts w:ascii="Calibri" w:hAnsi="Calibri"/>
          <w:b/>
          <w:color w:val="1B365D"/>
          <w:sz w:val="56"/>
        </w:rPr>
        <w:t>SolEstate: India Real Estate Tokenization</w:t>
      </w:r>
    </w:p>
    <w:p>
      <w:pPr>
        <w:spacing w:before="160" w:after="40"/>
        <w:jc w:val="left"/>
      </w:pPr>
      <w:r>
        <w:rPr>
          <w:rFonts w:ascii="Calibri" w:hAnsi="Calibri"/>
          <w:color w:val="5A5A5A"/>
          <w:sz w:val="26"/>
        </w:rPr>
        <w:t>Market Validation &amp; Investor Readiness Report — Solana-Based Fractional CRE Platform</w:t>
      </w:r>
    </w:p>
    <w:p>
      <w:pPr>
        <w:spacing w:before="40" w:after="400"/>
        <w:jc w:val="left"/>
      </w:pPr>
      <w:r>
        <w:rPr>
          <w:rFonts w:ascii="Calibri" w:hAnsi="Calibri"/>
          <w:color w:val="8B8B8B"/>
          <w:sz w:val="20"/>
        </w:rPr>
        <w:t>2026</w:t>
      </w:r>
    </w:p>
    <w:p>
      <w:pPr>
        <w:spacing w:before="120" w:after="120"/>
      </w:pPr>
    </w:p>
    <w:p>
      <w:pPr>
        <w:jc w:val="left"/>
      </w:pPr>
      <w:r>
        <w:rPr>
          <w:rFonts w:ascii="Calibri" w:hAnsi="Calibri"/>
          <w:b w:val="0"/>
          <w:i/>
          <w:color w:val="4B5563"/>
          <w:sz w:val="22"/>
        </w:rPr>
        <w:t>This report synthesizes market research, regulatory analysis, competitor intelligence, and customer segmentation data to provide a comprehensive, investor-ready validation of SolEstate — a Solana-based platform that verifies, tokenizes, and enables secondary trading of Indian commercial real estate. Written for a technical founder with limited business/finance background. Every claim is evidence-backed. Every recommendation is actionable.</w:t>
      </w:r>
    </w:p>
    <w:p>
      <w:pPr>
        <w:spacing w:before="160" w:after="160"/>
        <w:pBdr>
          <w:bottom w:val="single" w:sz="4" w:space="0" w:color="D1D5DB"/>
        </w:pBdr>
      </w:pPr>
    </w:p>
    <w:p>
      <w:pPr>
        <w:pStyle w:val="Heading1"/>
        <w:pBdr>
          <w:bottom w:val="single" w:sz="6" w:space="4" w:color="D1D5DB"/>
        </w:pBdr>
      </w:pPr>
      <w:r>
        <w:rPr>
          <w:rFonts w:ascii="Calibri" w:hAnsi="Calibri"/>
          <w:color w:val="1B365D"/>
        </w:rPr>
        <w:t>EXECUTIVE SUMMARY</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232"/>
        <w:gridCol w:w="2232"/>
        <w:gridCol w:w="2232"/>
        <w:gridCol w:w="2232"/>
      </w:tblGrid>
      <w:tr>
        <w:tc>
          <w:tcPr>
            <w:tcW w:type="dxa" w:w="2232"/>
            <w:shd w:val="clear" w:color="auto" w:fill="F2F6FA"/>
            <w:tcMar>
              <w:top w:w="120" w:type="dxa"/>
              <w:bottom w:w="120" w:type="dxa"/>
              <w:start w:w="160" w:type="dxa"/>
              <w:end w:w="160" w:type="dxa"/>
            </w:tcMar>
          </w:tcPr>
          <w:p>
            <w:pPr>
              <w:spacing w:before="0" w:after="40" w:line="240" w:lineRule="auto"/>
              <w:jc w:val="center"/>
            </w:pPr>
            <w:r/>
            <w:r>
              <w:rPr>
                <w:rFonts w:ascii="Calibri" w:hAnsi="Calibri"/>
                <w:b/>
                <w:color w:val="1B365D"/>
                <w:sz w:val="44"/>
              </w:rPr>
              <w:t>₹9,800Cr</w:t>
            </w:r>
          </w:p>
          <w:p>
            <w:pPr>
              <w:spacing w:before="0" w:after="40" w:line="240" w:lineRule="auto"/>
              <w:jc w:val="center"/>
            </w:pPr>
            <w:r>
              <w:rPr>
                <w:rFonts w:ascii="Calibri" w:hAnsi="Calibri"/>
                <w:b/>
                <w:color w:val="059669"/>
                <w:sz w:val="20"/>
              </w:rPr>
              <w:t>+326% since 2021</w:t>
            </w:r>
          </w:p>
          <w:p>
            <w:pPr>
              <w:spacing w:before="40" w:after="0" w:line="240" w:lineRule="auto"/>
              <w:jc w:val="center"/>
            </w:pPr>
            <w:r>
              <w:rPr>
                <w:rFonts w:ascii="Calibri" w:hAnsi="Calibri"/>
                <w:caps/>
                <w:color w:val="8B8B8B"/>
                <w:sz w:val="17"/>
              </w:rPr>
              <w:t>Fractional RE Market 2025</w:t>
            </w:r>
          </w:p>
        </w:tc>
        <w:tc>
          <w:tcPr>
            <w:tcW w:type="dxa" w:w="2232"/>
            <w:shd w:val="clear" w:color="auto" w:fill="F2F6FA"/>
            <w:tcMar>
              <w:top w:w="120" w:type="dxa"/>
              <w:bottom w:w="120" w:type="dxa"/>
              <w:start w:w="160" w:type="dxa"/>
              <w:end w:w="160" w:type="dxa"/>
            </w:tcMar>
          </w:tcPr>
          <w:p>
            <w:pPr>
              <w:spacing w:before="0" w:after="40" w:line="240" w:lineRule="auto"/>
              <w:jc w:val="center"/>
            </w:pPr>
            <w:r/>
            <w:r>
              <w:rPr>
                <w:rFonts w:ascii="Calibri" w:hAnsi="Calibri"/>
                <w:b/>
                <w:color w:val="1B365D"/>
                <w:sz w:val="44"/>
              </w:rPr>
              <w:t>$59.7B</w:t>
            </w:r>
          </w:p>
          <w:p>
            <w:pPr>
              <w:spacing w:before="0" w:after="40" w:line="240" w:lineRule="auto"/>
              <w:jc w:val="center"/>
            </w:pPr>
            <w:r>
              <w:rPr>
                <w:rFonts w:ascii="Calibri" w:hAnsi="Calibri"/>
                <w:b/>
                <w:color w:val="D97706"/>
                <w:sz w:val="20"/>
              </w:rPr>
              <w:t>→ $281.7B by 2034</w:t>
            </w:r>
          </w:p>
          <w:p>
            <w:pPr>
              <w:spacing w:before="40" w:after="0" w:line="240" w:lineRule="auto"/>
              <w:jc w:val="center"/>
            </w:pPr>
            <w:r>
              <w:rPr>
                <w:rFonts w:ascii="Calibri" w:hAnsi="Calibri"/>
                <w:caps/>
                <w:color w:val="8B8B8B"/>
                <w:sz w:val="17"/>
              </w:rPr>
              <w:t>India CRE Market 2025</w:t>
            </w:r>
          </w:p>
        </w:tc>
        <w:tc>
          <w:tcPr>
            <w:tcW w:type="dxa" w:w="2232"/>
            <w:shd w:val="clear" w:color="auto" w:fill="F2F6FA"/>
            <w:tcMar>
              <w:top w:w="120" w:type="dxa"/>
              <w:bottom w:w="120" w:type="dxa"/>
              <w:start w:w="160" w:type="dxa"/>
              <w:end w:w="160" w:type="dxa"/>
            </w:tcMar>
          </w:tcPr>
          <w:p>
            <w:pPr>
              <w:spacing w:before="0" w:after="40" w:line="240" w:lineRule="auto"/>
              <w:jc w:val="center"/>
            </w:pPr>
            <w:r/>
            <w:r>
              <w:rPr>
                <w:rFonts w:ascii="Calibri" w:hAnsi="Calibri"/>
                <w:b/>
                <w:color w:val="1B365D"/>
                <w:sz w:val="44"/>
              </w:rPr>
              <w:t>850,000</w:t>
            </w:r>
          </w:p>
          <w:p>
            <w:pPr>
              <w:spacing w:before="0" w:after="40" w:line="240" w:lineRule="auto"/>
              <w:jc w:val="center"/>
            </w:pPr>
            <w:r>
              <w:rPr>
                <w:rFonts w:ascii="Calibri" w:hAnsi="Calibri"/>
                <w:b/>
                <w:color w:val="D97706"/>
                <w:sz w:val="20"/>
              </w:rPr>
              <w:t>30% allocate to RE</w:t>
            </w:r>
          </w:p>
          <w:p>
            <w:pPr>
              <w:spacing w:before="40" w:after="0" w:line="240" w:lineRule="auto"/>
              <w:jc w:val="center"/>
            </w:pPr>
            <w:r>
              <w:rPr>
                <w:rFonts w:ascii="Calibri" w:hAnsi="Calibri"/>
                <w:caps/>
                <w:color w:val="8B8B8B"/>
                <w:sz w:val="17"/>
              </w:rPr>
              <w:t>Target HNIs (≥₹5Cr)</w:t>
            </w:r>
          </w:p>
        </w:tc>
        <w:tc>
          <w:tcPr>
            <w:tcW w:type="dxa" w:w="2232"/>
            <w:shd w:val="clear" w:color="auto" w:fill="F2F6FA"/>
            <w:tcMar>
              <w:top w:w="120" w:type="dxa"/>
              <w:bottom w:w="120" w:type="dxa"/>
              <w:start w:w="160" w:type="dxa"/>
              <w:end w:w="160" w:type="dxa"/>
            </w:tcMar>
          </w:tcPr>
          <w:p>
            <w:pPr>
              <w:spacing w:before="0" w:after="40" w:line="240" w:lineRule="auto"/>
              <w:jc w:val="center"/>
            </w:pPr>
            <w:r/>
            <w:r>
              <w:rPr>
                <w:rFonts w:ascii="Calibri" w:hAnsi="Calibri"/>
                <w:b/>
                <w:color w:val="1B365D"/>
                <w:sz w:val="44"/>
              </w:rPr>
              <w:t>COND. GO</w:t>
            </w:r>
          </w:p>
          <w:p>
            <w:pPr>
              <w:spacing w:before="0" w:after="40" w:line="240" w:lineRule="auto"/>
              <w:jc w:val="center"/>
            </w:pPr>
            <w:r>
              <w:rPr>
                <w:rFonts w:ascii="Calibri" w:hAnsi="Calibri"/>
                <w:b/>
                <w:color w:val="D97706"/>
                <w:sz w:val="20"/>
              </w:rPr>
              <w:t>5 conditions required</w:t>
            </w:r>
          </w:p>
          <w:p>
            <w:pPr>
              <w:spacing w:before="40" w:after="0" w:line="240" w:lineRule="auto"/>
              <w:jc w:val="center"/>
            </w:pPr>
            <w:r>
              <w:rPr>
                <w:rFonts w:ascii="Calibri" w:hAnsi="Calibri"/>
                <w:caps/>
                <w:color w:val="8B8B8B"/>
                <w:sz w:val="17"/>
              </w:rPr>
              <w:t>Verdict</w:t>
            </w:r>
          </w:p>
        </w:tc>
      </w:tr>
    </w:tbl>
    <w:p>
      <w:pPr>
        <w:spacing w:before="160" w:after="80"/>
      </w:pPr>
    </w:p>
    <w:p>
      <w:pPr>
        <w:pStyle w:val="Heading2"/>
      </w:pPr>
      <w:r>
        <w:rPr>
          <w:rFonts w:ascii="Calibri" w:hAnsi="Calibri"/>
          <w:color w:val="2E75B6"/>
        </w:rPr>
        <w:t>Demand Verdict: YES — Evidence Is Strong</w:t>
      </w:r>
    </w:p>
    <w:p>
      <w:pPr>
        <w:pStyle w:val="ListBullet"/>
      </w:pPr>
      <w:r>
        <w:rPr>
          <w:rFonts w:ascii="Calibri" w:hAnsi="Calibri"/>
          <w:color w:val="2D2D2D"/>
          <w:sz w:val="22"/>
        </w:rPr>
        <w:t>Market growth is validated: India's fractional real estate market grew 326% from ₹2,300 crore (2021) to ₹9,800 crore (2025) — regulators don't create frameworks for dead markets, and SEBI's SM-REIT notification in March 2024 is the clearest possible signal of institutional legitimacy.</w:t>
      </w:r>
    </w:p>
    <w:p>
      <w:pPr>
        <w:pStyle w:val="ListBullet"/>
      </w:pPr>
      <w:r>
        <w:rPr>
          <w:rFonts w:ascii="Calibri" w:hAnsi="Calibri"/>
          <w:color w:val="2D2D2D"/>
          <w:sz w:val="22"/>
        </w:rPr>
        <w:t>Competitor traction is real: PropShare has deployed ₹1,708 crore across 20 properties and listed India's first SM-REIT on the BSE (December 2024); hBits has 100,000+ registered users and ₹365 crore AUM; WiseX manages ₹400+ crore — proving both supply-side (property owners) and demand-side (investors) appetite.</w:t>
      </w:r>
    </w:p>
    <w:p>
      <w:pPr>
        <w:pStyle w:val="ListBullet"/>
      </w:pPr>
      <w:r>
        <w:rPr>
          <w:rFonts w:ascii="Calibri" w:hAnsi="Calibri"/>
          <w:color w:val="2D2D2D"/>
          <w:sz w:val="22"/>
        </w:rPr>
        <w:t>The structural gap is unoccupied: No existing platform combines automated government-registry-integrated title verification, SEBI-compliant blockchain tokenization, and a liquid secondary market — this is the whitespace SolEstate is designed to fill.</w:t>
      </w:r>
    </w:p>
    <w:p>
      <w:pPr>
        <w:pStyle w:val="Heading2"/>
      </w:pPr>
      <w:r>
        <w:rPr>
          <w:rFonts w:ascii="Calibri" w:hAnsi="Calibri"/>
          <w:color w:val="2E75B6"/>
        </w:rPr>
        <w:t>Top 3 Opportunities</w:t>
      </w:r>
    </w:p>
    <w:p>
      <w:pPr>
        <w:pStyle w:val="ListNumber"/>
      </w:pPr>
      <w:r>
        <w:rPr>
          <w:rFonts w:ascii="Calibri" w:hAnsi="Calibri"/>
          <w:color w:val="2D2D2D"/>
          <w:sz w:val="22"/>
        </w:rPr>
        <w:t>The verification moat: No Indian proptech platform has automated NeSL/CERSAI charge searches or state registry queries — building this first creates a data flywheel that becomes India's equivalent of CIBIL for property titles.</w:t>
      </w:r>
    </w:p>
    <w:p>
      <w:pPr>
        <w:pStyle w:val="ListNumber"/>
      </w:pPr>
      <w:r>
        <w:rPr>
          <w:rFonts w:ascii="Calibri" w:hAnsi="Calibri"/>
          <w:color w:val="2D2D2D"/>
          <w:sz w:val="22"/>
        </w:rPr>
        <w:t>The retail gap: Every SEBI-registered fractional platform requires ₹10–25 lakh minimum; the ₹1–10 lakh retail segment (approximately 5 million digitally active investors) is entirely unserved and represents the largest addressable pool.</w:t>
      </w:r>
    </w:p>
    <w:p>
      <w:pPr>
        <w:pStyle w:val="ListNumber"/>
      </w:pPr>
      <w:r>
        <w:rPr>
          <w:rFonts w:ascii="Calibri" w:hAnsi="Calibri"/>
          <w:color w:val="2D2D2D"/>
          <w:sz w:val="22"/>
        </w:rPr>
        <w:t>NRI demand: 32 million diaspora investors deploying an estimated $13–15 billion annually into Indian real estate face severe friction — tokenized, FEMA-compliant, digitally tradeable assets via GIFT City IFSC solve this problem cleanly.</w:t>
      </w:r>
    </w:p>
    <w:p>
      <w:pPr>
        <w:pStyle w:val="Heading2"/>
      </w:pPr>
      <w:r>
        <w:rPr>
          <w:rFonts w:ascii="Calibri" w:hAnsi="Calibri"/>
          <w:color w:val="2E75B6"/>
        </w:rPr>
        <w:t>Top 3 Risks</w:t>
      </w:r>
    </w:p>
    <w:p>
      <w:pPr>
        <w:pStyle w:val="ListNumber"/>
      </w:pPr>
      <w:r>
        <w:rPr>
          <w:rFonts w:ascii="Calibri" w:hAnsi="Calibri"/>
          <w:color w:val="2D2D2D"/>
          <w:sz w:val="22"/>
        </w:rPr>
        <w:t>SEBI CIS classification: If tokens pool capital, promise returns, and are managed passively without being structured as an AIF or SM-REIT, SEBI will classify the platform as an unregistered Collective Investment Scheme and shut it down — this is a fatal risk that must be resolved before writing a single line of production code.</w:t>
      </w:r>
    </w:p>
    <w:p>
      <w:pPr>
        <w:pStyle w:val="ListNumber"/>
      </w:pPr>
      <w:r>
        <w:rPr>
          <w:rFonts w:ascii="Calibri" w:hAnsi="Calibri"/>
          <w:color w:val="2D2D2D"/>
          <w:sz w:val="22"/>
        </w:rPr>
        <w:t>The accredited investor bottleneck: Only 650–1,000 Indians hold SEBI accredited investor status, making a direct-to-accredited-investor model commercially unviable without the SM-REIT framework (₹10 lakh minimum) or B2B wealth manager distribution.</w:t>
      </w:r>
    </w:p>
    <w:p>
      <w:pPr>
        <w:pStyle w:val="ListNumber"/>
      </w:pPr>
      <w:r>
        <w:rPr>
          <w:rFonts w:ascii="Calibri" w:hAnsi="Calibri"/>
          <w:color w:val="2D2D2D"/>
          <w:sz w:val="22"/>
        </w:rPr>
        <w:t>Government registry integration delays: State land registry MoU negotiations in India take 12–24 months regardless of funding — the verification moat depends on these integrations, and bureaucratic delays are the highest-probability execution risk.</w:t>
      </w:r>
    </w:p>
    <w:p>
      <w:pPr>
        <w:spacing w:before="160" w:after="160"/>
        <w:shd w:val="clear" w:color="auto" w:fill="F2F6FA"/>
        <w:pBdr>
          <w:left w:val="single" w:sz="24" w:space="8" w:color="2E75B6"/>
        </w:pBdr>
        <w:ind w:left="240" w:right="240"/>
      </w:pPr>
      <w:r>
        <w:rPr>
          <w:rFonts w:ascii="Calibri" w:hAnsi="Calibri"/>
          <w:color w:val="2D2D2D"/>
          <w:sz w:val="20"/>
        </w:rPr>
        <w:t>GO/NO-GO VERDICT: CONDITIONAL GO — Three conditions must be met before MVP development begins: (1) Legal opinion confirming tokens do NOT constitute an unregistered CIS under SEBI regulations; (2) At least 1 property owner LOI signed for pilot tokenization; (3) Karnataka Bhoomi/Kaveri 2.0 API access confirmed or a credible workaround identified.</w:t>
      </w:r>
    </w:p>
    <w:p>
      <w:pPr>
        <w:pStyle w:val="Heading2"/>
      </w:pPr>
      <w:r>
        <w:rPr>
          <w:rFonts w:ascii="Calibri" w:hAnsi="Calibri"/>
          <w:color w:val="2E75B6"/>
        </w:rPr>
        <w:t>Next 30 Days: 5 Immediate Actions</w:t>
      </w:r>
    </w:p>
    <w:p>
      <w:pPr>
        <w:pStyle w:val="ListNumber"/>
      </w:pPr>
      <w:r>
        <w:rPr>
          <w:rFonts w:ascii="Calibri" w:hAnsi="Calibri"/>
          <w:color w:val="2D2D2D"/>
          <w:sz w:val="22"/>
        </w:rPr>
        <w:t>Engage Nishith Desai Associates or AZB &amp; Partners — get a written legal opinion on CIS classification risk for your specific token structure (cost: ₹50,000–₹2,00,000; non-negotiable before any code is written).</w:t>
      </w:r>
    </w:p>
    <w:p>
      <w:pPr>
        <w:pStyle w:val="ListNumber"/>
      </w:pPr>
      <w:r>
        <w:rPr>
          <w:rFonts w:ascii="Calibri" w:hAnsi="Calibri"/>
          <w:color w:val="2D2D2D"/>
          <w:sz w:val="22"/>
        </w:rPr>
        <w:t>Apply for IFSCA GIFT City regulatory sandbox — applications are accepted on a rolling basis, approval takes 2–4 months, and sandbox status provides regulatory cover for novel blockchain features while signaling legitimacy to investors.</w:t>
      </w:r>
    </w:p>
    <w:p>
      <w:pPr>
        <w:pStyle w:val="ListNumber"/>
      </w:pPr>
      <w:r>
        <w:rPr>
          <w:rFonts w:ascii="Calibri" w:hAnsi="Calibri"/>
          <w:color w:val="2D2D2D"/>
          <w:sz w:val="22"/>
        </w:rPr>
        <w:t>Submit Karnataka Bhoomi API access application — Karnataka is India's most technically advanced state registry (Kaveri 2.0), Bengaluru is a priority market, and this application starts the 6–12 month government relations clock immediately.</w:t>
      </w:r>
    </w:p>
    <w:p>
      <w:pPr>
        <w:pStyle w:val="ListNumber"/>
      </w:pPr>
      <w:r>
        <w:rPr>
          <w:rFonts w:ascii="Calibri" w:hAnsi="Calibri"/>
          <w:color w:val="2D2D2D"/>
          <w:sz w:val="22"/>
        </w:rPr>
        <w:t>Complete 10 investor interviews targeting NRIs in UAE and USA, and HNIs in Bangalore — validate willingness to invest ₹10 lakh+ in tokenized Grade-A CRE before building anything.</w:t>
      </w:r>
    </w:p>
    <w:p>
      <w:pPr>
        <w:pStyle w:val="ListNumber"/>
      </w:pPr>
      <w:r>
        <w:rPr>
          <w:rFonts w:ascii="Calibri" w:hAnsi="Calibri"/>
          <w:color w:val="2D2D2D"/>
          <w:sz w:val="22"/>
        </w:rPr>
        <w:t>Apply for CREDAI BuildSmart Innovation Challenge 2025 (deadline: November 15, 2025) — prize is ₹1 lakh + mentorship + presentation at Emerge 2026, giving access to 13,000 developer contacts at zero cost.</w:t>
      </w:r>
    </w:p>
    <w:p>
      <w:r>
        <w:br w:type="page"/>
      </w:r>
    </w:p>
    <w:p>
      <w:pPr>
        <w:pStyle w:val="Heading1"/>
        <w:pBdr>
          <w:bottom w:val="single" w:sz="6" w:space="4" w:color="D1D5DB"/>
        </w:pBdr>
      </w:pPr>
      <w:r>
        <w:rPr>
          <w:rFonts w:ascii="Calibri" w:hAnsi="Calibri"/>
          <w:color w:val="1B365D"/>
        </w:rPr>
        <w:t>SECTION 1: MARKET DEMAND VALIDATION</w:t>
      </w:r>
    </w:p>
    <w:p>
      <w:pPr>
        <w:pStyle w:val="Heading2"/>
      </w:pPr>
      <w:r>
        <w:rPr>
          <w:rFonts w:ascii="Calibri" w:hAnsi="Calibri"/>
          <w:color w:val="2E75B6"/>
        </w:rPr>
        <w:t>1.1 Is the Demand Real?</w:t>
      </w:r>
    </w:p>
    <w:p>
      <w:pPr>
        <w:jc w:val="left"/>
      </w:pPr>
      <w:r>
        <w:rPr>
          <w:rFonts w:ascii="Calibri" w:hAnsi="Calibri"/>
          <w:b w:val="0"/>
          <w:i w:val="0"/>
          <w:color w:val="2D2D2D"/>
          <w:sz w:val="22"/>
        </w:rPr>
        <w:t>The short answer is yes — and the evidence is unusually strong for an early-stage market. Three independent signals confirm genuine demand: regulatory action (SEBI created a framework), competitor traction (platforms have scaled to hundreds of crores in AUM), and market growth (326% in four years). Each signal is examined below.</w:t>
      </w:r>
    </w:p>
    <w:p>
      <w:pPr>
        <w:pStyle w:val="Heading3"/>
      </w:pPr>
      <w:r>
        <w:rPr>
          <w:rFonts w:ascii="Calibri" w:hAnsi="Calibri"/>
          <w:color w:val="4472C4"/>
        </w:rPr>
        <w:t>Competitor Traction Data</w:t>
      </w:r>
    </w:p>
    <w:p>
      <w:pPr>
        <w:spacing w:before="240" w:after="80"/>
      </w:pPr>
      <w:r>
        <w:rPr>
          <w:rFonts w:ascii="Calibri" w:hAnsi="Calibri"/>
          <w:b/>
          <w:caps/>
          <w:color w:val="5A5A5A"/>
          <w:sz w:val="18"/>
        </w:rPr>
        <w:t>Table 1 — Indian Fractional Real Estate Platform Traction Data (2024–2026)</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86"/>
        <w:gridCol w:w="1786"/>
        <w:gridCol w:w="1786"/>
        <w:gridCol w:w="1786"/>
        <w:gridCol w:w="1786"/>
      </w:tblGrid>
      <w:tr>
        <w:tc>
          <w:tcPr>
            <w:tcW w:type="dxa" w:w="1786"/>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Platform</w:t>
            </w:r>
          </w:p>
        </w:tc>
        <w:tc>
          <w:tcPr>
            <w:tcW w:type="dxa" w:w="1786"/>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AUM / Scale</w:t>
            </w:r>
          </w:p>
        </w:tc>
        <w:tc>
          <w:tcPr>
            <w:tcW w:type="dxa" w:w="1786"/>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Users</w:t>
            </w:r>
          </w:p>
        </w:tc>
        <w:tc>
          <w:tcPr>
            <w:tcW w:type="dxa" w:w="1786"/>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Key Milestone</w:t>
            </w:r>
          </w:p>
        </w:tc>
        <w:tc>
          <w:tcPr>
            <w:tcW w:type="dxa" w:w="1786"/>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Funding</w:t>
            </w:r>
          </w:p>
        </w:tc>
      </w:tr>
      <w:tr>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PropShare</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₹1,708 Cr deployed</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Institutional focus</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India's first SM-REIT listed on BSE, Dec 2024</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Undisclosed</w:t>
            </w:r>
          </w:p>
        </w:tc>
      </w:tr>
      <w:tr>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hBits</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₹365 Cr AUM; ₹25,000 Cr evaluated</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100,000+ registered</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17.54% IRR on first property exit</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₹40 Cr Series A</w:t>
            </w:r>
          </w:p>
        </w:tc>
      </w:tr>
      <w:tr>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WiseX</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₹400+ Cr AUM</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60,000+ users</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Launched 2020; consistent growth</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Undisclosed</w:t>
            </w:r>
          </w:p>
        </w:tc>
      </w:tr>
      <w:tr>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RealX</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₹9.4 Cr landmark deal</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57 investors in Ayodhya deal</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SDR model — direct co-ownership, no SPV</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$3.66M valuation</w:t>
            </w:r>
          </w:p>
        </w:tc>
      </w:tr>
      <w:tr>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LandBitt</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Early stage</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Active 2025–2026</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Polygon NFT model; advocating India Tokenization Bill</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Undisclosed</w:t>
            </w:r>
          </w:p>
        </w:tc>
      </w:tr>
      <w:tr>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Alt DRX</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Undisclosed; active</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Small amounts via MIPs</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XRPL blockchain; instant settlement</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₹23 Cr Pre-Series A</w:t>
            </w:r>
          </w:p>
        </w:tc>
      </w:tr>
    </w:tbl>
    <w:p>
      <w:pPr>
        <w:spacing w:before="80" w:after="80"/>
      </w:pPr>
    </w:p>
    <w:p>
      <w:pPr>
        <w:pStyle w:val="Heading3"/>
      </w:pPr>
      <w:r>
        <w:rPr>
          <w:rFonts w:ascii="Calibri" w:hAnsi="Calibri"/>
          <w:color w:val="4472C4"/>
        </w:rPr>
        <w:t>Market Size Trajectory</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232"/>
        <w:gridCol w:w="2232"/>
        <w:gridCol w:w="2232"/>
        <w:gridCol w:w="2232"/>
      </w:tblGrid>
      <w:tr>
        <w:tc>
          <w:tcPr>
            <w:tcW w:type="dxa" w:w="2232"/>
            <w:shd w:val="clear" w:color="auto" w:fill="F2F6FA"/>
            <w:tcMar>
              <w:top w:w="120" w:type="dxa"/>
              <w:bottom w:w="120" w:type="dxa"/>
              <w:start w:w="160" w:type="dxa"/>
              <w:end w:w="160" w:type="dxa"/>
            </w:tcMar>
          </w:tcPr>
          <w:p>
            <w:pPr>
              <w:spacing w:before="0" w:after="40" w:line="240" w:lineRule="auto"/>
              <w:jc w:val="center"/>
            </w:pPr>
            <w:r/>
            <w:r>
              <w:rPr>
                <w:rFonts w:ascii="Calibri" w:hAnsi="Calibri"/>
                <w:b/>
                <w:color w:val="1B365D"/>
                <w:sz w:val="44"/>
              </w:rPr>
              <w:t>₹2,300Cr</w:t>
            </w:r>
          </w:p>
          <w:p>
            <w:pPr>
              <w:spacing w:before="0" w:after="40" w:line="240" w:lineRule="auto"/>
              <w:jc w:val="center"/>
            </w:pPr>
            <w:r>
              <w:rPr>
                <w:rFonts w:ascii="Calibri" w:hAnsi="Calibri"/>
                <w:b/>
                <w:color w:val="D97706"/>
                <w:sz w:val="20"/>
              </w:rPr>
              <w:t>Baseline</w:t>
            </w:r>
          </w:p>
          <w:p>
            <w:pPr>
              <w:spacing w:before="40" w:after="0" w:line="240" w:lineRule="auto"/>
              <w:jc w:val="center"/>
            </w:pPr>
            <w:r>
              <w:rPr>
                <w:rFonts w:ascii="Calibri" w:hAnsi="Calibri"/>
                <w:caps/>
                <w:color w:val="8B8B8B"/>
                <w:sz w:val="17"/>
              </w:rPr>
              <w:t>Fractional RE Market 2021</w:t>
            </w:r>
          </w:p>
        </w:tc>
        <w:tc>
          <w:tcPr>
            <w:tcW w:type="dxa" w:w="2232"/>
            <w:shd w:val="clear" w:color="auto" w:fill="F2F6FA"/>
            <w:tcMar>
              <w:top w:w="120" w:type="dxa"/>
              <w:bottom w:w="120" w:type="dxa"/>
              <w:start w:w="160" w:type="dxa"/>
              <w:end w:w="160" w:type="dxa"/>
            </w:tcMar>
          </w:tcPr>
          <w:p>
            <w:pPr>
              <w:spacing w:before="0" w:after="40" w:line="240" w:lineRule="auto"/>
              <w:jc w:val="center"/>
            </w:pPr>
            <w:r/>
            <w:r>
              <w:rPr>
                <w:rFonts w:ascii="Calibri" w:hAnsi="Calibri"/>
                <w:b/>
                <w:color w:val="1B365D"/>
                <w:sz w:val="44"/>
              </w:rPr>
              <w:t>₹9,800Cr</w:t>
            </w:r>
          </w:p>
          <w:p>
            <w:pPr>
              <w:spacing w:before="0" w:after="40" w:line="240" w:lineRule="auto"/>
              <w:jc w:val="center"/>
            </w:pPr>
            <w:r>
              <w:rPr>
                <w:rFonts w:ascii="Calibri" w:hAnsi="Calibri"/>
                <w:b/>
                <w:color w:val="059669"/>
                <w:sz w:val="20"/>
              </w:rPr>
              <w:t>+326% in 4 years</w:t>
            </w:r>
          </w:p>
          <w:p>
            <w:pPr>
              <w:spacing w:before="40" w:after="0" w:line="240" w:lineRule="auto"/>
              <w:jc w:val="center"/>
            </w:pPr>
            <w:r>
              <w:rPr>
                <w:rFonts w:ascii="Calibri" w:hAnsi="Calibri"/>
                <w:caps/>
                <w:color w:val="8B8B8B"/>
                <w:sz w:val="17"/>
              </w:rPr>
              <w:t>Fractional RE Market 2025</w:t>
            </w:r>
          </w:p>
        </w:tc>
        <w:tc>
          <w:tcPr>
            <w:tcW w:type="dxa" w:w="2232"/>
            <w:shd w:val="clear" w:color="auto" w:fill="F2F6FA"/>
            <w:tcMar>
              <w:top w:w="120" w:type="dxa"/>
              <w:bottom w:w="120" w:type="dxa"/>
              <w:start w:w="160" w:type="dxa"/>
              <w:end w:w="160" w:type="dxa"/>
            </w:tcMar>
          </w:tcPr>
          <w:p>
            <w:pPr>
              <w:spacing w:before="0" w:after="40" w:line="240" w:lineRule="auto"/>
              <w:jc w:val="center"/>
            </w:pPr>
            <w:r/>
            <w:r>
              <w:rPr>
                <w:rFonts w:ascii="Calibri" w:hAnsi="Calibri"/>
                <w:b/>
                <w:color w:val="1B365D"/>
                <w:sz w:val="44"/>
              </w:rPr>
              <w:t>$5B+</w:t>
            </w:r>
          </w:p>
          <w:p>
            <w:pPr>
              <w:spacing w:before="0" w:after="40" w:line="240" w:lineRule="auto"/>
              <w:jc w:val="center"/>
            </w:pPr>
            <w:r>
              <w:rPr>
                <w:rFonts w:ascii="Calibri" w:hAnsi="Calibri"/>
                <w:b/>
                <w:color w:val="D97706"/>
                <w:sz w:val="20"/>
              </w:rPr>
              <w:t>Knight Frank estimate</w:t>
            </w:r>
          </w:p>
          <w:p>
            <w:pPr>
              <w:spacing w:before="40" w:after="0" w:line="240" w:lineRule="auto"/>
              <w:jc w:val="center"/>
            </w:pPr>
            <w:r>
              <w:rPr>
                <w:rFonts w:ascii="Calibri" w:hAnsi="Calibri"/>
                <w:caps/>
                <w:color w:val="8B8B8B"/>
                <w:sz w:val="17"/>
              </w:rPr>
              <w:t>Projected by 2030</w:t>
            </w:r>
          </w:p>
        </w:tc>
        <w:tc>
          <w:tcPr>
            <w:tcW w:type="dxa" w:w="2232"/>
            <w:shd w:val="clear" w:color="auto" w:fill="F2F6FA"/>
            <w:tcMar>
              <w:top w:w="120" w:type="dxa"/>
              <w:bottom w:w="120" w:type="dxa"/>
              <w:start w:w="160" w:type="dxa"/>
              <w:end w:w="160" w:type="dxa"/>
            </w:tcMar>
          </w:tcPr>
          <w:p>
            <w:pPr>
              <w:spacing w:before="0" w:after="40" w:line="240" w:lineRule="auto"/>
              <w:jc w:val="center"/>
            </w:pPr>
            <w:r/>
            <w:r>
              <w:rPr>
                <w:rFonts w:ascii="Calibri" w:hAnsi="Calibri"/>
                <w:b/>
                <w:color w:val="1B365D"/>
                <w:sz w:val="44"/>
              </w:rPr>
              <w:t>$59.7B</w:t>
            </w:r>
          </w:p>
          <w:p>
            <w:pPr>
              <w:spacing w:before="0" w:after="40" w:line="240" w:lineRule="auto"/>
              <w:jc w:val="center"/>
            </w:pPr>
            <w:r>
              <w:rPr>
                <w:rFonts w:ascii="Calibri" w:hAnsi="Calibri"/>
                <w:b/>
                <w:color w:val="D97706"/>
                <w:sz w:val="20"/>
              </w:rPr>
              <w:t>→ $281.7B by 2034</w:t>
            </w:r>
          </w:p>
          <w:p>
            <w:pPr>
              <w:spacing w:before="40" w:after="0" w:line="240" w:lineRule="auto"/>
              <w:jc w:val="center"/>
            </w:pPr>
            <w:r>
              <w:rPr>
                <w:rFonts w:ascii="Calibri" w:hAnsi="Calibri"/>
                <w:caps/>
                <w:color w:val="8B8B8B"/>
                <w:sz w:val="17"/>
              </w:rPr>
              <w:t>India CRE Market 2025</w:t>
            </w:r>
          </w:p>
        </w:tc>
      </w:tr>
    </w:tbl>
    <w:p>
      <w:pPr>
        <w:spacing w:before="160" w:after="80"/>
      </w:pPr>
    </w:p>
    <w:p>
      <w:pPr>
        <w:jc w:val="left"/>
      </w:pPr>
      <w:r>
        <w:rPr>
          <w:rFonts w:ascii="Calibri" w:hAnsi="Calibri"/>
          <w:b w:val="0"/>
          <w:i w:val="0"/>
          <w:color w:val="2D2D2D"/>
          <w:sz w:val="22"/>
        </w:rPr>
        <w:t>The 326% growth from ₹2,300 crore to ₹9,800 crore between 2021 and 2025 is not a projection — it is a confirmed data point from Knight Frank's India research. This growth occurred despite regulatory ambiguity, without a formal SEBI framework, and with minimum ticket sizes of ₹25 lakh or more. The SEBI SM-REIT framework (March 2024) lowering the minimum to ₹10 lakh is a structural demand accelerant that has not yet been fully priced into market growth projections.</w:t>
      </w:r>
    </w:p>
    <w:p>
      <w:pPr>
        <w:pStyle w:val="Heading3"/>
      </w:pPr>
      <w:r>
        <w:rPr>
          <w:rFonts w:ascii="Calibri" w:hAnsi="Calibri"/>
          <w:color w:val="4472C4"/>
        </w:rPr>
        <w:t>NRI Demand Sizing</w:t>
      </w:r>
    </w:p>
    <w:p>
      <w:pPr>
        <w:jc w:val="left"/>
      </w:pPr>
      <w:r>
        <w:rPr>
          <w:rFonts w:ascii="Calibri" w:hAnsi="Calibri"/>
          <w:b w:val="0"/>
          <w:i w:val="0"/>
          <w:color w:val="2D2D2D"/>
          <w:sz w:val="22"/>
        </w:rPr>
        <w:t>India's 32 million-strong diaspora represents one of the most motivated and underserved investor segments for real estate tokenization. NRIs are permitted to invest in Indian commercial and residential properties with full repatriation rights under FEMA. They deploy an estimated $13–15 billion annually into Indian real estate — approximately 30–35% of their total India investment allocation. The friction they face is severe: physical property management from abroad is impractical, traditional fractional platforms have high minimums and no secondary liquidity, and FEMA compliance for token transfers requires careful structuring. GIFT City IFSC solves this cleanly — 100% FDI in real estate, 100% tax holiday on income, and a regulatory framework that treats NRI investors as offshore participants with simplified onboarding.</w:t>
      </w:r>
    </w:p>
    <w:p>
      <w:pPr>
        <w:pStyle w:val="Heading2"/>
      </w:pPr>
      <w:r>
        <w:rPr>
          <w:rFonts w:ascii="Calibri" w:hAnsi="Calibri"/>
          <w:color w:val="2E75B6"/>
        </w:rPr>
        <w:t>1.2 Regulatory Tailwinds</w:t>
      </w:r>
    </w:p>
    <w:p>
      <w:pPr>
        <w:spacing w:before="240" w:after="80"/>
      </w:pPr>
      <w:r>
        <w:rPr>
          <w:rFonts w:ascii="Calibri" w:hAnsi="Calibri"/>
          <w:b/>
          <w:caps/>
          <w:color w:val="5A5A5A"/>
          <w:sz w:val="18"/>
        </w:rPr>
        <w:t>Table 2 — Regulatory Tailwinds for Indian Real Estate Tokenization (2024–2026)</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232"/>
        <w:gridCol w:w="2232"/>
        <w:gridCol w:w="2232"/>
        <w:gridCol w:w="2232"/>
      </w:tblGrid>
      <w:tr>
        <w:tc>
          <w:tcPr>
            <w:tcW w:type="dxa" w:w="2232"/>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Framework</w:t>
            </w:r>
          </w:p>
        </w:tc>
        <w:tc>
          <w:tcPr>
            <w:tcW w:type="dxa" w:w="2232"/>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Effective Date</w:t>
            </w:r>
          </w:p>
        </w:tc>
        <w:tc>
          <w:tcPr>
            <w:tcW w:type="dxa" w:w="2232"/>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Key Provision</w:t>
            </w:r>
          </w:p>
        </w:tc>
        <w:tc>
          <w:tcPr>
            <w:tcW w:type="dxa" w:w="2232"/>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Impact on SolEstate</w:t>
            </w:r>
          </w:p>
        </w:tc>
      </w:tr>
      <w:tr>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SEBI SM-REIT Framework</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March 8, 2024</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Min investment ₹10L; asset size ₹50–500Cr; 95% in completed assets; 90% income distribution</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Primary compliance pathway — enables retail investor access without CIS risk</w:t>
            </w:r>
          </w:p>
        </w:tc>
      </w:tr>
      <w:tr>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IFSCA RWA Consultation Paper</w:t>
            </w:r>
          </w:p>
        </w:tc>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February 2025</w:t>
            </w:r>
          </w:p>
        </w:tc>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Regulatory sandbox for tokenized real-world assets; India's first tokenized RE project approved</w:t>
            </w:r>
          </w:p>
        </w:tc>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Fastest legal launch path for blockchain-native instruments; NRI investor access</w:t>
            </w:r>
          </w:p>
        </w:tc>
      </w:tr>
      <w:tr>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SEBI AIOF Framework</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2024–2025</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Accredited Investors Only Fund; LVF minimum reduced from ₹70Cr to ₹25Cr</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Alternative pathway for HNI-only offerings with lighter compliance burden</w:t>
            </w:r>
          </w:p>
        </w:tc>
      </w:tr>
      <w:tr>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RBI Wholesale CBDC Pilot</w:t>
            </w:r>
          </w:p>
        </w:tc>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Since Nov 2022</w:t>
            </w:r>
          </w:p>
        </w:tc>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Testing tokenization of assets and government bonds</w:t>
            </w:r>
          </w:p>
        </w:tc>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Signals RBI openness to blockchain settlement; future CBDC integration possible</w:t>
            </w:r>
          </w:p>
        </w:tc>
      </w:tr>
      <w:tr>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GIFT City IFSC</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Ongoing</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100% FDI in RE; 100% tax holiday; FEMA dispensation for NRIs</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Optimal domicile for holding company; NRI investor onboarding</w:t>
            </w:r>
          </w:p>
        </w:tc>
      </w:tr>
    </w:tbl>
    <w:p>
      <w:pPr>
        <w:spacing w:before="80" w:after="80"/>
      </w:pPr>
    </w:p>
    <w:p>
      <w:pPr>
        <w:spacing w:before="160" w:after="160"/>
        <w:shd w:val="clear" w:color="auto" w:fill="FFFBEB"/>
        <w:pBdr>
          <w:left w:val="single" w:sz="24" w:space="8" w:color="D97706"/>
        </w:pBdr>
        <w:ind w:left="240" w:right="240"/>
      </w:pPr>
      <w:r>
        <w:rPr>
          <w:rFonts w:ascii="Calibri" w:hAnsi="Calibri"/>
          <w:color w:val="2D2D2D"/>
          <w:sz w:val="20"/>
        </w:rPr>
        <w:t>CRITICAL REGULATORY RISK: SEBI will classify any token arrangement that pools capital, promises returns, and is managed on behalf of passive investors as a Collective Investment Scheme (CIS). Operating an unregistered CIS is unlawful. Every token offering MUST be wrapped in an AIF, SM-REIT, or IFSCA sandbox structure before launch.</w:t>
      </w:r>
    </w:p>
    <w:p>
      <w:pPr>
        <w:pStyle w:val="Heading2"/>
      </w:pPr>
      <w:r>
        <w:rPr>
          <w:rFonts w:ascii="Calibri" w:hAnsi="Calibri"/>
          <w:color w:val="2E75B6"/>
        </w:rPr>
        <w:t>1.3 Honest Assessment — What's Working and What Isn't</w:t>
      </w:r>
    </w:p>
    <w:p>
      <w:pPr>
        <w:pStyle w:val="ListBullet"/>
      </w:pPr>
      <w:r>
        <w:rPr>
          <w:rFonts w:ascii="Calibri" w:hAnsi="Calibri"/>
          <w:color w:val="2D2D2D"/>
          <w:sz w:val="22"/>
        </w:rPr>
        <w:t>WHAT'S WORKING: SEBI's SM-REIT framework is live and functional — PropShare has already listed on BSE under it, proving the exit and liquidity model works end-to-end.</w:t>
      </w:r>
    </w:p>
    <w:p>
      <w:pPr>
        <w:pStyle w:val="ListBullet"/>
      </w:pPr>
      <w:r>
        <w:rPr>
          <w:rFonts w:ascii="Calibri" w:hAnsi="Calibri"/>
          <w:color w:val="2D2D2D"/>
          <w:sz w:val="22"/>
        </w:rPr>
        <w:t>WHAT'S WORKING: Institutional demand is real — hBits' ₹40 crore Series A and Alt DRX's ₹23 crore Pre-Series A from Qatar Development Bank confirm that sophisticated capital is entering the space.</w:t>
      </w:r>
    </w:p>
    <w:p>
      <w:pPr>
        <w:pStyle w:val="ListBullet"/>
      </w:pPr>
      <w:r>
        <w:rPr>
          <w:rFonts w:ascii="Calibri" w:hAnsi="Calibri"/>
          <w:color w:val="2D2D2D"/>
          <w:sz w:val="22"/>
        </w:rPr>
        <w:t>WHAT'S WORKING: The supply side (property owners) is motivated — PE investment in Indian real estate fell 15% to $2.2 billion in H1 FY26, meaning developers who cannot secure large PE checks are actively seeking alternative liquidity sources.</w:t>
      </w:r>
    </w:p>
    <w:p>
      <w:pPr>
        <w:pStyle w:val="ListBullet"/>
      </w:pPr>
      <w:r>
        <w:rPr>
          <w:rFonts w:ascii="Calibri" w:hAnsi="Calibri"/>
          <w:color w:val="2D2D2D"/>
          <w:sz w:val="22"/>
        </w:rPr>
        <w:t>WHAT'S NOT PROVEN: Secondary market liquidity — no Indian fractional platform has demonstrated a functioning, high-volume secondary market for fractional tokens; this remains the biggest unproven assumption in the entire model.</w:t>
      </w:r>
    </w:p>
    <w:p>
      <w:pPr>
        <w:pStyle w:val="ListBullet"/>
      </w:pPr>
      <w:r>
        <w:rPr>
          <w:rFonts w:ascii="Calibri" w:hAnsi="Calibri"/>
          <w:color w:val="2D2D2D"/>
          <w:sz w:val="22"/>
        </w:rPr>
        <w:t>WHAT'S NOT PROVEN: Retail investor adoption at ₹1–10 lakh ticket sizes — the SM-REIT framework enables this, but no platform has yet successfully onboarded retail investors at scale under the new framework.</w:t>
      </w:r>
    </w:p>
    <w:p>
      <w:pPr>
        <w:pStyle w:val="ListBullet"/>
      </w:pPr>
      <w:r>
        <w:rPr>
          <w:rFonts w:ascii="Calibri" w:hAnsi="Calibri"/>
          <w:color w:val="2D2D2D"/>
          <w:sz w:val="22"/>
        </w:rPr>
        <w:t>WHY NOW IS RIGHT: The SEBI SM-REIT framework (March 2024) is the regulatory green light the market needed. PropShare's BSE listing (December 2024) is the proof-of-concept. The window for a blockchain-native, verification-first platform to establish the moat is open — but it will not stay open indefinitely as incumbents adapt.</w:t>
      </w:r>
    </w:p>
    <w:p>
      <w:r>
        <w:br w:type="page"/>
      </w:r>
    </w:p>
    <w:p>
      <w:pPr>
        <w:pStyle w:val="Heading1"/>
        <w:pBdr>
          <w:bottom w:val="single" w:sz="6" w:space="4" w:color="D1D5DB"/>
        </w:pBdr>
      </w:pPr>
      <w:r>
        <w:rPr>
          <w:rFonts w:ascii="Calibri" w:hAnsi="Calibri"/>
          <w:color w:val="1B365D"/>
        </w:rPr>
        <w:t>SECTION 2: CUSTOMER SEGMENTATION</w:t>
      </w:r>
    </w:p>
    <w:p>
      <w:pPr>
        <w:pStyle w:val="Heading2"/>
      </w:pPr>
      <w:r>
        <w:rPr>
          <w:rFonts w:ascii="Calibri" w:hAnsi="Calibri"/>
          <w:color w:val="2E75B6"/>
        </w:rPr>
        <w:t>2.1 TAM / SAM / SOM Analysis</w:t>
      </w:r>
    </w:p>
    <w:p>
      <w:pPr>
        <w:spacing w:before="240" w:after="80"/>
      </w:pPr>
      <w:r>
        <w:rPr>
          <w:rFonts w:ascii="Calibri" w:hAnsi="Calibri"/>
          <w:b/>
          <w:caps/>
          <w:color w:val="5A5A5A"/>
          <w:sz w:val="18"/>
        </w:rPr>
        <w:t>Table 3 — TAM / SAM / SOM Market Sizing for SolEstate</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232"/>
        <w:gridCol w:w="2232"/>
        <w:gridCol w:w="2232"/>
        <w:gridCol w:w="2232"/>
      </w:tblGrid>
      <w:tr>
        <w:tc>
          <w:tcPr>
            <w:tcW w:type="dxa" w:w="2232"/>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Market Level</w:t>
            </w:r>
          </w:p>
        </w:tc>
        <w:tc>
          <w:tcPr>
            <w:tcW w:type="dxa" w:w="2232"/>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Definition</w:t>
            </w:r>
          </w:p>
        </w:tc>
        <w:tc>
          <w:tcPr>
            <w:tcW w:type="dxa" w:w="2232"/>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Size (2025)</w:t>
            </w:r>
          </w:p>
        </w:tc>
        <w:tc>
          <w:tcPr>
            <w:tcW w:type="dxa" w:w="2232"/>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Basis</w:t>
            </w:r>
          </w:p>
        </w:tc>
      </w:tr>
      <w:tr>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TAM — Total Addressable Market</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India CRE market + NRI annual RE investment</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$59.7B CRE + $13–15B NRI/yr</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IMARC 2025; FEMA/RBI data</w:t>
            </w:r>
          </w:p>
        </w:tc>
      </w:tr>
      <w:tr>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SAM — Serviceable Addressable Market</w:t>
            </w:r>
          </w:p>
        </w:tc>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Tokenizable Grade-A CRE (institutional quality, clear title, ₹50–500Cr assets)</w:t>
            </w:r>
          </w:p>
        </w:tc>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$8–12B (est. 15–20% of CRE)</w:t>
            </w:r>
          </w:p>
        </w:tc>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73% of Grade-A stock in 3 metros; ₹9,800Cr fractional market</w:t>
            </w:r>
          </w:p>
        </w:tc>
      </w:tr>
      <w:tr>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SOM — Serviceable Obtainable Market (3-Year)</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0.3–0.5% of SAM; 5–15 properties tokenized; 500–2,000 investors</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$150–300M (₹1,250–2,500Cr)</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Comparable to hBits/WiseX Year 2–3 trajectory</w:t>
            </w:r>
          </w:p>
        </w:tc>
      </w:tr>
    </w:tbl>
    <w:p>
      <w:pPr>
        <w:spacing w:before="80" w:after="80"/>
      </w:pPr>
    </w:p>
    <w:p>
      <w:pPr>
        <w:jc w:val="left"/>
      </w:pPr>
      <w:r>
        <w:rPr>
          <w:rFonts w:ascii="Calibri" w:hAnsi="Calibri"/>
          <w:b w:val="0"/>
          <w:i w:val="0"/>
          <w:color w:val="2D2D2D"/>
          <w:sz w:val="22"/>
        </w:rPr>
        <w:t>The SOM math: If SolEstate tokenizes 15 properties averaging ₹100 crore each in Year 3, total tokenized value is ₹1,500 crore. At a 1.5% tokenization fee plus 0.75% annual management fee, Year 3 revenue from this base alone is approximately ₹22.5 crore (one-time) plus ₹11.25 crore annually — before trading commissions or data licensing. This is a conservative, achievable target that does not require market leadership.</w:t>
      </w:r>
    </w:p>
    <w:p>
      <w:pPr>
        <w:pStyle w:val="Heading2"/>
      </w:pPr>
      <w:r>
        <w:rPr>
          <w:rFonts w:ascii="Calibri" w:hAnsi="Calibri"/>
          <w:color w:val="2E75B6"/>
        </w:rPr>
        <w:t>2.2 Segment 1: Property Owners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232"/>
        <w:gridCol w:w="2232"/>
        <w:gridCol w:w="2232"/>
        <w:gridCol w:w="2232"/>
      </w:tblGrid>
      <w:tr>
        <w:tc>
          <w:tcPr>
            <w:tcW w:type="dxa" w:w="2232"/>
            <w:shd w:val="clear" w:color="auto" w:fill="F2F6FA"/>
            <w:tcMar>
              <w:top w:w="120" w:type="dxa"/>
              <w:bottom w:w="120" w:type="dxa"/>
              <w:start w:w="160" w:type="dxa"/>
              <w:end w:w="160" w:type="dxa"/>
            </w:tcMar>
          </w:tcPr>
          <w:p>
            <w:pPr>
              <w:spacing w:before="0" w:after="40" w:line="240" w:lineRule="auto"/>
              <w:jc w:val="center"/>
            </w:pPr>
            <w:r/>
            <w:r>
              <w:rPr>
                <w:rFonts w:ascii="Calibri" w:hAnsi="Calibri"/>
                <w:b/>
                <w:color w:val="1B365D"/>
                <w:sz w:val="44"/>
              </w:rPr>
              <w:t>~2.3M</w:t>
            </w:r>
          </w:p>
          <w:p>
            <w:pPr>
              <w:spacing w:before="0" w:after="40" w:line="240" w:lineRule="auto"/>
              <w:jc w:val="center"/>
            </w:pPr>
            <w:r>
              <w:rPr>
                <w:rFonts w:ascii="Calibri" w:hAnsi="Calibri"/>
                <w:b/>
                <w:color w:val="D97706"/>
                <w:sz w:val="20"/>
              </w:rPr>
              <w:t>India total</w:t>
            </w:r>
          </w:p>
          <w:p>
            <w:pPr>
              <w:spacing w:before="40" w:after="0" w:line="240" w:lineRule="auto"/>
              <w:jc w:val="center"/>
            </w:pPr>
            <w:r>
              <w:rPr>
                <w:rFonts w:ascii="Calibri" w:hAnsi="Calibri"/>
                <w:caps/>
                <w:color w:val="8B8B8B"/>
                <w:sz w:val="17"/>
              </w:rPr>
              <w:t>Commercial Property Owners</w:t>
            </w:r>
          </w:p>
        </w:tc>
        <w:tc>
          <w:tcPr>
            <w:tcW w:type="dxa" w:w="2232"/>
            <w:shd w:val="clear" w:color="auto" w:fill="F2F6FA"/>
            <w:tcMar>
              <w:top w:w="120" w:type="dxa"/>
              <w:bottom w:w="120" w:type="dxa"/>
              <w:start w:w="160" w:type="dxa"/>
              <w:end w:w="160" w:type="dxa"/>
            </w:tcMar>
          </w:tcPr>
          <w:p>
            <w:pPr>
              <w:spacing w:before="0" w:after="40" w:line="240" w:lineRule="auto"/>
              <w:jc w:val="center"/>
            </w:pPr>
            <w:r/>
            <w:r>
              <w:rPr>
                <w:rFonts w:ascii="Calibri" w:hAnsi="Calibri"/>
                <w:b/>
                <w:color w:val="1B365D"/>
                <w:sz w:val="44"/>
              </w:rPr>
              <w:t>~45,000</w:t>
            </w:r>
          </w:p>
          <w:p>
            <w:pPr>
              <w:spacing w:before="0" w:after="40" w:line="240" w:lineRule="auto"/>
              <w:jc w:val="center"/>
            </w:pPr>
            <w:r>
              <w:rPr>
                <w:rFonts w:ascii="Calibri" w:hAnsi="Calibri"/>
                <w:b/>
                <w:color w:val="D97706"/>
                <w:sz w:val="20"/>
              </w:rPr>
              <w:t>Top 3 cities</w:t>
            </w:r>
          </w:p>
          <w:p>
            <w:pPr>
              <w:spacing w:before="40" w:after="0" w:line="240" w:lineRule="auto"/>
              <w:jc w:val="center"/>
            </w:pPr>
            <w:r>
              <w:rPr>
                <w:rFonts w:ascii="Calibri" w:hAnsi="Calibri"/>
                <w:caps/>
                <w:color w:val="8B8B8B"/>
                <w:sz w:val="17"/>
              </w:rPr>
              <w:t>Grade-A CRE Holders</w:t>
            </w:r>
          </w:p>
        </w:tc>
        <w:tc>
          <w:tcPr>
            <w:tcW w:type="dxa" w:w="2232"/>
            <w:shd w:val="clear" w:color="auto" w:fill="F2F6FA"/>
            <w:tcMar>
              <w:top w:w="120" w:type="dxa"/>
              <w:bottom w:w="120" w:type="dxa"/>
              <w:start w:w="160" w:type="dxa"/>
              <w:end w:w="160" w:type="dxa"/>
            </w:tcMar>
          </w:tcPr>
          <w:p>
            <w:pPr>
              <w:spacing w:before="0" w:after="40" w:line="240" w:lineRule="auto"/>
              <w:jc w:val="center"/>
            </w:pPr>
            <w:r/>
            <w:r>
              <w:rPr>
                <w:rFonts w:ascii="Calibri" w:hAnsi="Calibri"/>
                <w:b/>
                <w:color w:val="1B365D"/>
                <w:sz w:val="44"/>
              </w:rPr>
              <w:t>8 years</w:t>
            </w:r>
          </w:p>
          <w:p>
            <w:pPr>
              <w:spacing w:before="0" w:after="40" w:line="240" w:lineRule="auto"/>
              <w:jc w:val="center"/>
            </w:pPr>
            <w:r>
              <w:rPr>
                <w:rFonts w:ascii="Calibri" w:hAnsi="Calibri"/>
                <w:b/>
                <w:color w:val="D97706"/>
                <w:sz w:val="20"/>
              </w:rPr>
              <w:t>vs. 3 yrs for equities</w:t>
            </w:r>
          </w:p>
          <w:p>
            <w:pPr>
              <w:spacing w:before="40" w:after="0" w:line="240" w:lineRule="auto"/>
              <w:jc w:val="center"/>
            </w:pPr>
            <w:r>
              <w:rPr>
                <w:rFonts w:ascii="Calibri" w:hAnsi="Calibri"/>
                <w:caps/>
                <w:color w:val="8B8B8B"/>
                <w:sz w:val="17"/>
              </w:rPr>
              <w:t>Avg. CRE Holding Period</w:t>
            </w:r>
          </w:p>
        </w:tc>
        <w:tc>
          <w:tcPr>
            <w:tcW w:type="dxa" w:w="2232"/>
            <w:shd w:val="clear" w:color="auto" w:fill="F2F6FA"/>
            <w:tcMar>
              <w:top w:w="120" w:type="dxa"/>
              <w:bottom w:w="120" w:type="dxa"/>
              <w:start w:w="160" w:type="dxa"/>
              <w:end w:w="160" w:type="dxa"/>
            </w:tcMar>
          </w:tcPr>
          <w:p>
            <w:pPr>
              <w:spacing w:before="0" w:after="40" w:line="240" w:lineRule="auto"/>
              <w:jc w:val="center"/>
            </w:pPr>
            <w:r/>
            <w:r>
              <w:rPr>
                <w:rFonts w:ascii="Calibri" w:hAnsi="Calibri"/>
                <w:b/>
                <w:color w:val="1B365D"/>
                <w:sz w:val="44"/>
              </w:rPr>
              <w:t>4.9M ha</w:t>
            </w:r>
          </w:p>
          <w:p>
            <w:pPr>
              <w:spacing w:before="0" w:after="40" w:line="240" w:lineRule="auto"/>
              <w:jc w:val="center"/>
            </w:pPr>
            <w:r>
              <w:rPr>
                <w:rFonts w:ascii="Calibri" w:hAnsi="Calibri"/>
                <w:b/>
                <w:color w:val="D97706"/>
                <w:sz w:val="20"/>
              </w:rPr>
              <w:t>Systemic problem</w:t>
            </w:r>
          </w:p>
          <w:p>
            <w:pPr>
              <w:spacing w:before="40" w:after="0" w:line="240" w:lineRule="auto"/>
              <w:jc w:val="center"/>
            </w:pPr>
            <w:r>
              <w:rPr>
                <w:rFonts w:ascii="Calibri" w:hAnsi="Calibri"/>
                <w:caps/>
                <w:color w:val="8B8B8B"/>
                <w:sz w:val="17"/>
              </w:rPr>
              <w:t>Land in Title Dispute</w:t>
            </w:r>
          </w:p>
        </w:tc>
      </w:tr>
    </w:tbl>
    <w:p>
      <w:pPr>
        <w:spacing w:before="160" w:after="80"/>
      </w:pPr>
    </w:p>
    <w:p>
      <w:pPr>
        <w:jc w:val="left"/>
      </w:pPr>
      <w:r>
        <w:rPr>
          <w:rFonts w:ascii="Calibri" w:hAnsi="Calibri"/>
          <w:b w:val="0"/>
          <w:i w:val="0"/>
          <w:color w:val="2D2D2D"/>
          <w:sz w:val="22"/>
        </w:rPr>
        <w:t>Property owners are the supply side of the platform — without them, there is nothing to tokenize. The good news is that their pain is acute and well-documented. The average holding period for Indian commercial real estate is approximately 8 years, compared to 3 years for equities, trapping developer and owner capital in single assets. A developer with ₹60 crore locked in an Andheri office building who needs liquidity for a new BKC project cannot easily sell 40% of that asset through traditional channels — the process takes 18–36 months and costs 2–3% in broker fees plus 1–2% in legal fees. Tokenization offers a faster, cheaper alternative.</w:t>
      </w:r>
    </w:p>
    <w:p>
      <w:pPr>
        <w:spacing w:before="240" w:after="80"/>
      </w:pPr>
      <w:r>
        <w:rPr>
          <w:rFonts w:ascii="Calibri" w:hAnsi="Calibri"/>
          <w:b/>
          <w:caps/>
          <w:color w:val="5A5A5A"/>
          <w:sz w:val="18"/>
        </w:rPr>
        <w:t>Table 4 — Property Owner Sub-Segments and Acquisition Strategy</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86"/>
        <w:gridCol w:w="1786"/>
        <w:gridCol w:w="1786"/>
        <w:gridCol w:w="1786"/>
        <w:gridCol w:w="1786"/>
      </w:tblGrid>
      <w:tr>
        <w:tc>
          <w:tcPr>
            <w:tcW w:type="dxa" w:w="1786"/>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Sub-Segment</w:t>
            </w:r>
          </w:p>
        </w:tc>
        <w:tc>
          <w:tcPr>
            <w:tcW w:type="dxa" w:w="1786"/>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Estimated Count</w:t>
            </w:r>
          </w:p>
        </w:tc>
        <w:tc>
          <w:tcPr>
            <w:tcW w:type="dxa" w:w="1786"/>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Asset Size</w:t>
            </w:r>
          </w:p>
        </w:tc>
        <w:tc>
          <w:tcPr>
            <w:tcW w:type="dxa" w:w="1786"/>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Primary Pain</w:t>
            </w:r>
          </w:p>
        </w:tc>
        <w:tc>
          <w:tcPr>
            <w:tcW w:type="dxa" w:w="1786"/>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Acquisition Channel</w:t>
            </w:r>
          </w:p>
        </w:tc>
      </w:tr>
      <w:tr>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Commercial RE Developers (Grade-A)</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~500 nationally</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₹25Cr–₹500Cr per asset</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Capital lock-up; PE funding drying up</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CREDAI, NAREDCO, CRE brokers</w:t>
            </w:r>
          </w:p>
        </w:tc>
      </w:tr>
      <w:tr>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Family Offices (40%+ CRE allocation)</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300–400 formal; 1,200+ informal</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₹500Cr–₹5,000Cr AUM</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Concentration risk; succession complexity; illiquidity</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Legal firms, wealth managers, FICCI</w:t>
            </w:r>
          </w:p>
        </w:tc>
      </w:tr>
      <w:tr>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HNIs with CRE Exposure</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~85,000 (10% of 850K HNIs)</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₹5Cr–₹100Cr per asset</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No price discovery; opaque OTC market</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Wealth managers, LinkedIn, PropTech events</w:t>
            </w:r>
          </w:p>
        </w:tc>
      </w:tr>
      <w:tr>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Institutional Landlords / PSUs</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~200 nationally</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₹100Cr–₹5,000Cr</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Transparency requirements; capital recycling</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Government relations, SEBI sandbox</w:t>
            </w:r>
          </w:p>
        </w:tc>
      </w:tr>
    </w:tbl>
    <w:p>
      <w:pPr>
        <w:spacing w:before="80" w:after="80"/>
      </w:pPr>
    </w:p>
    <w:p>
      <w:pPr>
        <w:pStyle w:val="Heading2"/>
      </w:pPr>
      <w:r>
        <w:rPr>
          <w:rFonts w:ascii="Calibri" w:hAnsi="Calibri"/>
          <w:color w:val="2E75B6"/>
        </w:rPr>
        <w:t>2.3 Segment 2: Investors</w:t>
      </w:r>
    </w:p>
    <w:p>
      <w:pPr>
        <w:jc w:val="left"/>
      </w:pPr>
      <w:r>
        <w:rPr>
          <w:rFonts w:ascii="Calibri" w:hAnsi="Calibri"/>
          <w:b w:val="0"/>
          <w:i w:val="0"/>
          <w:color w:val="2D2D2D"/>
          <w:sz w:val="22"/>
        </w:rPr>
        <w:t>The investor side has a critical structural constraint that every founder in this space must understand before building anything: there are only 650–1,000 SEBI-accredited investors in India. If your platform targets only accredited investors, your entire addressable market is smaller than a mid-sized apartment building's resident count. This is why the SM-REIT framework (₹10 lakh minimum, no accreditation required) is not just a regulatory option — it is a commercial necessity.</w:t>
      </w:r>
    </w:p>
    <w:p>
      <w:pPr>
        <w:spacing w:before="160" w:after="160"/>
        <w:shd w:val="clear" w:color="auto" w:fill="FFFBEB"/>
        <w:pBdr>
          <w:left w:val="single" w:sz="24" w:space="8" w:color="D97706"/>
        </w:pBdr>
        <w:ind w:left="240" w:right="240"/>
      </w:pPr>
      <w:r>
        <w:rPr>
          <w:rFonts w:ascii="Calibri" w:hAnsi="Calibri"/>
          <w:color w:val="2D2D2D"/>
          <w:sz w:val="20"/>
        </w:rPr>
        <w:t>THE ACCREDITED INVESTOR TRAP: Do NOT build a platform that requires SEBI accreditation. With only 650–1,000 accredited investors in India, customer acquisition costs would be catastrophic. Use the SM-REIT framework (₹10 lakh minimum) to access the 850,000 HNI base instead.</w:t>
      </w:r>
    </w:p>
    <w:p>
      <w:pPr>
        <w:spacing w:before="240" w:after="80"/>
      </w:pPr>
      <w:r>
        <w:rPr>
          <w:rFonts w:ascii="Calibri" w:hAnsi="Calibri"/>
          <w:b/>
          <w:caps/>
          <w:color w:val="5A5A5A"/>
          <w:sz w:val="18"/>
        </w:rPr>
        <w:t>Table 5 — Investor Segment Prioritization Matrix</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86"/>
        <w:gridCol w:w="1786"/>
        <w:gridCol w:w="1786"/>
        <w:gridCol w:w="1786"/>
        <w:gridCol w:w="1786"/>
      </w:tblGrid>
      <w:tr>
        <w:tc>
          <w:tcPr>
            <w:tcW w:type="dxa" w:w="1786"/>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Investor Segment</w:t>
            </w:r>
          </w:p>
        </w:tc>
        <w:tc>
          <w:tcPr>
            <w:tcW w:type="dxa" w:w="1786"/>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Size</w:t>
            </w:r>
          </w:p>
        </w:tc>
        <w:tc>
          <w:tcPr>
            <w:tcW w:type="dxa" w:w="1786"/>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Ticket Size</w:t>
            </w:r>
          </w:p>
        </w:tc>
        <w:tc>
          <w:tcPr>
            <w:tcW w:type="dxa" w:w="1786"/>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Priority</w:t>
            </w:r>
          </w:p>
        </w:tc>
        <w:tc>
          <w:tcPr>
            <w:tcW w:type="dxa" w:w="1786"/>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Key Constraint</w:t>
            </w:r>
          </w:p>
        </w:tc>
      </w:tr>
      <w:tr>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NRIs (UAE + USA focus)</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32M+ globally; 8.5M in UAE, 4.5M in USA</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₹10L–₹5Cr</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HIGHEST — Target First</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FEMA compliance; GIFT City structure needed</w:t>
            </w:r>
          </w:p>
        </w:tc>
      </w:tr>
      <w:tr>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Indian HNIs (≥₹5Cr net worth)</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~850,000</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₹25L–₹5Cr</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HIGH — Target via wealth managers</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Reach via B2B distribution, not direct</w:t>
            </w:r>
          </w:p>
        </w:tc>
      </w:tr>
      <w:tr>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SEBI Accredited Investors</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650–1,000</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₹1Cr+</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MEDIUM — Early adopters only</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Tiny pool; high CAC; not scalable alone</w:t>
            </w:r>
          </w:p>
        </w:tc>
      </w:tr>
      <w:tr>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Millennials (₹10L+ investable)</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~12M urban</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₹10L–₹50L</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MEDIUM — Future segment</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Needs SM-REIT framework; regulatory evolution</w:t>
            </w:r>
          </w:p>
        </w:tc>
      </w:tr>
      <w:tr>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Retail Investors (&lt;₹10L)</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Tens of millions</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₹1L–₹10L</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LOW — Year 3+ target</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Regulatory clarity still evolving for this tier</w:t>
            </w:r>
          </w:p>
        </w:tc>
      </w:tr>
    </w:tbl>
    <w:p>
      <w:pPr>
        <w:spacing w:before="80" w:after="80"/>
      </w:pPr>
    </w:p>
    <w:p>
      <w:pPr>
        <w:pStyle w:val="Heading3"/>
      </w:pPr>
      <w:r>
        <w:rPr>
          <w:rFonts w:ascii="Calibri" w:hAnsi="Calibri"/>
          <w:color w:val="4472C4"/>
        </w:rPr>
        <w:t>NRI Sub-Segment: The Highest-Priority Early Target</w:t>
      </w:r>
    </w:p>
    <w:p>
      <w:pPr>
        <w:jc w:val="left"/>
      </w:pPr>
      <w:r>
        <w:rPr>
          <w:rFonts w:ascii="Calibri" w:hAnsi="Calibri"/>
          <w:b w:val="0"/>
          <w:i w:val="0"/>
          <w:color w:val="2D2D2D"/>
          <w:sz w:val="22"/>
        </w:rPr>
        <w:t>NRIs are the single highest-priority investor segment for three compounding reasons. First, they are digitally native and comfortable with app-based financial products — the friction of a blockchain-based platform is lower for them than for traditional Indian HNIs. Second, they are highly motivated: rupee depreciation, India's growth story, and the desire for home-country exposure create strong pull. Third, GIFT City IFSC provides a clean regulatory pathway — NRIs investing through an IFSC entity benefit from FEMA dispensation, 100% repatriation rights, and simplified onboarding. The UAE alone has 8.5 million Indians, many of whom are high-income professionals actively seeking India CRE exposure without the burden of physical property management.</w:t>
      </w:r>
    </w:p>
    <w:p>
      <w:pPr>
        <w:pStyle w:val="Heading2"/>
      </w:pPr>
      <w:r>
        <w:rPr>
          <w:rFonts w:ascii="Calibri" w:hAnsi="Calibri"/>
          <w:color w:val="2E75B6"/>
        </w:rPr>
        <w:t>2.4 Segment 3: Institutional</w:t>
      </w:r>
    </w:p>
    <w:p>
      <w:pPr>
        <w:jc w:val="left"/>
      </w:pPr>
      <w:r>
        <w:rPr>
          <w:rFonts w:ascii="Calibri" w:hAnsi="Calibri"/>
          <w:b w:val="0"/>
          <w:i w:val="0"/>
          <w:color w:val="2D2D2D"/>
          <w:sz w:val="22"/>
        </w:rPr>
        <w:t>Institutional investors — AIFs, wealth managers, and family offices — are a Year 2+ target, not a Day 1 target. However, they are critical to the B2B distribution model. India's top 20 wealth management firms collectively manage ₹15 lakh crore+ in HNI AUM, with 15–25% allocated to real estate. Platforms like 360 ONE (formerly IIFL Wealth), Kotak Wealth Management, and Nuvama Private are the distribution channels that give SolEstate access to thousands of HNI clients without direct customer acquisition costs. The pitch to these firms is not 'invest in us' — it is 'let us be the infrastructure that allows you to offer tokenized CRE to your existing clients.' They keep the client relationship; SolEstate provides the rails.</w:t>
      </w:r>
    </w:p>
    <w:p>
      <w:pPr>
        <w:spacing w:before="240" w:after="80"/>
      </w:pPr>
      <w:r>
        <w:rPr>
          <w:rFonts w:ascii="Calibri" w:hAnsi="Calibri"/>
          <w:b/>
          <w:caps/>
          <w:color w:val="5A5A5A"/>
          <w:sz w:val="18"/>
        </w:rPr>
        <w:t>Table 6 — Institutional Segment Engagement Model and Timeline</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86"/>
        <w:gridCol w:w="1786"/>
        <w:gridCol w:w="1786"/>
        <w:gridCol w:w="1786"/>
        <w:gridCol w:w="1786"/>
      </w:tblGrid>
      <w:tr>
        <w:tc>
          <w:tcPr>
            <w:tcW w:type="dxa" w:w="1786"/>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Institution Type</w:t>
            </w:r>
          </w:p>
        </w:tc>
        <w:tc>
          <w:tcPr>
            <w:tcW w:type="dxa" w:w="1786"/>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Count / Scale</w:t>
            </w:r>
          </w:p>
        </w:tc>
        <w:tc>
          <w:tcPr>
            <w:tcW w:type="dxa" w:w="1786"/>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RE Allocation</w:t>
            </w:r>
          </w:p>
        </w:tc>
        <w:tc>
          <w:tcPr>
            <w:tcW w:type="dxa" w:w="1786"/>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Engagement Model</w:t>
            </w:r>
          </w:p>
        </w:tc>
        <w:tc>
          <w:tcPr>
            <w:tcW w:type="dxa" w:w="1786"/>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Timeline</w:t>
            </w:r>
          </w:p>
        </w:tc>
      </w:tr>
      <w:tr>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Category II AIFs (Real Estate)</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~85 nationally; ₹45,000Cr+ commitments</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100% RE focus</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Secondary liquidity solution for illiquid positions</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Year 2+</w:t>
            </w:r>
          </w:p>
        </w:tc>
      </w:tr>
      <w:tr>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Wealth Management Firms (Top 20)</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₹15L Cr+ combined HNI AUM</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15–25% RE allocation</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White-label tokenization infrastructure; distribution fee</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Year 1–2</w:t>
            </w:r>
          </w:p>
        </w:tc>
      </w:tr>
      <w:tr>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Family Offices (Formal)</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300–400 formal; ₹500–5,000Cr AUM each</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30–50% RE allocation</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Direct pilot partnership; anchor investor role</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Year 1 (pilot)</w:t>
            </w:r>
          </w:p>
        </w:tc>
      </w:tr>
      <w:tr>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CRE Brokers (CBRE, JLL, Anarock)</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National coverage; active deal pipelines</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N/A — intermediaries</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API integration; property pipeline referrals</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Year 1 (partnership)</w:t>
            </w:r>
          </w:p>
        </w:tc>
      </w:tr>
    </w:tbl>
    <w:p>
      <w:pPr>
        <w:spacing w:before="80" w:after="80"/>
      </w:pPr>
    </w:p>
    <w:p>
      <w:pPr>
        <w:pStyle w:val="Heading2"/>
      </w:pPr>
      <w:r>
        <w:rPr>
          <w:rFonts w:ascii="Calibri" w:hAnsi="Calibri"/>
          <w:color w:val="2E75B6"/>
        </w:rPr>
        <w:t>2.5 First Target Recommendation</w:t>
      </w:r>
    </w:p>
    <w:p>
      <w:pPr>
        <w:jc w:val="left"/>
      </w:pPr>
      <w:r>
        <w:rPr>
          <w:rFonts w:ascii="Calibri" w:hAnsi="Calibri"/>
          <w:b w:val="0"/>
          <w:i w:val="0"/>
          <w:color w:val="2D2D2D"/>
          <w:sz w:val="22"/>
        </w:rPr>
        <w:t>Target NRIs in UAE and USA as the primary investor segment, and mid-sized commercial developers in Bengaluru as the primary property owner segment. This combination is optimal for three reasons: NRIs are digitally native, highly motivated, and accessible through online communities without requiring a physical Indian network; Bengaluru developers are the most technically sophisticated in India and operate in the same ecosystem as Karnataka's Bhoomi/Kaveri 2.0 registry (the platform's first integration target); and the Bengaluru market holds 73% of institutional-grade Grade-A CRE alongside Mumbai and Delhi-NCR, providing a deep asset pipeline.</w:t>
      </w:r>
    </w:p>
    <w:p>
      <w:pPr>
        <w:spacing w:before="160" w:after="160"/>
        <w:shd w:val="clear" w:color="auto" w:fill="ECFDF5"/>
        <w:pBdr>
          <w:left w:val="single" w:sz="24" w:space="8" w:color="059669"/>
        </w:pBdr>
        <w:ind w:left="240" w:right="240"/>
      </w:pPr>
      <w:r>
        <w:rPr>
          <w:rFonts w:ascii="Calibri" w:hAnsi="Calibri"/>
          <w:color w:val="2D2D2D"/>
          <w:sz w:val="20"/>
        </w:rPr>
        <w:t>YEAR 1 SUCCESS DEFINITION: 5 properties tokenized on platform (Bengaluru-based, Grade-A commercial, ₹25–100Cr each); 50 verified investors onboarded (mix of NRIs and Bengaluru HNIs); ₹5 crore in total tokenized value; Karnataka registry integration live (even if manual-assisted); SEBI/IFSCA sandbox application submitted.</w:t>
      </w:r>
    </w:p>
    <w:p>
      <w:r>
        <w:br w:type="page"/>
      </w:r>
    </w:p>
    <w:p>
      <w:pPr>
        <w:pStyle w:val="Heading1"/>
        <w:pBdr>
          <w:bottom w:val="single" w:sz="6" w:space="4" w:color="D1D5DB"/>
        </w:pBdr>
      </w:pPr>
      <w:r>
        <w:rPr>
          <w:rFonts w:ascii="Calibri" w:hAnsi="Calibri"/>
          <w:color w:val="1B365D"/>
        </w:rPr>
        <w:t>SECTION 3: REVENUE SCALABILITY</w:t>
      </w:r>
    </w:p>
    <w:p>
      <w:pPr>
        <w:pStyle w:val="Heading2"/>
      </w:pPr>
      <w:r>
        <w:rPr>
          <w:rFonts w:ascii="Calibri" w:hAnsi="Calibri"/>
          <w:color w:val="2E75B6"/>
        </w:rPr>
        <w:t>3.1 Revenue Model — Five Streams</w:t>
      </w:r>
    </w:p>
    <w:p>
      <w:pPr>
        <w:spacing w:before="240" w:after="80"/>
      </w:pPr>
      <w:r>
        <w:rPr>
          <w:rFonts w:ascii="Calibri" w:hAnsi="Calibri"/>
          <w:b/>
          <w:caps/>
          <w:color w:val="5A5A5A"/>
          <w:sz w:val="18"/>
        </w:rPr>
        <w:t>Table 7 — SolEstate Revenue Model by Stream with Projections</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86"/>
        <w:gridCol w:w="1786"/>
        <w:gridCol w:w="1786"/>
        <w:gridCol w:w="1786"/>
        <w:gridCol w:w="1786"/>
      </w:tblGrid>
      <w:tr>
        <w:tc>
          <w:tcPr>
            <w:tcW w:type="dxa" w:w="1786"/>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Revenue Stream</w:t>
            </w:r>
          </w:p>
        </w:tc>
        <w:tc>
          <w:tcPr>
            <w:tcW w:type="dxa" w:w="1786"/>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Mechanism</w:t>
            </w:r>
          </w:p>
        </w:tc>
        <w:tc>
          <w:tcPr>
            <w:tcW w:type="dxa" w:w="1786"/>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Pricing (Industry Benchmark)</w:t>
            </w:r>
          </w:p>
        </w:tc>
        <w:tc>
          <w:tcPr>
            <w:tcW w:type="dxa" w:w="1786"/>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Year 1 Target</w:t>
            </w:r>
          </w:p>
        </w:tc>
        <w:tc>
          <w:tcPr>
            <w:tcW w:type="dxa" w:w="1786"/>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Year 5 Target</w:t>
            </w:r>
          </w:p>
        </w:tc>
      </w:tr>
      <w:tr>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Asset Verification</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Per-property due diligence fee or annual portfolio subscription</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₹50,000–₹5,00,000 per property</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₹50L–₹1Cr (50–100 properties)</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₹5Cr+ (1,000+ properties/year)</w:t>
            </w:r>
          </w:p>
        </w:tc>
      </w:tr>
      <w:tr>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Token Issuance</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Fee at tokenization of each property SPV</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1–3% of total funds raised per asset</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₹2Cr–₹5Cr (5–10 pilot properties)</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₹20Cr+ (50+ properties/year)</w:t>
            </w:r>
          </w:p>
        </w:tc>
      </w:tr>
      <w:tr>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AUM Management / Servicing</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Annual fee on AUM for compliance, reporting, platform maintenance</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0.5–1% of AUM annually</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₹50L (₹50Cr AUM)</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₹10Cr+ (₹1,000Cr AUM)</w:t>
            </w:r>
          </w:p>
        </w:tc>
      </w:tr>
      <w:tr>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Secondary Market Trading</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Commission on each secondary market trade</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0.25–0.75% per transfer</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Minimal (market-building phase)</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₹5Cr+ (active secondary market)</w:t>
            </w:r>
          </w:p>
        </w:tc>
      </w:tr>
      <w:tr>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Data Licensing &amp; API</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Subscription access to verified property database for banks, NBFCs, insurers</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₹5L–₹50L per year per subscriber</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Not applicable (Year 1)</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₹10Cr+ (20%+ of total revenue)</w:t>
            </w:r>
          </w:p>
        </w:tc>
      </w:tr>
    </w:tbl>
    <w:p>
      <w:pPr>
        <w:spacing w:before="80" w:after="80"/>
      </w:pPr>
    </w:p>
    <w:p>
      <w:pPr>
        <w:pStyle w:val="Heading2"/>
      </w:pPr>
      <w:r>
        <w:rPr>
          <w:rFonts w:ascii="Calibri" w:hAnsi="Calibri"/>
          <w:color w:val="2E75B6"/>
        </w:rPr>
        <w:t>3.2 10-Year Financial Projections</w:t>
      </w:r>
    </w:p>
    <w:p>
      <w:pPr>
        <w:spacing w:before="240" w:after="80"/>
      </w:pPr>
      <w:r>
        <w:rPr>
          <w:rFonts w:ascii="Calibri" w:hAnsi="Calibri"/>
          <w:b/>
          <w:caps/>
          <w:color w:val="5A5A5A"/>
          <w:sz w:val="18"/>
        </w:rPr>
        <w:t>Table 8 — 10-Year Revenue Projections by Market Penetration Scenario</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488"/>
        <w:gridCol w:w="1488"/>
        <w:gridCol w:w="1488"/>
        <w:gridCol w:w="1488"/>
        <w:gridCol w:w="1488"/>
        <w:gridCol w:w="1488"/>
      </w:tblGrid>
      <w:tr>
        <w:tc>
          <w:tcPr>
            <w:tcW w:type="dxa" w:w="1488"/>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Scenario</w:t>
            </w:r>
          </w:p>
        </w:tc>
        <w:tc>
          <w:tcPr>
            <w:tcW w:type="dxa" w:w="1488"/>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CRE Penetration</w:t>
            </w:r>
          </w:p>
        </w:tc>
        <w:tc>
          <w:tcPr>
            <w:tcW w:type="dxa" w:w="1488"/>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AUM (Year 5)</w:t>
            </w:r>
          </w:p>
        </w:tc>
        <w:tc>
          <w:tcPr>
            <w:tcW w:type="dxa" w:w="1488"/>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AUM (Year 10)</w:t>
            </w:r>
          </w:p>
        </w:tc>
        <w:tc>
          <w:tcPr>
            <w:tcW w:type="dxa" w:w="1488"/>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Revenue (Year 5)</w:t>
            </w:r>
          </w:p>
        </w:tc>
        <w:tc>
          <w:tcPr>
            <w:tcW w:type="dxa" w:w="1488"/>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Revenue (Year 10)</w:t>
            </w:r>
          </w:p>
        </w:tc>
      </w:tr>
      <w:tr>
        <w:tc>
          <w:tcPr>
            <w:tcW w:type="dxa" w:w="1488"/>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Conservative</w:t>
            </w:r>
          </w:p>
        </w:tc>
        <w:tc>
          <w:tcPr>
            <w:tcW w:type="dxa" w:w="1488"/>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0.5% of SAM</w:t>
            </w:r>
          </w:p>
        </w:tc>
        <w:tc>
          <w:tcPr>
            <w:tcW w:type="dxa" w:w="1488"/>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₹500Cr</w:t>
            </w:r>
          </w:p>
        </w:tc>
        <w:tc>
          <w:tcPr>
            <w:tcW w:type="dxa" w:w="1488"/>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₹2,000Cr</w:t>
            </w:r>
          </w:p>
        </w:tc>
        <w:tc>
          <w:tcPr>
            <w:tcW w:type="dxa" w:w="1488"/>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₹11–15Cr</w:t>
            </w:r>
          </w:p>
        </w:tc>
        <w:tc>
          <w:tcPr>
            <w:tcW w:type="dxa" w:w="1488"/>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₹50–60Cr</w:t>
            </w:r>
          </w:p>
        </w:tc>
      </w:tr>
      <w:tr>
        <w:tc>
          <w:tcPr>
            <w:tcW w:type="dxa" w:w="1488"/>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Moderate</w:t>
            </w:r>
          </w:p>
        </w:tc>
        <w:tc>
          <w:tcPr>
            <w:tcW w:type="dxa" w:w="1488"/>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2% of SAM</w:t>
            </w:r>
          </w:p>
        </w:tc>
        <w:tc>
          <w:tcPr>
            <w:tcW w:type="dxa" w:w="1488"/>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₹2,000Cr</w:t>
            </w:r>
          </w:p>
        </w:tc>
        <w:tc>
          <w:tcPr>
            <w:tcW w:type="dxa" w:w="1488"/>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₹8,000Cr</w:t>
            </w:r>
          </w:p>
        </w:tc>
        <w:tc>
          <w:tcPr>
            <w:tcW w:type="dxa" w:w="1488"/>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₹40–55Cr</w:t>
            </w:r>
          </w:p>
        </w:tc>
        <w:tc>
          <w:tcPr>
            <w:tcW w:type="dxa" w:w="1488"/>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₹180–220Cr</w:t>
            </w:r>
          </w:p>
        </w:tc>
      </w:tr>
      <w:tr>
        <w:tc>
          <w:tcPr>
            <w:tcW w:type="dxa" w:w="1488"/>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Aggressive</w:t>
            </w:r>
          </w:p>
        </w:tc>
        <w:tc>
          <w:tcPr>
            <w:tcW w:type="dxa" w:w="1488"/>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5% of SAM</w:t>
            </w:r>
          </w:p>
        </w:tc>
        <w:tc>
          <w:tcPr>
            <w:tcW w:type="dxa" w:w="1488"/>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₹5,000Cr</w:t>
            </w:r>
          </w:p>
        </w:tc>
        <w:tc>
          <w:tcPr>
            <w:tcW w:type="dxa" w:w="1488"/>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₹20,000Cr</w:t>
            </w:r>
          </w:p>
        </w:tc>
        <w:tc>
          <w:tcPr>
            <w:tcW w:type="dxa" w:w="1488"/>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₹100–130Cr</w:t>
            </w:r>
          </w:p>
        </w:tc>
        <w:tc>
          <w:tcPr>
            <w:tcW w:type="dxa" w:w="1488"/>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₹450–550Cr</w:t>
            </w:r>
          </w:p>
        </w:tc>
      </w:tr>
    </w:tbl>
    <w:p>
      <w:pPr>
        <w:spacing w:before="80" w:after="80"/>
      </w:pPr>
    </w:p>
    <w:p>
      <w:pPr>
        <w:jc w:val="left"/>
      </w:pPr>
      <w:r>
        <w:rPr>
          <w:rFonts w:ascii="Calibri" w:hAnsi="Calibri"/>
          <w:b w:val="0"/>
          <w:i w:val="0"/>
          <w:color w:val="2D2D2D"/>
          <w:sz w:val="22"/>
        </w:rPr>
        <w:t>The conservative scenario (0.5% SAM penetration) is the planning baseline. It requires tokenizing approximately 15–20 properties averaging ₹100 crore each by Year 5 — a target that hBits and WiseX have already exceeded individually. Break-even is projected at approximately Month 18–24, assuming ₹2–3 crore in pre-seed capital covers legal setup, team, and the first 6 months of operations. The business becomes meaningfully revenue-generating (₹5+ crore annually) by Year 3 under the conservative scenario.</w:t>
      </w:r>
    </w:p>
    <w:p>
      <w:pPr>
        <w:pStyle w:val="Heading2"/>
      </w:pPr>
      <w:r>
        <w:rPr>
          <w:rFonts w:ascii="Calibri" w:hAnsi="Calibri"/>
          <w:color w:val="2E75B6"/>
        </w:rPr>
        <w:t>3.3 Unit Economics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232"/>
        <w:gridCol w:w="2232"/>
        <w:gridCol w:w="2232"/>
        <w:gridCol w:w="2232"/>
      </w:tblGrid>
      <w:tr>
        <w:tc>
          <w:tcPr>
            <w:tcW w:type="dxa" w:w="2232"/>
            <w:shd w:val="clear" w:color="auto" w:fill="F2F6FA"/>
            <w:tcMar>
              <w:top w:w="120" w:type="dxa"/>
              <w:bottom w:w="120" w:type="dxa"/>
              <w:start w:w="160" w:type="dxa"/>
              <w:end w:w="160" w:type="dxa"/>
            </w:tcMar>
          </w:tcPr>
          <w:p>
            <w:pPr>
              <w:spacing w:before="0" w:after="40" w:line="240" w:lineRule="auto"/>
              <w:jc w:val="center"/>
            </w:pPr>
            <w:r/>
            <w:r>
              <w:rPr>
                <w:rFonts w:ascii="Calibri" w:hAnsi="Calibri"/>
                <w:b/>
                <w:color w:val="1B365D"/>
                <w:sz w:val="44"/>
              </w:rPr>
              <w:t>~₹2L</w:t>
            </w:r>
          </w:p>
          <w:p>
            <w:pPr>
              <w:spacing w:before="0" w:after="40" w:line="240" w:lineRule="auto"/>
              <w:jc w:val="center"/>
            </w:pPr>
            <w:r>
              <w:rPr>
                <w:rFonts w:ascii="Calibri" w:hAnsi="Calibri"/>
                <w:b/>
                <w:color w:val="D97706"/>
                <w:sz w:val="20"/>
              </w:rPr>
              <w:t>Legal + outreach cost</w:t>
            </w:r>
          </w:p>
          <w:p>
            <w:pPr>
              <w:spacing w:before="40" w:after="0" w:line="240" w:lineRule="auto"/>
              <w:jc w:val="center"/>
            </w:pPr>
            <w:r>
              <w:rPr>
                <w:rFonts w:ascii="Calibri" w:hAnsi="Calibri"/>
                <w:caps/>
                <w:color w:val="8B8B8B"/>
                <w:sz w:val="17"/>
              </w:rPr>
              <w:t>Property Owner CAC</w:t>
            </w:r>
          </w:p>
        </w:tc>
        <w:tc>
          <w:tcPr>
            <w:tcW w:type="dxa" w:w="2232"/>
            <w:shd w:val="clear" w:color="auto" w:fill="F2F6FA"/>
            <w:tcMar>
              <w:top w:w="120" w:type="dxa"/>
              <w:bottom w:w="120" w:type="dxa"/>
              <w:start w:w="160" w:type="dxa"/>
              <w:end w:w="160" w:type="dxa"/>
            </w:tcMar>
          </w:tcPr>
          <w:p>
            <w:pPr>
              <w:spacing w:before="0" w:after="40" w:line="240" w:lineRule="auto"/>
              <w:jc w:val="center"/>
            </w:pPr>
            <w:r/>
            <w:r>
              <w:rPr>
                <w:rFonts w:ascii="Calibri" w:hAnsi="Calibri"/>
                <w:b/>
                <w:color w:val="1B365D"/>
                <w:sz w:val="44"/>
              </w:rPr>
              <w:t>~₹69L</w:t>
            </w:r>
          </w:p>
          <w:p>
            <w:pPr>
              <w:spacing w:before="0" w:after="40" w:line="240" w:lineRule="auto"/>
              <w:jc w:val="center"/>
            </w:pPr>
            <w:r>
              <w:rPr>
                <w:rFonts w:ascii="Calibri" w:hAnsi="Calibri"/>
                <w:b/>
                <w:color w:val="D97706"/>
                <w:sz w:val="20"/>
              </w:rPr>
              <w:t>34.5x CAC ratio</w:t>
            </w:r>
          </w:p>
          <w:p>
            <w:pPr>
              <w:spacing w:before="40" w:after="0" w:line="240" w:lineRule="auto"/>
              <w:jc w:val="center"/>
            </w:pPr>
            <w:r>
              <w:rPr>
                <w:rFonts w:ascii="Calibri" w:hAnsi="Calibri"/>
                <w:caps/>
                <w:color w:val="8B8B8B"/>
                <w:sz w:val="17"/>
              </w:rPr>
              <w:t>Property Owner LTV</w:t>
            </w:r>
          </w:p>
        </w:tc>
        <w:tc>
          <w:tcPr>
            <w:tcW w:type="dxa" w:w="2232"/>
            <w:shd w:val="clear" w:color="auto" w:fill="F2F6FA"/>
            <w:tcMar>
              <w:top w:w="120" w:type="dxa"/>
              <w:bottom w:w="120" w:type="dxa"/>
              <w:start w:w="160" w:type="dxa"/>
              <w:end w:w="160" w:type="dxa"/>
            </w:tcMar>
          </w:tcPr>
          <w:p>
            <w:pPr>
              <w:spacing w:before="0" w:after="40" w:line="240" w:lineRule="auto"/>
              <w:jc w:val="center"/>
            </w:pPr>
            <w:r/>
            <w:r>
              <w:rPr>
                <w:rFonts w:ascii="Calibri" w:hAnsi="Calibri"/>
                <w:b/>
                <w:color w:val="1B365D"/>
                <w:sz w:val="44"/>
              </w:rPr>
              <w:t>~₹5,000</w:t>
            </w:r>
          </w:p>
          <w:p>
            <w:pPr>
              <w:spacing w:before="0" w:after="40" w:line="240" w:lineRule="auto"/>
              <w:jc w:val="center"/>
            </w:pPr>
            <w:r>
              <w:rPr>
                <w:rFonts w:ascii="Calibri" w:hAnsi="Calibri"/>
                <w:b/>
                <w:color w:val="D97706"/>
                <w:sz w:val="20"/>
              </w:rPr>
              <w:t>NRI/HNI via content</w:t>
            </w:r>
          </w:p>
          <w:p>
            <w:pPr>
              <w:spacing w:before="40" w:after="0" w:line="240" w:lineRule="auto"/>
              <w:jc w:val="center"/>
            </w:pPr>
            <w:r>
              <w:rPr>
                <w:rFonts w:ascii="Calibri" w:hAnsi="Calibri"/>
                <w:caps/>
                <w:color w:val="8B8B8B"/>
                <w:sz w:val="17"/>
              </w:rPr>
              <w:t>Investor CAC (digital)</w:t>
            </w:r>
          </w:p>
        </w:tc>
        <w:tc>
          <w:tcPr>
            <w:tcW w:type="dxa" w:w="2232"/>
            <w:shd w:val="clear" w:color="auto" w:fill="F2F6FA"/>
            <w:tcMar>
              <w:top w:w="120" w:type="dxa"/>
              <w:bottom w:w="120" w:type="dxa"/>
              <w:start w:w="160" w:type="dxa"/>
              <w:end w:w="160" w:type="dxa"/>
            </w:tcMar>
          </w:tcPr>
          <w:p>
            <w:pPr>
              <w:spacing w:before="0" w:after="40" w:line="240" w:lineRule="auto"/>
              <w:jc w:val="center"/>
            </w:pPr>
            <w:r/>
            <w:r>
              <w:rPr>
                <w:rFonts w:ascii="Calibri" w:hAnsi="Calibri"/>
                <w:b/>
                <w:color w:val="1B365D"/>
                <w:sz w:val="44"/>
              </w:rPr>
              <w:t>~82%</w:t>
            </w:r>
          </w:p>
          <w:p>
            <w:pPr>
              <w:spacing w:before="0" w:after="40" w:line="240" w:lineRule="auto"/>
              <w:jc w:val="center"/>
            </w:pPr>
            <w:r>
              <w:rPr>
                <w:rFonts w:ascii="Calibri" w:hAnsi="Calibri"/>
                <w:b/>
                <w:color w:val="D97706"/>
                <w:sz w:val="20"/>
              </w:rPr>
              <w:t>Post legal/compliance</w:t>
            </w:r>
          </w:p>
          <w:p>
            <w:pPr>
              <w:spacing w:before="40" w:after="0" w:line="240" w:lineRule="auto"/>
              <w:jc w:val="center"/>
            </w:pPr>
            <w:r>
              <w:rPr>
                <w:rFonts w:ascii="Calibri" w:hAnsi="Calibri"/>
                <w:caps/>
                <w:color w:val="8B8B8B"/>
                <w:sz w:val="17"/>
              </w:rPr>
              <w:t>Blended Gross Margin</w:t>
            </w:r>
          </w:p>
        </w:tc>
      </w:tr>
    </w:tbl>
    <w:p>
      <w:pPr>
        <w:spacing w:before="160" w:after="80"/>
      </w:pPr>
    </w:p>
    <w:p>
      <w:pPr>
        <w:jc w:val="left"/>
      </w:pPr>
      <w:r>
        <w:rPr>
          <w:rFonts w:ascii="Calibri" w:hAnsi="Calibri"/>
          <w:b w:val="0"/>
          <w:i w:val="0"/>
          <w:color w:val="2D2D2D"/>
          <w:sz w:val="22"/>
        </w:rPr>
        <w:t>The property owner LTV calculation: A ₹100 crore property generates a 1.5% tokenization fee (₹1.5 crore one-time) plus 0.75% annual management fee (₹75 lakh/year). Over a 5-year hold period, total LTV per property is approximately ₹5.25 crore. Against a CAC of ₹1–2 lakh (legal due diligence, outreach, pilot costs), the LTV:CAC ratio is approximately 26–52x. The blended gross margin of ~82% reflects the platform's asset-light model — the primary costs are legal/compliance (fixed per property) and technology infrastructure (largely fixed), not variable costs that scale with AUM.</w:t>
      </w:r>
    </w:p>
    <w:p>
      <w:pPr>
        <w:pStyle w:val="Heading2"/>
      </w:pPr>
      <w:r>
        <w:rPr>
          <w:rFonts w:ascii="Calibri" w:hAnsi="Calibri"/>
          <w:color w:val="2E75B6"/>
        </w:rPr>
        <w:t>3.4 Revenue Sensitivity Analysis</w:t>
      </w:r>
    </w:p>
    <w:p>
      <w:pPr>
        <w:pStyle w:val="ListBullet"/>
      </w:pPr>
      <w:r>
        <w:rPr>
          <w:rFonts w:ascii="Calibri" w:hAnsi="Calibri"/>
          <w:color w:val="2D2D2D"/>
          <w:sz w:val="22"/>
        </w:rPr>
        <w:t>LEVER #1 — Properties onboarded: Each additional ₹100Cr property generates ₹1.5Cr in issuance fees plus ₹75L/year in management fees. Adding 5 properties in Year 1 vs. 2 properties changes Year 1 revenue by ₹3.75Cr — this is the single most important operational metric.</w:t>
      </w:r>
    </w:p>
    <w:p>
      <w:pPr>
        <w:pStyle w:val="ListBullet"/>
      </w:pPr>
      <w:r>
        <w:rPr>
          <w:rFonts w:ascii="Calibri" w:hAnsi="Calibri"/>
          <w:color w:val="2D2D2D"/>
          <w:sz w:val="22"/>
        </w:rPr>
        <w:t>LOW TRADING VOLUME (Year 1–2): If secondary market trading is minimal in the first two years (likely), the business still survives on verification fees + issuance fees. Trading commissions are a Year 3+ revenue driver — do not model them as significant in Year 1.</w:t>
      </w:r>
    </w:p>
    <w:p>
      <w:pPr>
        <w:pStyle w:val="ListBullet"/>
      </w:pPr>
      <w:r>
        <w:rPr>
          <w:rFonts w:ascii="Calibri" w:hAnsi="Calibri"/>
          <w:color w:val="2D2D2D"/>
          <w:sz w:val="22"/>
        </w:rPr>
        <w:t>DATA LICENSING INFLECTION: The data/API licensing stream becomes significant at approximately 500 verified properties (Year 3–4). At that scale, banks and NBFCs will pay ₹5–50 lakh annually for API access to the verified property database. This stream has near-100% gross margin and no incremental cost — it is the long-term value driver.</w:t>
      </w:r>
    </w:p>
    <w:p>
      <w:pPr>
        <w:pStyle w:val="ListBullet"/>
      </w:pPr>
      <w:r>
        <w:rPr>
          <w:rFonts w:ascii="Calibri" w:hAnsi="Calibri"/>
          <w:color w:val="2D2D2D"/>
          <w:sz w:val="22"/>
        </w:rPr>
        <w:t>BIGGEST FINANCIAL RISK: The first 12–18 months are pre-revenue or minimal-revenue. The platform needs ₹2–3 crore in pre-seed capital to survive to first meaningful revenue. Without this capital, the legal setup, team, and government relations work cannot be funded.</w:t>
      </w:r>
    </w:p>
    <w:p>
      <w:r>
        <w:br w:type="page"/>
      </w:r>
    </w:p>
    <w:p>
      <w:pPr>
        <w:pStyle w:val="Heading1"/>
        <w:pBdr>
          <w:bottom w:val="single" w:sz="6" w:space="4" w:color="D1D5DB"/>
        </w:pBdr>
      </w:pPr>
      <w:r>
        <w:rPr>
          <w:rFonts w:ascii="Calibri" w:hAnsi="Calibri"/>
          <w:color w:val="1B365D"/>
        </w:rPr>
        <w:t>SECTION 4: COMPETITIVE MOAT</w:t>
      </w:r>
    </w:p>
    <w:p>
      <w:pPr>
        <w:pStyle w:val="Heading2"/>
      </w:pPr>
      <w:r>
        <w:rPr>
          <w:rFonts w:ascii="Calibri" w:hAnsi="Calibri"/>
          <w:color w:val="2E75B6"/>
        </w:rPr>
        <w:t>4.1 Why Verification Is the Real Moat</w:t>
      </w:r>
    </w:p>
    <w:p>
      <w:pPr>
        <w:jc w:val="left"/>
      </w:pPr>
      <w:r>
        <w:rPr>
          <w:rFonts w:ascii="Calibri" w:hAnsi="Calibri"/>
          <w:b w:val="0"/>
          <w:i w:val="0"/>
          <w:color w:val="2D2D2D"/>
          <w:sz w:val="22"/>
        </w:rPr>
        <w:t>Every existing Indian fractional real estate platform has the same fatal vulnerability: no one trusts the title. India has over 4.9 million hectares of land under active legal dispute. The current verification process for a commercial property involves a title search at the sub-registrar's office (15–20 days), an encumbrance certificate check (5–7 days), a CERSAI/NeSL charge search (3–5 days), RERA compliance verification (2–3 days), and a legal opinion from a qualified advocate — totaling 30–45 days and costing ₹50,000–₹2,00,000. The process is manual, non-standardized, and still unreliable. A platform that automates even 60% of this process creates an immediate, quantifiable value proposition: 48-hour turnaround at a fraction of the cost. But the deeper value is the data accumulation — every verified property adds to a proprietary database that becomes progressively harder to replicate.</w:t>
      </w:r>
    </w:p>
    <w:p>
      <w:pPr>
        <w:spacing w:before="240" w:after="80"/>
      </w:pPr>
      <w:r>
        <w:rPr>
          <w:rFonts w:ascii="Calibri" w:hAnsi="Calibri"/>
          <w:b/>
          <w:caps/>
          <w:color w:val="5A5A5A"/>
          <w:sz w:val="18"/>
        </w:rPr>
        <w:t>Table 9 — Property Verification Process: Current State vs. SolEstate Automation Target</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86"/>
        <w:gridCol w:w="1786"/>
        <w:gridCol w:w="1786"/>
        <w:gridCol w:w="1786"/>
        <w:gridCol w:w="1786"/>
      </w:tblGrid>
      <w:tr>
        <w:tc>
          <w:tcPr>
            <w:tcW w:type="dxa" w:w="1786"/>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Verification Component</w:t>
            </w:r>
          </w:p>
        </w:tc>
        <w:tc>
          <w:tcPr>
            <w:tcW w:type="dxa" w:w="1786"/>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Current Process</w:t>
            </w:r>
          </w:p>
        </w:tc>
        <w:tc>
          <w:tcPr>
            <w:tcW w:type="dxa" w:w="1786"/>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Timeline</w:t>
            </w:r>
          </w:p>
        </w:tc>
        <w:tc>
          <w:tcPr>
            <w:tcW w:type="dxa" w:w="1786"/>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Cost</w:t>
            </w:r>
          </w:p>
        </w:tc>
        <w:tc>
          <w:tcPr>
            <w:tcW w:type="dxa" w:w="1786"/>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SolEstate Automation</w:t>
            </w:r>
          </w:p>
        </w:tc>
      </w:tr>
      <w:tr>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Title Search (Sub-Registrar)</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Manual visit or empaneled lawyer</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15–20 days</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₹10,000–₹50,000</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Karnataka Bhoomi/Kaveri 2.0 API (6–12 months to integrate)</w:t>
            </w:r>
          </w:p>
        </w:tc>
      </w:tr>
      <w:tr>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Encumbrance Certificate</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Manual portal check or lawyer</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5–7 days</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₹5,000–₹20,000</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Automated via state registry API</w:t>
            </w:r>
          </w:p>
        </w:tc>
      </w:tr>
      <w:tr>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NeSL/CERSAI Charge Search</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Manual search or empaneled lawyer</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3–5 days</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₹5,000–₹15,000</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NeSL API (Credit Facility Report, Record of Default, Debt Query)</w:t>
            </w:r>
          </w:p>
        </w:tc>
      </w:tr>
      <w:tr>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RERA Compliance Check</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Manual portal verification</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2–3 days</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₹2,000–₹10,000</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RERA API integration (state-by-state)</w:t>
            </w:r>
          </w:p>
        </w:tc>
      </w:tr>
      <w:tr>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Legal Opinion</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Qualified advocate review</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5–10 days</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₹25,000–₹1,00,000</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AI-assisted pre-screening; human review for final sign-off</w:t>
            </w:r>
          </w:p>
        </w:tc>
      </w:tr>
      <w:tr>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TOTAL (Current)</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Sequential manual process</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30–45 days</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₹50,000–₹2,00,000</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Target: 48 hours at ₹10,000–₹50,000</w:t>
            </w:r>
          </w:p>
        </w:tc>
      </w:tr>
    </w:tbl>
    <w:p>
      <w:pPr>
        <w:spacing w:before="80" w:after="80"/>
      </w:pPr>
    </w:p>
    <w:p>
      <w:pPr>
        <w:pStyle w:val="Heading3"/>
      </w:pPr>
      <w:r>
        <w:rPr>
          <w:rFonts w:ascii="Calibri" w:hAnsi="Calibri"/>
          <w:color w:val="4472C4"/>
        </w:rPr>
        <w:t>State Registry Integration Reality</w:t>
      </w:r>
    </w:p>
    <w:p>
      <w:pPr>
        <w:spacing w:before="240" w:after="80"/>
      </w:pPr>
      <w:r>
        <w:rPr>
          <w:rFonts w:ascii="Calibri" w:hAnsi="Calibri"/>
          <w:b/>
          <w:caps/>
          <w:color w:val="5A5A5A"/>
          <w:sz w:val="18"/>
        </w:rPr>
        <w:t>Table 10 — State Land Registry API Readiness Assessment (2025–2026)</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86"/>
        <w:gridCol w:w="1786"/>
        <w:gridCol w:w="1786"/>
        <w:gridCol w:w="1786"/>
        <w:gridCol w:w="1786"/>
      </w:tblGrid>
      <w:tr>
        <w:tc>
          <w:tcPr>
            <w:tcW w:type="dxa" w:w="1786"/>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State</w:t>
            </w:r>
          </w:p>
        </w:tc>
        <w:tc>
          <w:tcPr>
            <w:tcW w:type="dxa" w:w="1786"/>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System</w:t>
            </w:r>
          </w:p>
        </w:tc>
        <w:tc>
          <w:tcPr>
            <w:tcW w:type="dxa" w:w="1786"/>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API Status</w:t>
            </w:r>
          </w:p>
        </w:tc>
        <w:tc>
          <w:tcPr>
            <w:tcW w:type="dxa" w:w="1786"/>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Priority</w:t>
            </w:r>
          </w:p>
        </w:tc>
        <w:tc>
          <w:tcPr>
            <w:tcW w:type="dxa" w:w="1786"/>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Recommended Approach</w:t>
            </w:r>
          </w:p>
        </w:tc>
      </w:tr>
      <w:tr>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Karnataka</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Bhoomi / Kaveri 2.0</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Most advanced — API access via Karnataka Data Sharing Framework for registered entities</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 — START HERE</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Apply for registered entity status immediately; fastest path to working integration</w:t>
            </w:r>
          </w:p>
        </w:tc>
      </w:tr>
      <w:tr>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Telangana</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Dharani / Maa Bhoomi</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API access available for registered entities; integrated system launched 2020</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 — Pursue in parallel</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Strong starting point for South India; pair with Karnataka for dual-state launch</w:t>
            </w:r>
          </w:p>
        </w:tc>
      </w:tr>
      <w:tr>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Maharashtra</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MahaBhoomi / IGR</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No official public API; requires formal MoU with state government</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 — Critical for Mumbai</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Pursue MoU; partner with empaneled lawyers in interim</w:t>
            </w:r>
          </w:p>
        </w:tc>
      </w:tr>
      <w:tr>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Delhi</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DLR (Delhi Land Records)</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Digitized; limited API access; no documented developer pathway</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 — Year 2+</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Partner with empaneled lawyers; pursue government partnership via DPIIT</w:t>
            </w:r>
          </w:p>
        </w:tc>
      </w:tr>
    </w:tbl>
    <w:p>
      <w:pPr>
        <w:spacing w:before="80" w:after="80"/>
      </w:pPr>
    </w:p>
    <w:p>
      <w:pPr>
        <w:spacing w:before="160" w:after="160"/>
        <w:shd w:val="clear" w:color="auto" w:fill="F2F6FA"/>
        <w:pBdr>
          <w:left w:val="single" w:sz="24" w:space="8" w:color="2E75B6"/>
        </w:pBdr>
        <w:ind w:left="240" w:right="240"/>
      </w:pPr>
      <w:r>
        <w:rPr>
          <w:rFonts w:ascii="Calibri" w:hAnsi="Calibri"/>
          <w:color w:val="2D2D2D"/>
          <w:sz w:val="20"/>
        </w:rPr>
        <w:t>COMPETITIVE ADVANTAGE: No Indian proptech platform has automated NeSL/CERSAI charge searches end-to-end. Manual NeSL/CERSAI searches currently take 2–3 weeks and require physical visits or empaneled lawyers. Automated API integration reduces this to minutes. This single capability alone justifies the platform's verification fee structure.</w:t>
      </w:r>
    </w:p>
    <w:p>
      <w:pPr>
        <w:pStyle w:val="Heading2"/>
      </w:pPr>
      <w:r>
        <w:rPr>
          <w:rFonts w:ascii="Calibri" w:hAnsi="Calibri"/>
          <w:color w:val="2E75B6"/>
        </w:rPr>
        <w:t>4.2 Solana: Honest Technical Assessment</w:t>
      </w:r>
    </w:p>
    <w:p>
      <w:pPr>
        <w:spacing w:before="240" w:after="80"/>
      </w:pPr>
      <w:r>
        <w:rPr>
          <w:rFonts w:ascii="Calibri" w:hAnsi="Calibri"/>
          <w:b/>
          <w:caps/>
          <w:color w:val="5A5A5A"/>
          <w:sz w:val="18"/>
        </w:rPr>
        <w:t>Table 11 — Blockchain Infrastructure Comparison for Indian RE Tokenization</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232"/>
        <w:gridCol w:w="2232"/>
        <w:gridCol w:w="2232"/>
        <w:gridCol w:w="2232"/>
      </w:tblGrid>
      <w:tr>
        <w:tc>
          <w:tcPr>
            <w:tcW w:type="dxa" w:w="2232"/>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Metric</w:t>
            </w:r>
          </w:p>
        </w:tc>
        <w:tc>
          <w:tcPr>
            <w:tcW w:type="dxa" w:w="2232"/>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Ethereum L1</w:t>
            </w:r>
          </w:p>
        </w:tc>
        <w:tc>
          <w:tcPr>
            <w:tcW w:type="dxa" w:w="2232"/>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Polygon PoS</w:t>
            </w:r>
          </w:p>
        </w:tc>
        <w:tc>
          <w:tcPr>
            <w:tcW w:type="dxa" w:w="2232"/>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Solana L1</w:t>
            </w:r>
          </w:p>
        </w:tc>
      </w:tr>
      <w:tr>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Theoretical TPS</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15–30</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7,000–10,000 (theoretical 65,000)</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65,000 (sustained ~1,100)</w:t>
            </w:r>
          </w:p>
        </w:tc>
      </w:tr>
      <w:tr>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Transaction Cost</w:t>
            </w:r>
          </w:p>
        </w:tc>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$1–$50 (gas fees)</w:t>
            </w:r>
          </w:p>
        </w:tc>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&lt; $0.01</w:t>
            </w:r>
          </w:p>
        </w:tc>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$0.00025</w:t>
            </w:r>
          </w:p>
        </w:tc>
      </w:tr>
      <w:tr>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Cost: 1M Trades/Year</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$1M–$50M</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$1,000–$10,000</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~$250</w:t>
            </w:r>
          </w:p>
        </w:tc>
      </w:tr>
      <w:tr>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RWA Market Share</w:t>
            </w:r>
          </w:p>
        </w:tc>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~55% of all tokenized value</w:t>
            </w:r>
          </w:p>
        </w:tc>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Growing enterprise adoption</w:t>
            </w:r>
          </w:p>
        </w:tc>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$407M TVL</w:t>
            </w:r>
          </w:p>
        </w:tc>
      </w:tr>
      <w:tr>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Institutional Preference</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Dominant (BlackRock BUIDL)</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Enterprise pilots</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Franklin Templeton FOBXX</w:t>
            </w:r>
          </w:p>
        </w:tc>
      </w:tr>
      <w:tr>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Uptime (2024–2025)</w:t>
            </w:r>
          </w:p>
        </w:tc>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Near 100%</w:t>
            </w:r>
          </w:p>
        </w:tc>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Near 100%</w:t>
            </w:r>
          </w:p>
        </w:tc>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16+ months post-Feb 2024 outage</w:t>
            </w:r>
          </w:p>
        </w:tc>
      </w:tr>
      <w:tr>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Developer Ecosystem</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Solidity — largest pool</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Solidity (EVM compatible)</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Rust — smaller but growing</w:t>
            </w:r>
          </w:p>
        </w:tc>
      </w:tr>
    </w:tbl>
    <w:p>
      <w:pPr>
        <w:spacing w:before="80" w:after="80"/>
      </w:pPr>
    </w:p>
    <w:p>
      <w:pPr>
        <w:jc w:val="left"/>
      </w:pPr>
      <w:r>
        <w:rPr>
          <w:rFonts w:ascii="Calibri" w:hAnsi="Calibri"/>
          <w:b w:val="0"/>
          <w:i w:val="0"/>
          <w:color w:val="2D2D2D"/>
          <w:sz w:val="22"/>
        </w:rPr>
        <w:t>The cost comparison at scale is decisive for a retail-focused platform. At one million secondary market trades per year — a reasonable target for a platform with 10,000 active investors — Solana's total transaction cost is approximately $250. The equivalent on Ethereum L1 would be $1–50 million. For a platform targeting ₹1 lakh minimum investments, Ethereum L1 transaction costs would consume a significant percentage of the investment value on each trade, making the secondary market economically unviable for retail participants. Solana's outage history (six significant incidents between 2021 and 2024, including a 17-hour outage in September 2021 and a 5-hour outage in February 2024) is a legitimate concern. However, the network has maintained 16+ months of continuous uptime since February 2024, and the introduction of the Firedancer client and Jito validators represents significant infrastructure maturation.</w:t>
      </w:r>
    </w:p>
    <w:p>
      <w:pPr>
        <w:pStyle w:val="Heading3"/>
      </w:pPr>
      <w:r>
        <w:rPr>
          <w:rFonts w:ascii="Calibri" w:hAnsi="Calibri"/>
          <w:color w:val="4472C4"/>
        </w:rPr>
        <w:t>Recommended Architecture: The Hybrid Approach</w:t>
      </w:r>
    </w:p>
    <w:p>
      <w:pPr>
        <w:pStyle w:val="ListBullet"/>
      </w:pPr>
      <w:r>
        <w:rPr>
          <w:rFonts w:ascii="Calibri" w:hAnsi="Calibri"/>
          <w:color w:val="2D2D2D"/>
          <w:sz w:val="22"/>
        </w:rPr>
        <w:t>RECOMMENDED — Option A (Hybrid): Solana serves as the trading and exchange layer for secondary market transactions, leveraging sub-cent costs and high throughput. Ethereum or Polygon serves as the legal token of record — the authoritative on-chain representation of ownership that institutional investors and regulators recognize. This mirrors how traditional finance separates trading infrastructure from settlement infrastructure.</w:t>
      </w:r>
    </w:p>
    <w:p>
      <w:pPr>
        <w:pStyle w:val="ListBullet"/>
      </w:pPr>
      <w:r>
        <w:rPr>
          <w:rFonts w:ascii="Calibri" w:hAnsi="Calibri"/>
          <w:color w:val="2D2D2D"/>
          <w:sz w:val="22"/>
        </w:rPr>
        <w:t>Option B (Solana with Circuit Breakers): Pure Solana deployment with automated circuit breakers that pause trading if the network experiences degraded performance. Ownership records mirrored on Ethereum as a read-only backup. Simpler to implement but exposes the platform to Solana downtime risk during trading hours.</w:t>
      </w:r>
    </w:p>
    <w:p>
      <w:pPr>
        <w:pStyle w:val="ListBullet"/>
      </w:pPr>
      <w:r>
        <w:rPr>
          <w:rFonts w:ascii="Calibri" w:hAnsi="Calibri"/>
          <w:color w:val="2D2D2D"/>
          <w:sz w:val="22"/>
        </w:rPr>
        <w:t>Option C (Start on Polygon, Migrate Later): Launch on Polygon (EVM-compatible, sub-cent costs, near-100% uptime) and plan migration to Solana when ecosystem matures. Lower technical risk, faster time-to-market, but sacrifices Solana's cost advantage and ecosystem positioning.</w:t>
      </w:r>
    </w:p>
    <w:p>
      <w:pPr>
        <w:pStyle w:val="Heading2"/>
      </w:pPr>
      <w:r>
        <w:rPr>
          <w:rFonts w:ascii="Calibri" w:hAnsi="Calibri"/>
          <w:color w:val="2E75B6"/>
        </w:rPr>
        <w:t>4.3 Competitor Positioning Matrix</w:t>
      </w:r>
    </w:p>
    <w:p>
      <w:pPr>
        <w:spacing w:before="240" w:after="80"/>
      </w:pPr>
      <w:r>
        <w:rPr>
          <w:rFonts w:ascii="Calibri" w:hAnsi="Calibri"/>
          <w:b/>
          <w:caps/>
          <w:color w:val="5A5A5A"/>
          <w:sz w:val="18"/>
        </w:rPr>
        <w:t>Table 12 — Competitive Differentiation Matrix: SolEstate vs. Indian Fractional RE Platforms</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232"/>
        <w:gridCol w:w="2232"/>
        <w:gridCol w:w="2232"/>
        <w:gridCol w:w="2232"/>
      </w:tblGrid>
      <w:tr>
        <w:tc>
          <w:tcPr>
            <w:tcW w:type="dxa" w:w="2232"/>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Platform</w:t>
            </w:r>
          </w:p>
        </w:tc>
        <w:tc>
          <w:tcPr>
            <w:tcW w:type="dxa" w:w="2232"/>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Strengths</w:t>
            </w:r>
          </w:p>
        </w:tc>
        <w:tc>
          <w:tcPr>
            <w:tcW w:type="dxa" w:w="2232"/>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Critical Weakness</w:t>
            </w:r>
          </w:p>
        </w:tc>
        <w:tc>
          <w:tcPr>
            <w:tcW w:type="dxa" w:w="2232"/>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SolEstate Advantage</w:t>
            </w:r>
          </w:p>
        </w:tc>
      </w:tr>
      <w:tr>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hBits</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Largest evaluated AUM (₹25,000Cr); SEBI SM-REIT compliant; 100,000+ users; 8–10% rental yields</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No blockchain; ₹10L minimum excludes retail; no secondary market liquidity</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Blockchain-native secondary market; retail-accessible (₹1L minimum); automated verification vs. manual</w:t>
            </w:r>
          </w:p>
        </w:tc>
      </w:tr>
      <w:tr>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PropShare</w:t>
            </w:r>
          </w:p>
        </w:tc>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Institutional-grade; SEBI-registered AIF; premium assets; BSE-listed SM-REIT</w:t>
            </w:r>
          </w:p>
        </w:tc>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No blockchain; ₹10–25L minimum; no secondary market; excludes retail entirely</w:t>
            </w:r>
          </w:p>
        </w:tc>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Same institutional quality, blockchain-native, retail-accessible, liquid</w:t>
            </w:r>
          </w:p>
        </w:tc>
      </w:tr>
      <w:tr>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Strata (Everstrat)</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Achieved scale; received SM-REIT license Jan 2025</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Surrendered SEBI license 5 months later; active controversy with builder Avigna; SEBI investor caution warning issued</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Regulatory stability; blockchain transparency; no controversy; verification moat</w:t>
            </w:r>
          </w:p>
        </w:tc>
      </w:tr>
      <w:tr>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RealX</w:t>
            </w:r>
          </w:p>
        </w:tc>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Innovative SDR model; low minimums (₹5,000); direct co-ownership; no SPV needed</w:t>
            </w:r>
          </w:p>
        </w:tc>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Only $83.6K raised across 3 rounds; limited deal flow; regulatory risk of SDR classification; no secondary market</w:t>
            </w:r>
          </w:p>
        </w:tc>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Better funded; SEBI-compliant SPV structure; automated verification; liquid secondary market</w:t>
            </w:r>
          </w:p>
        </w:tc>
      </w:tr>
      <w:tr>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LandBitt</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Blockchain-native (Polygon); low minimums (₹10,000); innovative NFT model; Fireblocks security</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No verification depth; limited deal pipeline; regulatory uncertainty; small scale</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Government-integrated verification; SEBI SM-REIT compliance; Solana speed; larger deal pipeline</w:t>
            </w:r>
          </w:p>
        </w:tc>
      </w:tr>
      <w:tr>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Alt DRX</w:t>
            </w:r>
          </w:p>
        </w:tc>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Blockchain-native (XRPL); institutional backing (Qatar Dev Bank, Times of India); secondary market exists</w:t>
            </w:r>
          </w:p>
        </w:tc>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No verification moat; XRPL ecosystem limited for Indian RE; regulatory grey area</w:t>
            </w:r>
          </w:p>
        </w:tc>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Verification moat; SEBI compliance; Solana ecosystem; deeper institutional relationships</w:t>
            </w:r>
          </w:p>
        </w:tc>
      </w:tr>
    </w:tbl>
    <w:p>
      <w:pPr>
        <w:spacing w:before="80" w:after="80"/>
      </w:pPr>
    </w:p>
    <w:p>
      <w:pPr>
        <w:spacing w:before="160" w:after="160"/>
        <w:shd w:val="clear" w:color="auto" w:fill="ECFDF5"/>
        <w:pBdr>
          <w:left w:val="single" w:sz="24" w:space="8" w:color="059669"/>
        </w:pBdr>
        <w:ind w:left="240" w:right="240"/>
      </w:pPr>
      <w:r>
        <w:rPr>
          <w:rFonts w:ascii="Calibri" w:hAnsi="Calibri"/>
          <w:color w:val="2D2D2D"/>
          <w:sz w:val="20"/>
        </w:rPr>
        <w:t>THE WHITESPACE: No Indian platform combines (1) automated government-registry-integrated title verification, (2) SEBI-compliant blockchain tokenization with retail-accessible minimums, and (3) a liquid secondary market with sub-cent transaction costs. This is not an incremental improvement — it is a structural gap in a ₹9,800 crore market growing at 40% annually.</w:t>
      </w:r>
    </w:p>
    <w:p>
      <w:pPr>
        <w:pStyle w:val="Heading2"/>
      </w:pPr>
      <w:r>
        <w:rPr>
          <w:rFonts w:ascii="Calibri" w:hAnsi="Calibri"/>
          <w:color w:val="2E75B6"/>
        </w:rPr>
        <w:t>4.4 IP &amp; Defensibility Roadmap</w:t>
      </w:r>
    </w:p>
    <w:p>
      <w:pPr>
        <w:spacing w:before="240" w:after="80"/>
      </w:pPr>
      <w:r>
        <w:rPr>
          <w:rFonts w:ascii="Calibri" w:hAnsi="Calibri"/>
          <w:b/>
          <w:caps/>
          <w:color w:val="5A5A5A"/>
          <w:sz w:val="18"/>
        </w:rPr>
        <w:t>Table 13 — Verification Moat Building Roadmap (24-Month Horizon)</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86"/>
        <w:gridCol w:w="1786"/>
        <w:gridCol w:w="1786"/>
        <w:gridCol w:w="1786"/>
        <w:gridCol w:w="1786"/>
      </w:tblGrid>
      <w:tr>
        <w:tc>
          <w:tcPr>
            <w:tcW w:type="dxa" w:w="1786"/>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Phase</w:t>
            </w:r>
          </w:p>
        </w:tc>
        <w:tc>
          <w:tcPr>
            <w:tcW w:type="dxa" w:w="1786"/>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Timeline</w:t>
            </w:r>
          </w:p>
        </w:tc>
        <w:tc>
          <w:tcPr>
            <w:tcW w:type="dxa" w:w="1786"/>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Key Milestones</w:t>
            </w:r>
          </w:p>
        </w:tc>
        <w:tc>
          <w:tcPr>
            <w:tcW w:type="dxa" w:w="1786"/>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Database Size</w:t>
            </w:r>
          </w:p>
        </w:tc>
        <w:tc>
          <w:tcPr>
            <w:tcW w:type="dxa" w:w="1786"/>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Moat Level</w:t>
            </w:r>
          </w:p>
        </w:tc>
      </w:tr>
      <w:tr>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Phase 1 — Foundation</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Months 1–6</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Manual verification with digital workflow; NeSL API application submitted; Karnataka Bhoomi application filed</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0 → 50 properties</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Low — process advantage only</w:t>
            </w:r>
          </w:p>
        </w:tc>
      </w:tr>
      <w:tr>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Phase 2 — First Integration</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Months 7–12</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Karnataka Bhoomi + CERSAI integration live; automated charge search; first Verified Asset Certificate issued on-chain</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50 → 200 properties</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Medium — first automated integration in Indian proptech</w:t>
            </w:r>
          </w:p>
        </w:tc>
      </w:tr>
      <w:tr>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Phase 3 — Multi-State</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Months 13–18</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Maharashtra IGR integration (MoU signed); OCR pipeline live; Telangana Dharani integration; AI fraud detection v1</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200 → 500 properties</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High — multi-state automated verification</w:t>
            </w:r>
          </w:p>
        </w:tc>
      </w:tr>
      <w:tr>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Phase 4 — AI Models</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Months 19–24</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AI fraud detection trained on 500+ properties; title risk scoring live; first title insurance partnership</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500 → 1,000 properties</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Very High — proprietary risk database</w:t>
            </w:r>
          </w:p>
        </w:tc>
      </w:tr>
      <w:tr>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Phase 5 — Infrastructure</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Year 3+</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10,000-property database; banks and NBFCs paying for API access; government-recognized verification standard</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1,000 → 10,000 properties</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Structural Moat — CIBIL equivalent for property titles</w:t>
            </w:r>
          </w:p>
        </w:tc>
      </w:tr>
    </w:tbl>
    <w:p>
      <w:pPr>
        <w:spacing w:before="80" w:after="80"/>
      </w:pPr>
    </w:p>
    <w:p>
      <w:pPr>
        <w:spacing w:before="240" w:after="80"/>
      </w:pPr>
      <w:r>
        <w:rPr>
          <w:rFonts w:ascii="Calibri" w:hAnsi="Calibri"/>
          <w:b/>
          <w:caps/>
          <w:color w:val="5A5A5A"/>
          <w:sz w:val="18"/>
        </w:rPr>
        <w:t>Table 14 — IP Protection Strategy and Timeline</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86"/>
        <w:gridCol w:w="1786"/>
        <w:gridCol w:w="1786"/>
        <w:gridCol w:w="1786"/>
        <w:gridCol w:w="1786"/>
      </w:tblGrid>
      <w:tr>
        <w:tc>
          <w:tcPr>
            <w:tcW w:type="dxa" w:w="1786"/>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IP Asset</w:t>
            </w:r>
          </w:p>
        </w:tc>
        <w:tc>
          <w:tcPr>
            <w:tcW w:type="dxa" w:w="1786"/>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Protection Type</w:t>
            </w:r>
          </w:p>
        </w:tc>
        <w:tc>
          <w:tcPr>
            <w:tcW w:type="dxa" w:w="1786"/>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Timeline</w:t>
            </w:r>
          </w:p>
        </w:tc>
        <w:tc>
          <w:tcPr>
            <w:tcW w:type="dxa" w:w="1786"/>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Estimated Cost</w:t>
            </w:r>
          </w:p>
        </w:tc>
        <w:tc>
          <w:tcPr>
            <w:tcW w:type="dxa" w:w="1786"/>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Strategic Value</w:t>
            </w:r>
          </w:p>
        </w:tc>
      </w:tr>
      <w:tr>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Automated Title Verification Methodology</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Provisional Patent (India Patent Office)</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File within 6 months of MVP launch</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₹15,000–₹50,000</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High — establishes prior art, deters copying</w:t>
            </w:r>
          </w:p>
        </w:tc>
      </w:tr>
      <w:tr>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Smart Contract Templates</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Copyright Registration (literary works)</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File within 3 months of deployment</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₹5,000–₹15,000 per contract</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Medium — prevents direct copying</w:t>
            </w:r>
          </w:p>
        </w:tc>
      </w:tr>
      <w:tr>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Verification Risk Scoring Algorithm</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Trade Secret + Employment Agreements</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Ongoing from Day 1</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Legal fees for NDA/employment drafting</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High — core algorithm is the moat</w:t>
            </w:r>
          </w:p>
        </w:tc>
      </w:tr>
      <w:tr>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Property Title Database</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Database Rights + Trade Secret</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Accumulates over time</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Minimal direct cost; value grows with data</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Very High — long-term structural moat</w:t>
            </w:r>
          </w:p>
        </w:tc>
      </w:tr>
      <w:tr>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Platform Brand / 'Verified Property' Badge</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Trademark Registration</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File within 6 months of launch</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₹5,000–₹10,000 per class</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Medium — brand trust signal</w:t>
            </w:r>
          </w:p>
        </w:tc>
      </w:tr>
    </w:tbl>
    <w:p>
      <w:pPr>
        <w:spacing w:before="80" w:after="80"/>
      </w:pPr>
    </w:p>
    <w:p>
      <w:r>
        <w:br w:type="page"/>
      </w:r>
    </w:p>
    <w:p>
      <w:pPr>
        <w:pStyle w:val="Heading1"/>
        <w:pBdr>
          <w:bottom w:val="single" w:sz="6" w:space="4" w:color="D1D5DB"/>
        </w:pBdr>
      </w:pPr>
      <w:r>
        <w:rPr>
          <w:rFonts w:ascii="Calibri" w:hAnsi="Calibri"/>
          <w:color w:val="1B365D"/>
        </w:rPr>
        <w:t>SECTION 5: CUSTOMER ACQUISITION STRATEGY</w:t>
      </w:r>
    </w:p>
    <w:p>
      <w:pPr>
        <w:pStyle w:val="Heading2"/>
      </w:pPr>
      <w:r>
        <w:rPr>
          <w:rFonts w:ascii="Calibri" w:hAnsi="Calibri"/>
          <w:color w:val="2E75B6"/>
        </w:rPr>
        <w:t>5.1 The Zero-Network Problem — And Why It's Solvable</w:t>
      </w:r>
    </w:p>
    <w:p>
      <w:pPr>
        <w:jc w:val="left"/>
      </w:pPr>
      <w:r>
        <w:rPr>
          <w:rFonts w:ascii="Calibri" w:hAnsi="Calibri"/>
          <w:b w:val="0"/>
          <w:i w:val="0"/>
          <w:color w:val="2D2D2D"/>
          <w:sz w:val="22"/>
        </w:rPr>
        <w:t>Starting with zero real estate network is a genuine disadvantage in a relationship-driven industry. But it is not a fatal one — and your engineering background is a more powerful asset than you think. The fastest path to a network is not attending events and collecting business cards. It is building something that demonstrates credibility before you ask for anything. A working Figma prototype of the verification workflow, a 2-minute Loom demo, and a one-page 'Free Asset Verification Pilot' offer will open more doors than 100 cold LinkedIn messages. The key insight: legal firms are your most powerful distribution channel. They know every developer, family office, and AIF manager in India. Approach them as a tech partner who can make their real estate practice more efficient — not as a client seeking legal advice.</w:t>
      </w:r>
    </w:p>
    <w:p>
      <w:pPr>
        <w:pStyle w:val="Heading2"/>
      </w:pPr>
      <w:r>
        <w:rPr>
          <w:rFonts w:ascii="Calibri" w:hAnsi="Calibri"/>
          <w:color w:val="2E75B6"/>
        </w:rPr>
        <w:t>5.2 Property Owner Acquisition</w:t>
      </w:r>
    </w:p>
    <w:p>
      <w:pPr>
        <w:spacing w:before="240" w:after="80"/>
      </w:pPr>
      <w:r>
        <w:rPr>
          <w:rFonts w:ascii="Calibri" w:hAnsi="Calibri"/>
          <w:b/>
          <w:caps/>
          <w:color w:val="5A5A5A"/>
          <w:sz w:val="18"/>
        </w:rPr>
        <w:t>Table 15 — Property Owner Acquisition Channels and Approach</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86"/>
        <w:gridCol w:w="1786"/>
        <w:gridCol w:w="1786"/>
        <w:gridCol w:w="1786"/>
        <w:gridCol w:w="1786"/>
      </w:tblGrid>
      <w:tr>
        <w:tc>
          <w:tcPr>
            <w:tcW w:type="dxa" w:w="1786"/>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Channel</w:t>
            </w:r>
          </w:p>
        </w:tc>
        <w:tc>
          <w:tcPr>
            <w:tcW w:type="dxa" w:w="1786"/>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Target</w:t>
            </w:r>
          </w:p>
        </w:tc>
        <w:tc>
          <w:tcPr>
            <w:tcW w:type="dxa" w:w="1786"/>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Approach</w:t>
            </w:r>
          </w:p>
        </w:tc>
        <w:tc>
          <w:tcPr>
            <w:tcW w:type="dxa" w:w="1786"/>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Timeline</w:t>
            </w:r>
          </w:p>
        </w:tc>
        <w:tc>
          <w:tcPr>
            <w:tcW w:type="dxa" w:w="1786"/>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Cost</w:t>
            </w:r>
          </w:p>
        </w:tc>
      </w:tr>
      <w:tr>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CREDAI BuildSmart Challenge</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13,000 developers via CREDAI network</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Apply by Nov 15, 2025; submit RERA digitization solution; prize: ₹1L + mentorship + Emerge 2026 presentation</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Immediate</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Free</w:t>
            </w:r>
          </w:p>
        </w:tc>
      </w:tr>
      <w:tr>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Nishith Desai Associates</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Their real estate + fintech client base</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Co-author whitepaper on SM-REIT + blockchain compliance; offer tech partnership, not legal services</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3–6 months</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Free (co-authorship)</w:t>
            </w:r>
          </w:p>
        </w:tc>
      </w:tr>
      <w:tr>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AZB &amp; Partners</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Every major AIF in India uses them</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Build free technical demo showing how platform automates SEBI AIF compliance reporting</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4–6 months</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Development time only</w:t>
            </w:r>
          </w:p>
        </w:tc>
      </w:tr>
      <w:tr>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Cyril Amarchand Mangaldas (Prarambh)</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Legal tech incubator with client introductions</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Apply to Prarambh incubator; revenue-share referral arrangement (2–5% of first-year fees)</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2–3 months if accepted</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Equity/revenue share</w:t>
            </w:r>
          </w:p>
        </w:tc>
      </w:tr>
      <w:tr>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JLL India Capital Markets</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Active Grade-A CRE deal pipeline</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Offer to integrate verification API into their transaction workflow; co-run developer workshop</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Month 2–3</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Free pilot</w:t>
            </w:r>
          </w:p>
        </w:tc>
      </w:tr>
      <w:tr>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CBRE India Digital &amp; Technology</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PropTech division with developer relationships</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3-slide deck showing how API reduces due diligence time by 60%; ask for 15-minute demo</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Month 2–3</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Free</w:t>
            </w:r>
          </w:p>
        </w:tc>
      </w:tr>
      <w:tr>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Anarock Capital</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Structured debt and alternative RE financing</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Position as infrastructure for their structured debt products; offer free technical demo</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Month 2–3</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Free</w:t>
            </w:r>
          </w:p>
        </w:tc>
      </w:tr>
    </w:tbl>
    <w:p>
      <w:pPr>
        <w:spacing w:before="80" w:after="80"/>
      </w:pPr>
    </w:p>
    <w:p>
      <w:pPr>
        <w:pStyle w:val="Heading2"/>
      </w:pPr>
      <w:r>
        <w:rPr>
          <w:rFonts w:ascii="Calibri" w:hAnsi="Calibri"/>
          <w:color w:val="2E75B6"/>
        </w:rPr>
        <w:t>5.3 Investor Acquisition</w:t>
      </w:r>
    </w:p>
    <w:p>
      <w:pPr>
        <w:spacing w:before="240" w:after="80"/>
      </w:pPr>
      <w:r>
        <w:rPr>
          <w:rFonts w:ascii="Calibri" w:hAnsi="Calibri"/>
          <w:b/>
          <w:caps/>
          <w:color w:val="5A5A5A"/>
          <w:sz w:val="18"/>
        </w:rPr>
        <w:t>Table 16 — Investor Acquisition Channels and Key Messages</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232"/>
        <w:gridCol w:w="2232"/>
        <w:gridCol w:w="2232"/>
        <w:gridCol w:w="2232"/>
      </w:tblGrid>
      <w:tr>
        <w:tc>
          <w:tcPr>
            <w:tcW w:type="dxa" w:w="2232"/>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Channel</w:t>
            </w:r>
          </w:p>
        </w:tc>
        <w:tc>
          <w:tcPr>
            <w:tcW w:type="dxa" w:w="2232"/>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Target</w:t>
            </w:r>
          </w:p>
        </w:tc>
        <w:tc>
          <w:tcPr>
            <w:tcW w:type="dxa" w:w="2232"/>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Approach</w:t>
            </w:r>
          </w:p>
        </w:tc>
        <w:tc>
          <w:tcPr>
            <w:tcW w:type="dxa" w:w="2232"/>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Key Message</w:t>
            </w:r>
          </w:p>
        </w:tc>
      </w:tr>
      <w:tr>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360 ONE (formerly IIFL Wealth)</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Product Head - Alternatives; Head of Real Estate</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B2B SaaS infrastructure pitch; they offer tokenized CRE to HNI clients; SolEstate provides the rails</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You manage the client relationship; we provide verification, SPV structuring, token issuance, secondary trading</w:t>
            </w:r>
          </w:p>
        </w:tc>
      </w:tr>
      <w:tr>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Nuvama Private (Edelweiss)</w:t>
            </w:r>
          </w:p>
        </w:tc>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Head of Alternatives; Product Head - Real Assets</w:t>
            </w:r>
          </w:p>
        </w:tc>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Most open to innovation; lead with SM-REIT + tokenization angle; offer joint pilot on one asset</w:t>
            </w:r>
          </w:p>
        </w:tc>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SM-REIT framework + IFSCA sandbox = regulated, institutional-grade product for your HNI clients</w:t>
            </w:r>
          </w:p>
        </w:tc>
      </w:tr>
      <w:tr>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Kotak Wealth Management</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Head of Real Estate; Head of Structured Products</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Conservative firm — lead with compliance and SEBI framework, not blockchain; show how platform reduces operational risk</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Reduces your operational risk on CRE deals; full SEBI compliance; automated reporting</w:t>
            </w:r>
          </w:p>
        </w:tc>
      </w:tr>
      <w:tr>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NRI Communities (UAE + USA)</w:t>
            </w:r>
          </w:p>
        </w:tc>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LinkedIn groups: NRI Investment India, NRI Real Estate India; Reddit: r/IndiaInvestments, r/NRI</w:t>
            </w:r>
          </w:p>
        </w:tc>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Educational content for 30 days before mentioning platform; offer to speak at NRI investor clubs in Dubai, Singapore, London</w:t>
            </w:r>
          </w:p>
        </w:tc>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Rupee depreciation hedge + India growth story + regulated fractional CRE = direct India CRE exposure without managing a property</w:t>
            </w:r>
          </w:p>
        </w:tc>
      </w:tr>
      <w:tr>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Gruhas Proptech (Nikhil Kamath)</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PropTech-specific VC fund; most prominent in India</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Apply via website; engage with Abhijeet Pai's LinkedIn posts before applying; lead with 326% market growth data</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Infrastructure play, not marketplace; verification moat = CIBIL for property titles</w:t>
            </w:r>
          </w:p>
        </w:tc>
      </w:tr>
      <w:tr>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Indian Angel Network / Mumbai Angels</w:t>
            </w:r>
          </w:p>
        </w:tc>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Generalist with real estate syndicates</w:t>
            </w:r>
          </w:p>
        </w:tc>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Warm intro through CREDAI or legal firm connection; lead with pilot LOIs, not technology</w:t>
            </w:r>
          </w:p>
        </w:tc>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Regulatory moat: SEBI SM-REIT + IFSCA sandbox = first-mover compliance advantage</w:t>
            </w:r>
          </w:p>
        </w:tc>
      </w:tr>
    </w:tbl>
    <w:p>
      <w:pPr>
        <w:spacing w:before="80" w:after="80"/>
      </w:pPr>
    </w:p>
    <w:p>
      <w:pPr>
        <w:pStyle w:val="Heading2"/>
      </w:pPr>
      <w:r>
        <w:rPr>
          <w:rFonts w:ascii="Calibri" w:hAnsi="Calibri"/>
          <w:color w:val="2E75B6"/>
        </w:rPr>
        <w:t>5.4 90-Day Sprint Plan</w:t>
      </w:r>
    </w:p>
    <w:p>
      <w:pPr>
        <w:spacing w:before="240" w:after="80"/>
      </w:pPr>
      <w:r>
        <w:rPr>
          <w:rFonts w:ascii="Calibri" w:hAnsi="Calibri"/>
          <w:b/>
          <w:caps/>
          <w:color w:val="5A5A5A"/>
          <w:sz w:val="18"/>
        </w:rPr>
        <w:t>Table 17 — 90-Day Sprint Plan: Zero Network to First 5 Pilot Customers</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232"/>
        <w:gridCol w:w="2232"/>
        <w:gridCol w:w="2232"/>
        <w:gridCol w:w="2232"/>
      </w:tblGrid>
      <w:tr>
        <w:tc>
          <w:tcPr>
            <w:tcW w:type="dxa" w:w="2232"/>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Phase</w:t>
            </w:r>
          </w:p>
        </w:tc>
        <w:tc>
          <w:tcPr>
            <w:tcW w:type="dxa" w:w="2232"/>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Timeline</w:t>
            </w:r>
          </w:p>
        </w:tc>
        <w:tc>
          <w:tcPr>
            <w:tcW w:type="dxa" w:w="2232"/>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Actions</w:t>
            </w:r>
          </w:p>
        </w:tc>
        <w:tc>
          <w:tcPr>
            <w:tcW w:type="dxa" w:w="2232"/>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Success Metric</w:t>
            </w:r>
          </w:p>
        </w:tc>
      </w:tr>
      <w:tr>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Foundation</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Week 1–2</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Set up LinkedIn profile (headline: 'Building blockchain infrastructure for Indian CRE tokenization'); create one-page platform explainer; record 2-minute Loom demo of Figma wireframe; prepare Free Asset Verification Pilot offer document; read Nishith Desai's free research paper on fractional RE tokenization</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LinkedIn profile live; demo video recorded; pilot offer document ready</w:t>
            </w:r>
          </w:p>
        </w:tc>
      </w:tr>
      <w:tr>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First Outreach</w:t>
            </w:r>
          </w:p>
        </w:tc>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Week 3–4</w:t>
            </w:r>
          </w:p>
        </w:tc>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Contact 5 Senior Associates at Nishith Desai/AZB on LinkedIn (validation call, not legal advice); apply for CREDAI BuildSmart Challenge; submit Karnataka Bhoomi API access application; email 3 Bengaluru commercial developers with free pilot offer</w:t>
            </w:r>
          </w:p>
        </w:tc>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5 LinkedIn connections accepted; CREDAI application submitted; Karnataka application filed</w:t>
            </w:r>
          </w:p>
        </w:tc>
      </w:tr>
      <w:tr>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Building Momentum</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Month 2</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Complete 10 investor interviews (NRIs in UAE/USA, HNIs in Bangalore); complete 5 property owner interviews; attend Asia PropTech Forum (July 5, 2025, Gurugram) or India Proptech Expo (October 2025, Mumbai); refine pitch based on feedback</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10 investor interviews completed; 5 property owner interviews completed; pitch refined</w:t>
            </w:r>
          </w:p>
        </w:tc>
      </w:tr>
      <w:tr>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Converting to Pilots</w:t>
            </w:r>
          </w:p>
        </w:tc>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Month 3</w:t>
            </w:r>
          </w:p>
        </w:tc>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Sign first LOI with a property owner (Delhi developer or Bengaluru family office); sign first LOI with a wealth manager (360 ONE or Nuvama); apply for IFSCA GIFT City sandbox; file provisional patent for verification methodology</w:t>
            </w:r>
          </w:p>
        </w:tc>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1 property owner LOI signed; 1 wealth manager LOI signed; IFSCA application submitted</w:t>
            </w:r>
          </w:p>
        </w:tc>
      </w:tr>
    </w:tbl>
    <w:p>
      <w:pPr>
        <w:spacing w:before="80" w:after="80"/>
      </w:pPr>
    </w:p>
    <w:p>
      <w:pPr>
        <w:pStyle w:val="Heading2"/>
      </w:pPr>
      <w:r>
        <w:rPr>
          <w:rFonts w:ascii="Calibri" w:hAnsi="Calibri"/>
          <w:color w:val="2E75B6"/>
        </w:rPr>
        <w:t>5.5 Partnership Strategy</w:t>
      </w:r>
    </w:p>
    <w:p>
      <w:pPr>
        <w:spacing w:before="240" w:after="80"/>
      </w:pPr>
      <w:r>
        <w:rPr>
          <w:rFonts w:ascii="Calibri" w:hAnsi="Calibri"/>
          <w:b/>
          <w:caps/>
          <w:color w:val="5A5A5A"/>
          <w:sz w:val="18"/>
        </w:rPr>
        <w:t>Table 18 — Strategic Partnership Roadmap and Expected Outcomes</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86"/>
        <w:gridCol w:w="1786"/>
        <w:gridCol w:w="1786"/>
        <w:gridCol w:w="1786"/>
        <w:gridCol w:w="1786"/>
      </w:tblGrid>
      <w:tr>
        <w:tc>
          <w:tcPr>
            <w:tcW w:type="dxa" w:w="1786"/>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Partner Type</w:t>
            </w:r>
          </w:p>
        </w:tc>
        <w:tc>
          <w:tcPr>
            <w:tcW w:type="dxa" w:w="1786"/>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Specific Target</w:t>
            </w:r>
          </w:p>
        </w:tc>
        <w:tc>
          <w:tcPr>
            <w:tcW w:type="dxa" w:w="1786"/>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What to Offer</w:t>
            </w:r>
          </w:p>
        </w:tc>
        <w:tc>
          <w:tcPr>
            <w:tcW w:type="dxa" w:w="1786"/>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Timeline</w:t>
            </w:r>
          </w:p>
        </w:tc>
        <w:tc>
          <w:tcPr>
            <w:tcW w:type="dxa" w:w="1786"/>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Expected Outcome</w:t>
            </w:r>
          </w:p>
        </w:tc>
      </w:tr>
      <w:tr>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SEBI Regulatory Sandbox</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SEBI Innovation Office (sebi.gov.in/contact)</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Tokenized CRE platform under SM-REIT framework; test parameters: 5 assets, 50 investors, ₹5Cr volume</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Apply within 6 months; SEBI responds in 30–60 days; sandbox approval 3–6 months</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Regulatory cover for novel features; direct SEBI access; institutional credibility signal</w:t>
            </w:r>
          </w:p>
        </w:tc>
      </w:tr>
      <w:tr>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IFSCA GIFT City Sandbox</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IFSCA FinTech Department (ifsca.gov.in)</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Tokenization use case; target investors: NRIs + accredited; compliance framework; double structure (IFSC entity + Indian SPV)</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Applications rolling; approval 2–4 months; 100% tax holiday on IFSC income</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Legal launch path for blockchain instruments; NRI investor access; FEMA dispensation</w:t>
            </w:r>
          </w:p>
        </w:tc>
      </w:tr>
      <w:tr>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NeSL API Integration</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Register as Financial Information User under AA framework (RBI oversight)</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Automated Credit Facility Report, Record of Default, Debt Query searches integrated into verification workflow</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AA framework registration: 3–6 months; NeSL API access: concurrent</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Automated charge search in minutes vs. 2–3 weeks manually; core verification moat</w:t>
            </w:r>
          </w:p>
        </w:tc>
      </w:tr>
      <w:tr>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Karnataka Bhoomi / Kaveri 2.0</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Karnataka Data Sharing Framework for registered entities</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Registered entity status application; RTC, Khata, Mutation, Survey Document access</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Application: immediate; approval: 3–6 months; integration: 6–12 months total</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First automated state registry integration in Indian proptech; verification moat foundation</w:t>
            </w:r>
          </w:p>
        </w:tc>
      </w:tr>
    </w:tbl>
    <w:p>
      <w:pPr>
        <w:spacing w:before="80" w:after="80"/>
      </w:pPr>
    </w:p>
    <w:p>
      <w:r>
        <w:br w:type="page"/>
      </w:r>
    </w:p>
    <w:p>
      <w:pPr>
        <w:pStyle w:val="Heading1"/>
        <w:pBdr>
          <w:bottom w:val="single" w:sz="6" w:space="4" w:color="D1D5DB"/>
        </w:pBdr>
      </w:pPr>
      <w:r>
        <w:rPr>
          <w:rFonts w:ascii="Calibri" w:hAnsi="Calibri"/>
          <w:color w:val="1B365D"/>
        </w:rPr>
        <w:t>SECTION 6: RISK MATRIX</w:t>
      </w:r>
    </w:p>
    <w:p>
      <w:pPr>
        <w:pStyle w:val="Heading2"/>
      </w:pPr>
      <w:r>
        <w:rPr>
          <w:rFonts w:ascii="Calibri" w:hAnsi="Calibri"/>
          <w:color w:val="2E75B6"/>
        </w:rPr>
        <w:t>6.1 Comprehensive Risk Assessment</w:t>
      </w:r>
    </w:p>
    <w:p>
      <w:pPr>
        <w:spacing w:before="240" w:after="80"/>
      </w:pPr>
      <w:r>
        <w:rPr>
          <w:rFonts w:ascii="Calibri" w:hAnsi="Calibri"/>
          <w:b/>
          <w:caps/>
          <w:color w:val="5A5A5A"/>
          <w:sz w:val="18"/>
        </w:rPr>
        <w:t>Table 19 — Comprehensive Risk Matrix: Severity, Probability, and Mitigation</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488"/>
        <w:gridCol w:w="1488"/>
        <w:gridCol w:w="1488"/>
        <w:gridCol w:w="1488"/>
        <w:gridCol w:w="1488"/>
        <w:gridCol w:w="1488"/>
      </w:tblGrid>
      <w:tr>
        <w:tc>
          <w:tcPr>
            <w:tcW w:type="dxa" w:w="1488"/>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Risk</w:t>
            </w:r>
          </w:p>
        </w:tc>
        <w:tc>
          <w:tcPr>
            <w:tcW w:type="dxa" w:w="1488"/>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Category</w:t>
            </w:r>
          </w:p>
        </w:tc>
        <w:tc>
          <w:tcPr>
            <w:tcW w:type="dxa" w:w="1488"/>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Severity</w:t>
            </w:r>
          </w:p>
        </w:tc>
        <w:tc>
          <w:tcPr>
            <w:tcW w:type="dxa" w:w="1488"/>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Probability</w:t>
            </w:r>
          </w:p>
        </w:tc>
        <w:tc>
          <w:tcPr>
            <w:tcW w:type="dxa" w:w="1488"/>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Mitigation Strategy</w:t>
            </w:r>
          </w:p>
        </w:tc>
        <w:tc>
          <w:tcPr>
            <w:tcW w:type="dxa" w:w="1488"/>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Resolution Timeline</w:t>
            </w:r>
          </w:p>
        </w:tc>
      </w:tr>
      <w:tr>
        <w:tc>
          <w:tcPr>
            <w:tcW w:type="dxa" w:w="1488"/>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SEBI CIS Classification — tokens deemed unregistered Collective Investment Scheme</w:t>
            </w:r>
          </w:p>
        </w:tc>
        <w:tc>
          <w:tcPr>
            <w:tcW w:type="dxa" w:w="1488"/>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Regulatory</w:t>
            </w:r>
          </w:p>
        </w:tc>
        <w:tc>
          <w:tcPr>
            <w:tcW w:type="dxa" w:w="1488"/>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CRITICAL</w:t>
            </w:r>
          </w:p>
        </w:tc>
        <w:tc>
          <w:tcPr>
            <w:tcW w:type="dxa" w:w="1488"/>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HIGH</w:t>
            </w:r>
          </w:p>
        </w:tc>
        <w:tc>
          <w:tcPr>
            <w:tcW w:type="dxa" w:w="1488"/>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Structure every offering via AIF/SM-REIT from Day 1; get written legal opinion before production code; IFSCA sandbox as parallel path</w:t>
            </w:r>
          </w:p>
        </w:tc>
        <w:tc>
          <w:tcPr>
            <w:tcW w:type="dxa" w:w="1488"/>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3–6 months (legal opinion: 30 days)</w:t>
            </w:r>
          </w:p>
        </w:tc>
      </w:tr>
      <w:tr>
        <w:tc>
          <w:tcPr>
            <w:tcW w:type="dxa" w:w="1488"/>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RBI stance on crypto/blockchain tokens</w:t>
            </w:r>
          </w:p>
        </w:tc>
        <w:tc>
          <w:tcPr>
            <w:tcW w:type="dxa" w:w="1488"/>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Regulatory</w:t>
            </w:r>
          </w:p>
        </w:tc>
        <w:tc>
          <w:tcPr>
            <w:tcW w:type="dxa" w:w="1488"/>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HIGH</w:t>
            </w:r>
          </w:p>
        </w:tc>
        <w:tc>
          <w:tcPr>
            <w:tcW w:type="dxa" w:w="1488"/>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MEDIUM</w:t>
            </w:r>
          </w:p>
        </w:tc>
        <w:tc>
          <w:tcPr>
            <w:tcW w:type="dxa" w:w="1488"/>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Peg all payouts to INR/fiat; avoid public crypto token framing; use stablecoin or CBDC for distributions; maintain fiat-first architecture</w:t>
            </w:r>
          </w:p>
        </w:tc>
        <w:tc>
          <w:tcPr>
            <w:tcW w:type="dxa" w:w="1488"/>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2–4 months</w:t>
            </w:r>
          </w:p>
        </w:tc>
      </w:tr>
      <w:tr>
        <w:tc>
          <w:tcPr>
            <w:tcW w:type="dxa" w:w="1488"/>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Stamp duty on token transfers — state-by-state complexity</w:t>
            </w:r>
          </w:p>
        </w:tc>
        <w:tc>
          <w:tcPr>
            <w:tcW w:type="dxa" w:w="1488"/>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Regulatory</w:t>
            </w:r>
          </w:p>
        </w:tc>
        <w:tc>
          <w:tcPr>
            <w:tcW w:type="dxa" w:w="1488"/>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HIGH</w:t>
            </w:r>
          </w:p>
        </w:tc>
        <w:tc>
          <w:tcPr>
            <w:tcW w:type="dxa" w:w="1488"/>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HIGH</w:t>
            </w:r>
          </w:p>
        </w:tc>
        <w:tc>
          <w:tcPr>
            <w:tcW w:type="dxa" w:w="1488"/>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Incorporate SPVs; pay duty on fractional share issuance; seek advance tax rulings; price 18% GST into platform fees</w:t>
            </w:r>
          </w:p>
        </w:tc>
        <w:tc>
          <w:tcPr>
            <w:tcW w:type="dxa" w:w="1488"/>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Continuous — engage state counsel</w:t>
            </w:r>
          </w:p>
        </w:tc>
      </w:tr>
      <w:tr>
        <w:tc>
          <w:tcPr>
            <w:tcW w:type="dxa" w:w="1488"/>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FEMA/NRI compliance for cross-border token transfers</w:t>
            </w:r>
          </w:p>
        </w:tc>
        <w:tc>
          <w:tcPr>
            <w:tcW w:type="dxa" w:w="1488"/>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Regulatory</w:t>
            </w:r>
          </w:p>
        </w:tc>
        <w:tc>
          <w:tcPr>
            <w:tcW w:type="dxa" w:w="1488"/>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HIGH</w:t>
            </w:r>
          </w:p>
        </w:tc>
        <w:tc>
          <w:tcPr>
            <w:tcW w:type="dxa" w:w="1488"/>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MEDIUM</w:t>
            </w:r>
          </w:p>
        </w:tc>
        <w:tc>
          <w:tcPr>
            <w:tcW w:type="dxa" w:w="1488"/>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Restrict secondary trading to whitelisted/approved NRIs; GIFT City IFSC structure provides FEMA dispensation; geofence wallet addresses</w:t>
            </w:r>
          </w:p>
        </w:tc>
        <w:tc>
          <w:tcPr>
            <w:tcW w:type="dxa" w:w="1488"/>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3–4 months</w:t>
            </w:r>
          </w:p>
        </w:tc>
      </w:tr>
      <w:tr>
        <w:tc>
          <w:tcPr>
            <w:tcW w:type="dxa" w:w="1488"/>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Small accredited investor pool (650–1,000) limits early traction</w:t>
            </w:r>
          </w:p>
        </w:tc>
        <w:tc>
          <w:tcPr>
            <w:tcW w:type="dxa" w:w="1488"/>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Market</w:t>
            </w:r>
          </w:p>
        </w:tc>
        <w:tc>
          <w:tcPr>
            <w:tcW w:type="dxa" w:w="1488"/>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HIGH</w:t>
            </w:r>
          </w:p>
        </w:tc>
        <w:tc>
          <w:tcPr>
            <w:tcW w:type="dxa" w:w="1488"/>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HIGH</w:t>
            </w:r>
          </w:p>
        </w:tc>
        <w:tc>
          <w:tcPr>
            <w:tcW w:type="dxa" w:w="1488"/>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Use SM-REIT framework (₹10L minimum) to access 850,000 HNI base; target NRIs via GIFT City; B2B distribution via wealth managers</w:t>
            </w:r>
          </w:p>
        </w:tc>
        <w:tc>
          <w:tcPr>
            <w:tcW w:type="dxa" w:w="1488"/>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12–18 months to scale</w:t>
            </w:r>
          </w:p>
        </w:tc>
      </w:tr>
      <w:tr>
        <w:tc>
          <w:tcPr>
            <w:tcW w:type="dxa" w:w="1488"/>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Real estate cycle downturn reducing deal flow</w:t>
            </w:r>
          </w:p>
        </w:tc>
        <w:tc>
          <w:tcPr>
            <w:tcW w:type="dxa" w:w="1488"/>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Market</w:t>
            </w:r>
          </w:p>
        </w:tc>
        <w:tc>
          <w:tcPr>
            <w:tcW w:type="dxa" w:w="1488"/>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MEDIUM</w:t>
            </w:r>
          </w:p>
        </w:tc>
        <w:tc>
          <w:tcPr>
            <w:tcW w:type="dxa" w:w="1488"/>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MEDIUM</w:t>
            </w:r>
          </w:p>
        </w:tc>
        <w:tc>
          <w:tcPr>
            <w:tcW w:type="dxa" w:w="1488"/>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Focus on income-generating Grade-A assets immune to broad slumps; PE investment dip (H1 FY26 down 15%) is actually a tailwind — developers need alternative liquidity</w:t>
            </w:r>
          </w:p>
        </w:tc>
        <w:tc>
          <w:tcPr>
            <w:tcW w:type="dxa" w:w="1488"/>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6–12 months</w:t>
            </w:r>
          </w:p>
        </w:tc>
      </w:tr>
      <w:tr>
        <w:tc>
          <w:tcPr>
            <w:tcW w:type="dxa" w:w="1488"/>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Secondary market liquidity — chicken-and-egg problem</w:t>
            </w:r>
          </w:p>
        </w:tc>
        <w:tc>
          <w:tcPr>
            <w:tcW w:type="dxa" w:w="1488"/>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Market</w:t>
            </w:r>
          </w:p>
        </w:tc>
        <w:tc>
          <w:tcPr>
            <w:tcW w:type="dxa" w:w="1488"/>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HIGH</w:t>
            </w:r>
          </w:p>
        </w:tc>
        <w:tc>
          <w:tcPr>
            <w:tcW w:type="dxa" w:w="1488"/>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HIGH</w:t>
            </w:r>
          </w:p>
        </w:tc>
        <w:tc>
          <w:tcPr>
            <w:tcW w:type="dxa" w:w="1488"/>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Set investor expectations for 3–5 year holds; pool initial liquidity; launch secondary market only after 200+ investors onboarded; market-making in early phase</w:t>
            </w:r>
          </w:p>
        </w:tc>
        <w:tc>
          <w:tcPr>
            <w:tcW w:type="dxa" w:w="1488"/>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18–24 months</w:t>
            </w:r>
          </w:p>
        </w:tc>
      </w:tr>
      <w:tr>
        <w:tc>
          <w:tcPr>
            <w:tcW w:type="dxa" w:w="1488"/>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Government registry integration delays (state bureaucracy)</w:t>
            </w:r>
          </w:p>
        </w:tc>
        <w:tc>
          <w:tcPr>
            <w:tcW w:type="dxa" w:w="1488"/>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Execution</w:t>
            </w:r>
          </w:p>
        </w:tc>
        <w:tc>
          <w:tcPr>
            <w:tcW w:type="dxa" w:w="1488"/>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MEDIUM</w:t>
            </w:r>
          </w:p>
        </w:tc>
        <w:tc>
          <w:tcPr>
            <w:tcW w:type="dxa" w:w="1488"/>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HIGH</w:t>
            </w:r>
          </w:p>
        </w:tc>
        <w:tc>
          <w:tcPr>
            <w:tcW w:type="dxa" w:w="1488"/>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Start Karnataka immediately (most advanced); pursue Telangana in parallel; interim lawyer-based workflow allows platform to operate while MoUs are negotiated</w:t>
            </w:r>
          </w:p>
        </w:tc>
        <w:tc>
          <w:tcPr>
            <w:tcW w:type="dxa" w:w="1488"/>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6–12 months per state</w:t>
            </w:r>
          </w:p>
        </w:tc>
      </w:tr>
      <w:tr>
        <w:tc>
          <w:tcPr>
            <w:tcW w:type="dxa" w:w="1488"/>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Smart contract security vulnerabilities</w:t>
            </w:r>
          </w:p>
        </w:tc>
        <w:tc>
          <w:tcPr>
            <w:tcW w:type="dxa" w:w="1488"/>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Execution</w:t>
            </w:r>
          </w:p>
        </w:tc>
        <w:tc>
          <w:tcPr>
            <w:tcW w:type="dxa" w:w="1488"/>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HIGH</w:t>
            </w:r>
          </w:p>
        </w:tc>
        <w:tc>
          <w:tcPr>
            <w:tcW w:type="dxa" w:w="1488"/>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LOW</w:t>
            </w:r>
          </w:p>
        </w:tc>
        <w:tc>
          <w:tcPr>
            <w:tcW w:type="dxa" w:w="1488"/>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OpenZeppelin frameworks; mandatory third-party audits before launch; bug bounty program; phased rollout; insurance against cyber risks</w:t>
            </w:r>
          </w:p>
        </w:tc>
        <w:tc>
          <w:tcPr>
            <w:tcW w:type="dxa" w:w="1488"/>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1–2 months (pre-launch)</w:t>
            </w:r>
          </w:p>
        </w:tc>
      </w:tr>
      <w:tr>
        <w:tc>
          <w:tcPr>
            <w:tcW w:type="dxa" w:w="1488"/>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Solana network outages affecting platform reliability</w:t>
            </w:r>
          </w:p>
        </w:tc>
        <w:tc>
          <w:tcPr>
            <w:tcW w:type="dxa" w:w="1488"/>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Technical</w:t>
            </w:r>
          </w:p>
        </w:tc>
        <w:tc>
          <w:tcPr>
            <w:tcW w:type="dxa" w:w="1488"/>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MEDIUM</w:t>
            </w:r>
          </w:p>
        </w:tc>
        <w:tc>
          <w:tcPr>
            <w:tcW w:type="dxa" w:w="1488"/>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LOW (post-Feb 2024)</w:t>
            </w:r>
          </w:p>
        </w:tc>
        <w:tc>
          <w:tcPr>
            <w:tcW w:type="dxa" w:w="1488"/>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Circuit breaker architecture; Ethereum/Polygon mirror for ownership records; transparent investor disclosure of outage history and mitigations; 16+ months uptime since last incident</w:t>
            </w:r>
          </w:p>
        </w:tc>
        <w:tc>
          <w:tcPr>
            <w:tcW w:type="dxa" w:w="1488"/>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Ongoing — architecture decision</w:t>
            </w:r>
          </w:p>
        </w:tc>
      </w:tr>
      <w:tr>
        <w:tc>
          <w:tcPr>
            <w:tcW w:type="dxa" w:w="1488"/>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Incumbents (hBits, PropShare) adding blockchain features</w:t>
            </w:r>
          </w:p>
        </w:tc>
        <w:tc>
          <w:tcPr>
            <w:tcW w:type="dxa" w:w="1488"/>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Competitive</w:t>
            </w:r>
          </w:p>
        </w:tc>
        <w:tc>
          <w:tcPr>
            <w:tcW w:type="dxa" w:w="1488"/>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HIGH</w:t>
            </w:r>
          </w:p>
        </w:tc>
        <w:tc>
          <w:tcPr>
            <w:tcW w:type="dxa" w:w="1488"/>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MEDIUM</w:t>
            </w:r>
          </w:p>
        </w:tc>
        <w:tc>
          <w:tcPr>
            <w:tcW w:type="dxa" w:w="1488"/>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Accelerate verification moat building; file patents early; deepen government relationships; hBits retrofitting blockchain is technically and organizationally complex — 18–24 month lag minimum</w:t>
            </w:r>
          </w:p>
        </w:tc>
        <w:tc>
          <w:tcPr>
            <w:tcW w:type="dxa" w:w="1488"/>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12–24 months</w:t>
            </w:r>
          </w:p>
        </w:tc>
      </w:tr>
      <w:tr>
        <w:tc>
          <w:tcPr>
            <w:tcW w:type="dxa" w:w="1488"/>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Large tech players (Zerodha, Groww) entering fractional RE</w:t>
            </w:r>
          </w:p>
        </w:tc>
        <w:tc>
          <w:tcPr>
            <w:tcW w:type="dxa" w:w="1488"/>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Competitive</w:t>
            </w:r>
          </w:p>
        </w:tc>
        <w:tc>
          <w:tcPr>
            <w:tcW w:type="dxa" w:w="1488"/>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MEDIUM</w:t>
            </w:r>
          </w:p>
        </w:tc>
        <w:tc>
          <w:tcPr>
            <w:tcW w:type="dxa" w:w="1488"/>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LOW</w:t>
            </w:r>
          </w:p>
        </w:tc>
        <w:tc>
          <w:tcPr>
            <w:tcW w:type="dxa" w:w="1488"/>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First-mover on government integrations; proprietary data database; regulatory relationships; verification moat takes 2–3 years to replicate regardless of funding</w:t>
            </w:r>
          </w:p>
        </w:tc>
        <w:tc>
          <w:tcPr>
            <w:tcW w:type="dxa" w:w="1488"/>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12–24 months</w:t>
            </w:r>
          </w:p>
        </w:tc>
      </w:tr>
      <w:tr>
        <w:tc>
          <w:tcPr>
            <w:tcW w:type="dxa" w:w="1488"/>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Title disputes on listed properties</w:t>
            </w:r>
          </w:p>
        </w:tc>
        <w:tc>
          <w:tcPr>
            <w:tcW w:type="dxa" w:w="1488"/>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Execution</w:t>
            </w:r>
          </w:p>
        </w:tc>
        <w:tc>
          <w:tcPr>
            <w:tcW w:type="dxa" w:w="1488"/>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HIGH</w:t>
            </w:r>
          </w:p>
        </w:tc>
        <w:tc>
          <w:tcPr>
            <w:tcW w:type="dxa" w:w="1488"/>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HIGH</w:t>
            </w:r>
          </w:p>
        </w:tc>
        <w:tc>
          <w:tcPr>
            <w:tcW w:type="dxa" w:w="1488"/>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Mandatory legal due diligence pre-tokenization; NeSL/CERSAI integration for lien verification; only Grade-A verified assets; AI fraud detection for chain-of-title analysis</w:t>
            </w:r>
          </w:p>
        </w:tc>
        <w:tc>
          <w:tcPr>
            <w:tcW w:type="dxa" w:w="1488"/>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Continuous</w:t>
            </w:r>
          </w:p>
        </w:tc>
      </w:tr>
    </w:tbl>
    <w:p>
      <w:pPr>
        <w:spacing w:before="80" w:after="80"/>
      </w:pPr>
    </w:p>
    <w:p>
      <w:pPr>
        <w:pStyle w:val="Heading2"/>
      </w:pPr>
      <w:r>
        <w:rPr>
          <w:rFonts w:ascii="Calibri" w:hAnsi="Calibri"/>
          <w:color w:val="2E75B6"/>
        </w:rPr>
        <w:t>6.2 Top 3 Risks to Address Before MVP Launch</w:t>
      </w:r>
    </w:p>
    <w:p>
      <w:pPr>
        <w:pStyle w:val="ListNumber"/>
      </w:pPr>
      <w:r>
        <w:rPr>
          <w:rFonts w:ascii="Calibri" w:hAnsi="Calibri"/>
          <w:color w:val="2D2D2D"/>
          <w:sz w:val="22"/>
        </w:rPr>
        <w:t>SEBI CIS Classification (NON-NEGOTIABLE): Get a written legal opinion from Nishith Desai Associates or AZB &amp; Partners confirming your specific token structure does NOT constitute an unregistered CIS. This opinion must address: (a) whether tokens pooling capital and promising returns require CIS registration; (b) whether the AIF/SM-REIT wrapper fully mitigates this risk; (c) whether the IFSCA sandbox provides an alternative pathway. Cost: ₹50,000–₹2,00,000. Timeline: 30 days. Without this opinion, do not write a single line of production code.</w:t>
      </w:r>
    </w:p>
    <w:p>
      <w:pPr>
        <w:pStyle w:val="ListNumber"/>
      </w:pPr>
      <w:r>
        <w:rPr>
          <w:rFonts w:ascii="Calibri" w:hAnsi="Calibri"/>
          <w:color w:val="2D2D2D"/>
          <w:sz w:val="22"/>
        </w:rPr>
        <w:t>Government Registry Integration Path (CRITICAL PATH): The verification moat depends on Karnataka Bhoomi/Kaveri 2.0 integration. Submit the registered entity status application immediately — this starts the 6–12 month government relations clock. In parallel, identify 2–3 empaneled lawyers in Bengaluru who can provide structured data extraction as an interim workflow. The platform can operate and accumulate data while the API integration is negotiated.</w:t>
      </w:r>
    </w:p>
    <w:p>
      <w:pPr>
        <w:pStyle w:val="ListNumber"/>
      </w:pPr>
      <w:r>
        <w:rPr>
          <w:rFonts w:ascii="Calibri" w:hAnsi="Calibri"/>
          <w:color w:val="2D2D2D"/>
          <w:sz w:val="22"/>
        </w:rPr>
        <w:t>Investor Distribution Channel (COMMERCIAL VIABILITY): With only 650–1,000 SEBI-accredited investors in India, the platform cannot survive on direct-to-investor customer acquisition. Before building the investor-facing product, secure at least one LOI from a wealth manager (360 ONE, Nuvama, or Kotak) agreeing to pilot the platform with their existing HNI clients. This single partnership changes the commercial viability of the entire model.</w:t>
      </w:r>
    </w:p>
    <w:p>
      <w:r>
        <w:br w:type="page"/>
      </w:r>
    </w:p>
    <w:p>
      <w:pPr>
        <w:pStyle w:val="Heading1"/>
        <w:pBdr>
          <w:bottom w:val="single" w:sz="6" w:space="4" w:color="D1D5DB"/>
        </w:pBdr>
      </w:pPr>
      <w:r>
        <w:rPr>
          <w:rFonts w:ascii="Calibri" w:hAnsi="Calibri"/>
          <w:color w:val="1B365D"/>
        </w:rPr>
        <w:t>SECTION 7: GO/NO-GO RECOMMENDATION</w:t>
      </w:r>
    </w:p>
    <w:p>
      <w:pPr>
        <w:pStyle w:val="Heading2"/>
      </w:pPr>
      <w:r>
        <w:rPr>
          <w:rFonts w:ascii="Calibri" w:hAnsi="Calibri"/>
          <w:color w:val="2E75B6"/>
        </w:rPr>
        <w:t>Verdict: CONDITIONAL GO</w:t>
      </w:r>
    </w:p>
    <w:p>
      <w:pPr>
        <w:jc w:val="left"/>
      </w:pPr>
      <w:r>
        <w:rPr>
          <w:rFonts w:ascii="Calibri" w:hAnsi="Calibri"/>
          <w:b w:val="0"/>
          <w:i w:val="0"/>
          <w:color w:val="2D2D2D"/>
          <w:sz w:val="22"/>
        </w:rPr>
        <w:t>The market is real. The timing is right. The technical moat is genuinely differentiated. But the regulatory structure and distribution network must be validated before a single line of production code is written. The following five conditions are non-negotiable gates — if any one of them cannot be satisfied within 60 days, the business model requires a fundamental pivot before proceeding.</w:t>
      </w:r>
    </w:p>
    <w:p>
      <w:pPr>
        <w:spacing w:before="240" w:after="80"/>
      </w:pPr>
      <w:r>
        <w:rPr>
          <w:rFonts w:ascii="Calibri" w:hAnsi="Calibri"/>
          <w:b/>
          <w:caps/>
          <w:color w:val="5A5A5A"/>
          <w:sz w:val="18"/>
        </w:rPr>
        <w:t>Table 20 — Five Pre-MVP Conditions: Requirements, Deadlines, and Contingencies</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232"/>
        <w:gridCol w:w="2232"/>
        <w:gridCol w:w="2232"/>
        <w:gridCol w:w="2232"/>
      </w:tblGrid>
      <w:tr>
        <w:tc>
          <w:tcPr>
            <w:tcW w:type="dxa" w:w="2232"/>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Condition</w:t>
            </w:r>
          </w:p>
        </w:tc>
        <w:tc>
          <w:tcPr>
            <w:tcW w:type="dxa" w:w="2232"/>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What It Requires</w:t>
            </w:r>
          </w:p>
        </w:tc>
        <w:tc>
          <w:tcPr>
            <w:tcW w:type="dxa" w:w="2232"/>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Deadline</w:t>
            </w:r>
          </w:p>
        </w:tc>
        <w:tc>
          <w:tcPr>
            <w:tcW w:type="dxa" w:w="2232"/>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If NOT Met</w:t>
            </w:r>
          </w:p>
        </w:tc>
      </w:tr>
      <w:tr>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1. Legal opinion on CIS classification</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Written opinion from Nishith Desai/AZB confirming token structure does not constitute unregistered CIS; AIF/SM-REIT wrapper confirmed as compliant pathway</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Day 30</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STOP — do not build; restructure token model or pivot to pure B2B SaaS</w:t>
            </w:r>
          </w:p>
        </w:tc>
      </w:tr>
      <w:tr>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2. Property owner LOI signed</w:t>
            </w:r>
          </w:p>
        </w:tc>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At least 1 developer or family office signs a 1-page LOI for free pilot verification of one Grade-A commercial asset</w:t>
            </w:r>
          </w:p>
        </w:tc>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Day 45</w:t>
            </w:r>
          </w:p>
        </w:tc>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PIVOT — offer free verification service to 10 more owners; if still no LOI, supply-side demand is not validated</w:t>
            </w:r>
          </w:p>
        </w:tc>
      </w:tr>
      <w:tr>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3. Investor interviews completed</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At least 10 investor interviews (NRIs in UAE/USA + HNIs in Bangalore) confirming willingness to invest ₹10L+ in tokenized Grade-A CRE</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Day 45</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PIVOT — if investors demand immediate secondary liquidity, the 3–5 year hold model fails; restructure product</w:t>
            </w:r>
          </w:p>
        </w:tc>
      </w:tr>
      <w:tr>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4. Karnataka registry path confirmed</w:t>
            </w:r>
          </w:p>
        </w:tc>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Karnataka Bhoomi API access application submitted AND either: (a) registered entity status confirmed, or (b) empaneled lawyer workflow identified as credible interim solution</w:t>
            </w:r>
          </w:p>
        </w:tc>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Day 60</w:t>
            </w:r>
          </w:p>
        </w:tc>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DELAY — do not launch verification product without a credible title data source; extend timeline by 3 months</w:t>
            </w:r>
          </w:p>
        </w:tc>
      </w:tr>
      <w:tr>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5. Co-founder or domain advisor identified</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At least 1 person with Indian CRE industry network (developer relationships, wealth manager access, or SEBI/regulatory background) committed as co-founder or formal advisor</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Day 60</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RISK — proceed with caution; technical founder alone cannot navigate the relationship-driven CRE ecosystem at the required speed</w:t>
            </w:r>
          </w:p>
        </w:tc>
      </w:tr>
    </w:tbl>
    <w:p>
      <w:pPr>
        <w:spacing w:before="80" w:after="80"/>
      </w:pPr>
    </w:p>
    <w:p>
      <w:pPr>
        <w:pStyle w:val="Heading2"/>
      </w:pPr>
      <w:r>
        <w:rPr>
          <w:rFonts w:ascii="Calibri" w:hAnsi="Calibri"/>
          <w:color w:val="2E75B6"/>
        </w:rPr>
        <w:t>30-Day Pre-MVP Validation Checklist</w:t>
      </w:r>
    </w:p>
    <w:p>
      <w:pPr>
        <w:pStyle w:val="ListBullet"/>
      </w:pPr>
      <w:r>
        <w:rPr>
          <w:rFonts w:ascii="Calibri" w:hAnsi="Calibri"/>
          <w:color w:val="2D2D2D"/>
          <w:sz w:val="22"/>
        </w:rPr>
        <w:t>[ ] Engage SEBI-specialized lawyer (Nishith Desai or AZB &amp; Partners) — get written CIS classification opinion</w:t>
      </w:r>
    </w:p>
    <w:p>
      <w:pPr>
        <w:pStyle w:val="ListBullet"/>
      </w:pPr>
      <w:r>
        <w:rPr>
          <w:rFonts w:ascii="Calibri" w:hAnsi="Calibri"/>
          <w:color w:val="2D2D2D"/>
          <w:sz w:val="22"/>
        </w:rPr>
        <w:t>[ ] Apply for IFSCA/GIFT City regulatory sandbox (ifsca.gov.in — rolling applications)</w:t>
      </w:r>
    </w:p>
    <w:p>
      <w:pPr>
        <w:pStyle w:val="ListBullet"/>
      </w:pPr>
      <w:r>
        <w:rPr>
          <w:rFonts w:ascii="Calibri" w:hAnsi="Calibri"/>
          <w:color w:val="2D2D2D"/>
          <w:sz w:val="22"/>
        </w:rPr>
        <w:t>[ ] Submit Karnataka Bhoomi registered entity status application</w:t>
      </w:r>
    </w:p>
    <w:p>
      <w:pPr>
        <w:pStyle w:val="ListBullet"/>
      </w:pPr>
      <w:r>
        <w:rPr>
          <w:rFonts w:ascii="Calibri" w:hAnsi="Calibri"/>
          <w:color w:val="2D2D2D"/>
          <w:sz w:val="22"/>
        </w:rPr>
        <w:t>[ ] Complete 10 investor interviews (target: NRIs in UAE/USA, HNIs in Bangalore)</w:t>
      </w:r>
    </w:p>
    <w:p>
      <w:pPr>
        <w:pStyle w:val="ListBullet"/>
      </w:pPr>
      <w:r>
        <w:rPr>
          <w:rFonts w:ascii="Calibri" w:hAnsi="Calibri"/>
          <w:color w:val="2D2D2D"/>
          <w:sz w:val="22"/>
        </w:rPr>
        <w:t>[ ] Complete 5 property owner interviews (target: family offices, small developers in Bengaluru)</w:t>
      </w:r>
    </w:p>
    <w:p>
      <w:pPr>
        <w:pStyle w:val="ListBullet"/>
      </w:pPr>
      <w:r>
        <w:rPr>
          <w:rFonts w:ascii="Calibri" w:hAnsi="Calibri"/>
          <w:color w:val="2D2D2D"/>
          <w:sz w:val="22"/>
        </w:rPr>
        <w:t>[ ] Attend 1 CREDAI or PropTech event (Asia PropTech Forum, July 5, 2025, Gurugram)</w:t>
      </w:r>
    </w:p>
    <w:p>
      <w:pPr>
        <w:pStyle w:val="ListBullet"/>
      </w:pPr>
      <w:r>
        <w:rPr>
          <w:rFonts w:ascii="Calibri" w:hAnsi="Calibri"/>
          <w:color w:val="2D2D2D"/>
          <w:sz w:val="22"/>
        </w:rPr>
        <w:t>[ ] Apply for CREDAI BuildSmart Innovation Challenge 2025 (deadline: November 15, 2025)</w:t>
      </w:r>
    </w:p>
    <w:p>
      <w:pPr>
        <w:pStyle w:val="ListBullet"/>
      </w:pPr>
      <w:r>
        <w:rPr>
          <w:rFonts w:ascii="Calibri" w:hAnsi="Calibri"/>
          <w:color w:val="2D2D2D"/>
          <w:sz w:val="22"/>
        </w:rPr>
        <w:t>[ ] File provisional patent application for verification methodology (₹15,000–₹50,000)</w:t>
      </w:r>
    </w:p>
    <w:p>
      <w:pPr>
        <w:pStyle w:val="ListBullet"/>
      </w:pPr>
      <w:r>
        <w:rPr>
          <w:rFonts w:ascii="Calibri" w:hAnsi="Calibri"/>
          <w:color w:val="2D2D2D"/>
          <w:sz w:val="22"/>
        </w:rPr>
        <w:t>[ ] Identify 1 potential co-founder or domain advisor with CRE industry network</w:t>
      </w:r>
    </w:p>
    <w:p>
      <w:pPr>
        <w:pStyle w:val="ListBullet"/>
      </w:pPr>
      <w:r>
        <w:rPr>
          <w:rFonts w:ascii="Calibri" w:hAnsi="Calibri"/>
          <w:color w:val="2D2D2D"/>
          <w:sz w:val="22"/>
        </w:rPr>
        <w:t>[ ] Register as Financial Information User under RBI's Account Aggregator framework (starts NeSL API access clock)</w:t>
      </w:r>
    </w:p>
    <w:p>
      <w:pPr>
        <w:pStyle w:val="Heading2"/>
      </w:pPr>
      <w:r>
        <w:rPr>
          <w:rFonts w:ascii="Calibri" w:hAnsi="Calibri"/>
          <w:color w:val="2E75B6"/>
        </w:rPr>
        <w:t>Year 1 Success Metrics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232"/>
        <w:gridCol w:w="2232"/>
        <w:gridCol w:w="2232"/>
        <w:gridCol w:w="2232"/>
      </w:tblGrid>
      <w:tr>
        <w:tc>
          <w:tcPr>
            <w:tcW w:type="dxa" w:w="2232"/>
            <w:shd w:val="clear" w:color="auto" w:fill="F2F6FA"/>
            <w:tcMar>
              <w:top w:w="120" w:type="dxa"/>
              <w:bottom w:w="120" w:type="dxa"/>
              <w:start w:w="160" w:type="dxa"/>
              <w:end w:w="160" w:type="dxa"/>
            </w:tcMar>
          </w:tcPr>
          <w:p>
            <w:pPr>
              <w:spacing w:before="0" w:after="40" w:line="240" w:lineRule="auto"/>
              <w:jc w:val="center"/>
            </w:pPr>
            <w:r/>
            <w:r>
              <w:rPr>
                <w:rFonts w:ascii="Calibri" w:hAnsi="Calibri"/>
                <w:b/>
                <w:color w:val="1B365D"/>
                <w:sz w:val="44"/>
              </w:rPr>
              <w:t>5</w:t>
            </w:r>
          </w:p>
          <w:p>
            <w:pPr>
              <w:spacing w:before="0" w:after="40" w:line="240" w:lineRule="auto"/>
              <w:jc w:val="center"/>
            </w:pPr>
            <w:r>
              <w:rPr>
                <w:rFonts w:ascii="Calibri" w:hAnsi="Calibri"/>
                <w:b/>
                <w:color w:val="D97706"/>
                <w:sz w:val="20"/>
              </w:rPr>
              <w:t>Grade-A, Bengaluru</w:t>
            </w:r>
          </w:p>
          <w:p>
            <w:pPr>
              <w:spacing w:before="40" w:after="0" w:line="240" w:lineRule="auto"/>
              <w:jc w:val="center"/>
            </w:pPr>
            <w:r>
              <w:rPr>
                <w:rFonts w:ascii="Calibri" w:hAnsi="Calibri"/>
                <w:caps/>
                <w:color w:val="8B8B8B"/>
                <w:sz w:val="17"/>
              </w:rPr>
              <w:t>Properties Tokenized</w:t>
            </w:r>
          </w:p>
        </w:tc>
        <w:tc>
          <w:tcPr>
            <w:tcW w:type="dxa" w:w="2232"/>
            <w:shd w:val="clear" w:color="auto" w:fill="F2F6FA"/>
            <w:tcMar>
              <w:top w:w="120" w:type="dxa"/>
              <w:bottom w:w="120" w:type="dxa"/>
              <w:start w:w="160" w:type="dxa"/>
              <w:end w:w="160" w:type="dxa"/>
            </w:tcMar>
          </w:tcPr>
          <w:p>
            <w:pPr>
              <w:spacing w:before="0" w:after="40" w:line="240" w:lineRule="auto"/>
              <w:jc w:val="center"/>
            </w:pPr>
            <w:r/>
            <w:r>
              <w:rPr>
                <w:rFonts w:ascii="Calibri" w:hAnsi="Calibri"/>
                <w:b/>
                <w:color w:val="1B365D"/>
                <w:sz w:val="44"/>
              </w:rPr>
              <w:t>50</w:t>
            </w:r>
          </w:p>
          <w:p>
            <w:pPr>
              <w:spacing w:before="0" w:after="40" w:line="240" w:lineRule="auto"/>
              <w:jc w:val="center"/>
            </w:pPr>
            <w:r>
              <w:rPr>
                <w:rFonts w:ascii="Calibri" w:hAnsi="Calibri"/>
                <w:b/>
                <w:color w:val="D97706"/>
                <w:sz w:val="20"/>
              </w:rPr>
              <w:t>NRI + HNI mix</w:t>
            </w:r>
          </w:p>
          <w:p>
            <w:pPr>
              <w:spacing w:before="40" w:after="0" w:line="240" w:lineRule="auto"/>
              <w:jc w:val="center"/>
            </w:pPr>
            <w:r>
              <w:rPr>
                <w:rFonts w:ascii="Calibri" w:hAnsi="Calibri"/>
                <w:caps/>
                <w:color w:val="8B8B8B"/>
                <w:sz w:val="17"/>
              </w:rPr>
              <w:t>Verified Investors</w:t>
            </w:r>
          </w:p>
        </w:tc>
        <w:tc>
          <w:tcPr>
            <w:tcW w:type="dxa" w:w="2232"/>
            <w:shd w:val="clear" w:color="auto" w:fill="F2F6FA"/>
            <w:tcMar>
              <w:top w:w="120" w:type="dxa"/>
              <w:bottom w:w="120" w:type="dxa"/>
              <w:start w:w="160" w:type="dxa"/>
              <w:end w:w="160" w:type="dxa"/>
            </w:tcMar>
          </w:tcPr>
          <w:p>
            <w:pPr>
              <w:spacing w:before="0" w:after="40" w:line="240" w:lineRule="auto"/>
              <w:jc w:val="center"/>
            </w:pPr>
            <w:r/>
            <w:r>
              <w:rPr>
                <w:rFonts w:ascii="Calibri" w:hAnsi="Calibri"/>
                <w:b/>
                <w:color w:val="1B365D"/>
                <w:sz w:val="44"/>
              </w:rPr>
              <w:t>₹5Cr</w:t>
            </w:r>
          </w:p>
          <w:p>
            <w:pPr>
              <w:spacing w:before="0" w:after="40" w:line="240" w:lineRule="auto"/>
              <w:jc w:val="center"/>
            </w:pPr>
            <w:r>
              <w:rPr>
                <w:rFonts w:ascii="Calibri" w:hAnsi="Calibri"/>
                <w:b/>
                <w:color w:val="D97706"/>
                <w:sz w:val="20"/>
              </w:rPr>
              <w:t>Conservative target</w:t>
            </w:r>
          </w:p>
          <w:p>
            <w:pPr>
              <w:spacing w:before="40" w:after="0" w:line="240" w:lineRule="auto"/>
              <w:jc w:val="center"/>
            </w:pPr>
            <w:r>
              <w:rPr>
                <w:rFonts w:ascii="Calibri" w:hAnsi="Calibri"/>
                <w:caps/>
                <w:color w:val="8B8B8B"/>
                <w:sz w:val="17"/>
              </w:rPr>
              <w:t>Total Tokenized Value</w:t>
            </w:r>
          </w:p>
        </w:tc>
        <w:tc>
          <w:tcPr>
            <w:tcW w:type="dxa" w:w="2232"/>
            <w:shd w:val="clear" w:color="auto" w:fill="F2F6FA"/>
            <w:tcMar>
              <w:top w:w="120" w:type="dxa"/>
              <w:bottom w:w="120" w:type="dxa"/>
              <w:start w:w="160" w:type="dxa"/>
              <w:end w:w="160" w:type="dxa"/>
            </w:tcMar>
          </w:tcPr>
          <w:p>
            <w:pPr>
              <w:spacing w:before="0" w:after="40" w:line="240" w:lineRule="auto"/>
              <w:jc w:val="center"/>
            </w:pPr>
            <w:r/>
            <w:r>
              <w:rPr>
                <w:rFonts w:ascii="Calibri" w:hAnsi="Calibri"/>
                <w:b/>
                <w:color w:val="1B365D"/>
                <w:sz w:val="44"/>
              </w:rPr>
              <w:t>1</w:t>
            </w:r>
          </w:p>
          <w:p>
            <w:pPr>
              <w:spacing w:before="0" w:after="40" w:line="240" w:lineRule="auto"/>
              <w:jc w:val="center"/>
            </w:pPr>
            <w:r>
              <w:rPr>
                <w:rFonts w:ascii="Calibri" w:hAnsi="Calibri"/>
                <w:b/>
                <w:color w:val="D97706"/>
                <w:sz w:val="20"/>
              </w:rPr>
              <w:t>Karnataka (manual-assisted)</w:t>
            </w:r>
          </w:p>
          <w:p>
            <w:pPr>
              <w:spacing w:before="40" w:after="0" w:line="240" w:lineRule="auto"/>
              <w:jc w:val="center"/>
            </w:pPr>
            <w:r>
              <w:rPr>
                <w:rFonts w:ascii="Calibri" w:hAnsi="Calibri"/>
                <w:caps/>
                <w:color w:val="8B8B8B"/>
                <w:sz w:val="17"/>
              </w:rPr>
              <w:t>State Registry Live</w:t>
            </w:r>
          </w:p>
        </w:tc>
      </w:tr>
    </w:tbl>
    <w:p>
      <w:pPr>
        <w:spacing w:before="160" w:after="80"/>
      </w:pPr>
    </w:p>
    <w:p>
      <w:pPr>
        <w:spacing w:before="240" w:after="80"/>
      </w:pPr>
      <w:r>
        <w:rPr>
          <w:rFonts w:ascii="Calibri" w:hAnsi="Calibri"/>
          <w:b/>
          <w:caps/>
          <w:color w:val="5A5A5A"/>
          <w:sz w:val="18"/>
        </w:rPr>
        <w:t>Table 21 — Year 1 Milestone Tracker with Leading Indicators</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232"/>
        <w:gridCol w:w="2232"/>
        <w:gridCol w:w="2232"/>
        <w:gridCol w:w="2232"/>
      </w:tblGrid>
      <w:tr>
        <w:tc>
          <w:tcPr>
            <w:tcW w:type="dxa" w:w="2232"/>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Milestone</w:t>
            </w:r>
          </w:p>
        </w:tc>
        <w:tc>
          <w:tcPr>
            <w:tcW w:type="dxa" w:w="2232"/>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Target</w:t>
            </w:r>
          </w:p>
        </w:tc>
        <w:tc>
          <w:tcPr>
            <w:tcW w:type="dxa" w:w="2232"/>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Timeline</w:t>
            </w:r>
          </w:p>
        </w:tc>
        <w:tc>
          <w:tcPr>
            <w:tcW w:type="dxa" w:w="2232"/>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Leading Indicator</w:t>
            </w:r>
          </w:p>
        </w:tc>
      </w:tr>
      <w:tr>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First property tokenized</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1 Grade-A commercial asset, ₹25–100Cr, Bengaluru</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Month 6</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LOI signed by Month 2; legal structure confirmed by Month 3</w:t>
            </w:r>
          </w:p>
        </w:tc>
      </w:tr>
      <w:tr>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First investor onboarded</w:t>
            </w:r>
          </w:p>
        </w:tc>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1 NRI or HNI investor, ₹10L+ investment</w:t>
            </w:r>
          </w:p>
        </w:tc>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Month 5</w:t>
            </w:r>
          </w:p>
        </w:tc>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10 investor interviews completed by Month 2</w:t>
            </w:r>
          </w:p>
        </w:tc>
      </w:tr>
      <w:tr>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Karnataka integration live</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Manual-assisted workflow with digital document management</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Month 4</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API application submitted by Month 1; empaneled lawyer identified by Month 2</w:t>
            </w:r>
          </w:p>
        </w:tc>
      </w:tr>
      <w:tr>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SEBI/IFSCA sandbox application</w:t>
            </w:r>
          </w:p>
        </w:tc>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Application submitted to SEBI or IFSCA</w:t>
            </w:r>
          </w:p>
        </w:tc>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Month 3</w:t>
            </w:r>
          </w:p>
        </w:tc>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Legal opinion obtained by Month 1; application prepared by Month 2</w:t>
            </w:r>
          </w:p>
        </w:tc>
      </w:tr>
      <w:tr>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Provisional patent filed</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Verification methodology patent at India Patent Office</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Month 6</w:t>
            </w:r>
          </w:p>
        </w:tc>
        <w:tc>
          <w:tcPr>
            <w:tcW w:type="dxa" w:w="2232"/>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MVP launched; methodology documented</w:t>
            </w:r>
          </w:p>
        </w:tc>
      </w:tr>
      <w:tr>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First revenue generated</w:t>
            </w:r>
          </w:p>
        </w:tc>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Verification fee from pilot property (₹50,000–₹5,00,000)</w:t>
            </w:r>
          </w:p>
        </w:tc>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Month 4–5</w:t>
            </w:r>
          </w:p>
        </w:tc>
        <w:tc>
          <w:tcPr>
            <w:tcW w:type="dxa" w:w="2232"/>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Property owner LOI signed; verification completed</w:t>
            </w:r>
          </w:p>
        </w:tc>
      </w:tr>
    </w:tbl>
    <w:p>
      <w:pPr>
        <w:spacing w:before="80" w:after="80"/>
      </w:pPr>
    </w:p>
    <w:p>
      <w:pPr>
        <w:pStyle w:val="Heading2"/>
      </w:pPr>
      <w:r>
        <w:rPr>
          <w:rFonts w:ascii="Calibri" w:hAnsi="Calibri"/>
          <w:color w:val="2E75B6"/>
        </w:rPr>
        <w:t>Final Message to the Founder</w:t>
      </w:r>
    </w:p>
    <w:p>
      <w:pPr>
        <w:jc w:val="left"/>
      </w:pPr>
      <w:r>
        <w:rPr>
          <w:rFonts w:ascii="Calibri" w:hAnsi="Calibri"/>
          <w:b w:val="0"/>
          <w:i w:val="0"/>
          <w:color w:val="2D2D2D"/>
          <w:sz w:val="22"/>
        </w:rPr>
        <w:t>The market is real. The timing is right — SEBI's SM-REIT framework (March 2024) is the regulatory green light this space needed, and PropShare's BSE listing (December 2024) is the proof-of-concept that the exit model works. Your technical moat — automated verification + blockchain tokenization + Solana-speed secondary market — is genuinely differentiated. No existing platform does all three. The verification database you will build over 3–5 years is the CIBIL equivalent for Indian property titles, and it cannot be replicated by throwing money at the problem.</w:t>
      </w:r>
    </w:p>
    <w:p>
      <w:pPr>
        <w:jc w:val="left"/>
      </w:pPr>
      <w:r>
        <w:rPr>
          <w:rFonts w:ascii="Calibri" w:hAnsi="Calibri"/>
          <w:b w:val="0"/>
          <w:i w:val="0"/>
          <w:color w:val="2D2D2D"/>
          <w:sz w:val="22"/>
        </w:rPr>
        <w:t>The biggest risk is not the technology. It is the regulatory structure and the network you need to build. You got overwhelmed on previous projects because you built the engine before checking if the road existed. For the next 30 days, your only 'code' is your prototype slide deck, and your only 'compiler' is the harsh feedback of wealth managers and legal associates. If you secure the legal framework and the B2B pipeline, your technical execution will steamroll the competition. Validate the road first. Build the engine second.</w:t>
      </w:r>
    </w:p>
    <w:p>
      <w:pPr>
        <w:spacing w:before="160" w:after="160"/>
        <w:shd w:val="clear" w:color="auto" w:fill="ECFDF5"/>
        <w:pBdr>
          <w:left w:val="single" w:sz="24" w:space="8" w:color="059669"/>
        </w:pBdr>
        <w:ind w:left="240" w:right="240"/>
      </w:pPr>
      <w:r>
        <w:rPr>
          <w:rFonts w:ascii="Calibri" w:hAnsi="Calibri"/>
          <w:color w:val="2D2D2D"/>
          <w:sz w:val="20"/>
        </w:rPr>
        <w:t>THE SINGLE MOST IMPORTANT ACTION IN THE NEXT 90 DAYS: Initiate the Karnataka Bhoomi API access application and the NeSL registration process — TODAY. These government relationships are the critical path to the verification moat, and they take longer than any technical development work. Start them immediately, in parallel with everything else. The platform that builds this database first wins. That platform should be SolEstate.</w:t>
      </w:r>
    </w:p>
    <w:p>
      <w:pPr>
        <w:spacing w:before="160" w:after="160"/>
        <w:pBdr>
          <w:bottom w:val="single" w:sz="4" w:space="0" w:color="D1D5DB"/>
        </w:pBdr>
      </w:pPr>
    </w:p>
    <w:p>
      <w:pPr>
        <w:pStyle w:val="Heading1"/>
        <w:pBdr>
          <w:bottom w:val="single" w:sz="6" w:space="4" w:color="D1D5DB"/>
        </w:pBdr>
      </w:pPr>
      <w:r>
        <w:rPr>
          <w:rFonts w:ascii="Calibri" w:hAnsi="Calibri"/>
          <w:color w:val="1B365D"/>
        </w:rPr>
        <w:t>APPENDIX: Key Statistics Reference</w:t>
      </w:r>
    </w:p>
    <w:p>
      <w:pPr>
        <w:spacing w:before="240" w:after="80"/>
      </w:pPr>
      <w:r>
        <w:rPr>
          <w:rFonts w:ascii="Calibri" w:hAnsi="Calibri"/>
          <w:b/>
          <w:caps/>
          <w:color w:val="5A5A5A"/>
          <w:sz w:val="18"/>
        </w:rPr>
        <w:t>Table 22 — Key Statistics Reference with Source and Confidence Level</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86"/>
        <w:gridCol w:w="1786"/>
        <w:gridCol w:w="1786"/>
        <w:gridCol w:w="1786"/>
        <w:gridCol w:w="1786"/>
      </w:tblGrid>
      <w:tr>
        <w:tc>
          <w:tcPr>
            <w:tcW w:type="dxa" w:w="1786"/>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Metric</w:t>
            </w:r>
          </w:p>
        </w:tc>
        <w:tc>
          <w:tcPr>
            <w:tcW w:type="dxa" w:w="1786"/>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Value</w:t>
            </w:r>
          </w:p>
        </w:tc>
        <w:tc>
          <w:tcPr>
            <w:tcW w:type="dxa" w:w="1786"/>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Source</w:t>
            </w:r>
          </w:p>
        </w:tc>
        <w:tc>
          <w:tcPr>
            <w:tcW w:type="dxa" w:w="1786"/>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Year</w:t>
            </w:r>
          </w:p>
        </w:tc>
        <w:tc>
          <w:tcPr>
            <w:tcW w:type="dxa" w:w="1786"/>
            <w:shd w:val="clear" w:color="auto" w:fill="1B365D"/>
            <w:tcMar>
              <w:top w:w="60" w:type="dxa"/>
              <w:bottom w:w="60" w:type="dxa"/>
              <w:start w:w="100" w:type="dxa"/>
              <w:end w:w="100" w:type="dxa"/>
            </w:tcMar>
            <w:vAlign w:val="center"/>
            <w:tcBorders>
              <w:top w:val="single" w:sz="0" w:space="0" w:color="1B365D"/>
              <w:left w:val="single" w:sz="0" w:space="0" w:color="1B365D"/>
              <w:bottom w:val="single" w:sz="0" w:space="0" w:color="1B365D"/>
              <w:right w:val="single" w:sz="0" w:space="0" w:color="1B365D"/>
            </w:tcBorders>
          </w:tcPr>
          <w:p>
            <w:pPr>
              <w:spacing w:before="0" w:after="0" w:line="240" w:lineRule="auto"/>
            </w:pPr>
            <w:r/>
            <w:r>
              <w:rPr>
                <w:rFonts w:ascii="Calibri" w:hAnsi="Calibri"/>
                <w:b/>
                <w:color w:val="FFFFFF"/>
                <w:sz w:val="18"/>
              </w:rPr>
              <w:t>Confidence</w:t>
            </w:r>
          </w:p>
        </w:tc>
      </w:tr>
      <w:tr>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Fractional RE Market Size (India)</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₹9,800 Crore</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Knight Frank</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2025</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High</w:t>
            </w:r>
          </w:p>
        </w:tc>
      </w:tr>
      <w:tr>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Fractional RE Market Growth</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326% (since 2021)</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Knight Frank</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2021–2025</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High</w:t>
            </w:r>
          </w:p>
        </w:tc>
      </w:tr>
      <w:tr>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Commercial RE Market Size (India)</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~$59.7 Billion</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IMARC</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2025</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High</w:t>
            </w:r>
          </w:p>
        </w:tc>
      </w:tr>
      <w:tr>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CRE Market Projection</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~$281.7 Billion</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IMARC</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2034</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High</w:t>
            </w:r>
          </w:p>
        </w:tc>
      </w:tr>
      <w:tr>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PropShare AUM</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~₹1,708 Crore</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Platform data</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2024–2026</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High</w:t>
            </w:r>
          </w:p>
        </w:tc>
      </w:tr>
      <w:tr>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hBits AUM</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~₹365 Crore; ₹25,000Cr evaluated</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Platform data</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2024–2026</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High</w:t>
            </w:r>
          </w:p>
        </w:tc>
      </w:tr>
      <w:tr>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WiseX AUM</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&gt;₹400 Crore</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Platform data</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2024–2026</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High</w:t>
            </w:r>
          </w:p>
        </w:tc>
      </w:tr>
      <w:tr>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SEBI SM-REIT Min. Investment</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₹10 Lakh</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SEBI Circular</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March 2024</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High</w:t>
            </w:r>
          </w:p>
        </w:tc>
      </w:tr>
      <w:tr>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SEBI SM-REIT Min. Asset Value</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₹50 Crore</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SEBI Circular</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March 2024</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High</w:t>
            </w:r>
          </w:p>
        </w:tc>
      </w:tr>
      <w:tr>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SEBI SM-REIT Distribution Requirement</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90% of taxable income</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SEBI Circular</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March 2024</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High</w:t>
            </w:r>
          </w:p>
        </w:tc>
      </w:tr>
      <w:tr>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Total HNIs in India (≥₹5Cr)</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~850,000</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Industry research</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2024</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High</w:t>
            </w:r>
          </w:p>
        </w:tc>
      </w:tr>
      <w:tr>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Official SEBI Accredited Investors</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~650–1,000</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SEBI/Lexology</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2025</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High</w:t>
            </w:r>
          </w:p>
        </w:tc>
      </w:tr>
      <w:tr>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Land with Title Disputes (India)</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&gt;4.9 Million Hectares</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Industry research</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2025</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High</w:t>
            </w:r>
          </w:p>
        </w:tc>
      </w:tr>
      <w:tr>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NRI Diaspora Size</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32M+</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Government data</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2025</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High</w:t>
            </w:r>
          </w:p>
        </w:tc>
      </w:tr>
      <w:tr>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NRI Annual RE Investment</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$13–15 Billion</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FEMA/RBI estimates</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2025</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Medium</w:t>
            </w:r>
          </w:p>
        </w:tc>
      </w:tr>
      <w:tr>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Solana Transaction Cost</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$0.00025 per transaction</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Solana Foundation</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2025</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High</w:t>
            </w:r>
          </w:p>
        </w:tc>
      </w:tr>
      <w:tr>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Solana Sustained TPS</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~1,100 TPS (median)</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Network data</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2025</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High</w:t>
            </w:r>
          </w:p>
        </w:tc>
      </w:tr>
      <w:tr>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Solana RWA Ecosystem Value</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~$407 Million</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RWA.xyz</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2025</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High</w:t>
            </w:r>
          </w:p>
        </w:tc>
      </w:tr>
      <w:tr>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Global RWA On-Chain TVL</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$24.54 Billion (excl. stablecoins)</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RWA.xyz</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Mid-2025</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High</w:t>
            </w:r>
          </w:p>
        </w:tc>
      </w:tr>
      <w:tr>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PE Investment in Indian RE (H1 FY26)</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$2.2 Billion (down 15%)</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Times of India</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2026</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High</w:t>
            </w:r>
          </w:p>
        </w:tc>
      </w:tr>
      <w:tr>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India Asset Tokenization Market</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~$122.4 Million</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Coherent Market Insights</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2025</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Medium</w:t>
            </w:r>
          </w:p>
        </w:tc>
      </w:tr>
      <w:tr>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India Asset Tokenization Projection</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$222.3 Million by 2032</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Coherent Market Insights</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2032</w:t>
            </w:r>
          </w:p>
        </w:tc>
        <w:tc>
          <w:tcPr>
            <w:tcW w:type="dxa" w:w="1786"/>
            <w:tcMar>
              <w:top w:w="60" w:type="dxa"/>
              <w:bottom w:w="60" w:type="dxa"/>
              <w:start w:w="100" w:type="dxa"/>
              <w:end w:w="100" w:type="dxa"/>
            </w:tcMar>
            <w:vAlign w:val="center"/>
            <w:shd w:val="clear" w:color="auto" w:fill="F8FAFC"/>
            <w:tcBorders>
              <w:bottom w:val="single" w:sz="2" w:space="0" w:color="D1D5DB"/>
            </w:tcBorders>
          </w:tcPr>
          <w:p>
            <w:pPr>
              <w:spacing w:before="0" w:after="0" w:line="240" w:lineRule="auto"/>
            </w:pPr>
            <w:r/>
            <w:r>
              <w:rPr>
                <w:rFonts w:ascii="Calibri" w:hAnsi="Calibri"/>
                <w:color w:val="2D2D2D"/>
                <w:sz w:val="20"/>
              </w:rPr>
              <w:t>Medium</w:t>
            </w:r>
          </w:p>
        </w:tc>
      </w:tr>
      <w:tr>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McKinsey Global Tokenized RE Forecast</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$0.8–3.8 Trillion</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McKinsey</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2030</w:t>
            </w:r>
          </w:p>
        </w:tc>
        <w:tc>
          <w:tcPr>
            <w:tcW w:type="dxa" w:w="1786"/>
            <w:tcMar>
              <w:top w:w="60" w:type="dxa"/>
              <w:bottom w:w="60" w:type="dxa"/>
              <w:start w:w="100" w:type="dxa"/>
              <w:end w:w="100" w:type="dxa"/>
            </w:tcMar>
            <w:vAlign w:val="center"/>
            <w:tcBorders>
              <w:bottom w:val="single" w:sz="2" w:space="0" w:color="D1D5DB"/>
            </w:tcBorders>
          </w:tcPr>
          <w:p>
            <w:pPr>
              <w:spacing w:before="0" w:after="0" w:line="240" w:lineRule="auto"/>
            </w:pPr>
            <w:r/>
            <w:r>
              <w:rPr>
                <w:rFonts w:ascii="Calibri" w:hAnsi="Calibri"/>
                <w:color w:val="2D2D2D"/>
                <w:sz w:val="20"/>
              </w:rPr>
              <w:t>Medium</w:t>
            </w:r>
          </w:p>
        </w:tc>
      </w:tr>
    </w:tbl>
    <w:p>
      <w:pPr>
        <w:spacing w:before="80" w:after="80"/>
      </w:pPr>
    </w:p>
    <w:sectPr w:rsidR="00FC693F" w:rsidRPr="0006063C" w:rsidSect="00034616">
      <w:headerReference w:type="default" r:id="rId9"/>
      <w:footerReference w:type="default" r:id="rId10"/>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olor w:val="8B8B8B"/>
        <w:sz w:val="16"/>
      </w:rPr>
      <w:t>Sources: SEBI, Knight Frank, IMARC, Nishith Desai Associates, RBI, IFSCA | Research as of 2026</w:t>
    </w:r>
    <w:r>
      <w:rPr>
        <w:color w:val="8B8B8B"/>
        <w:sz w:val="16"/>
      </w:rPr>
      <w:t xml:space="preserve">    |    </w:t>
    </w:r>
    <w:r>
      <w:rPr>
        <w:rFonts w:ascii="Calibri" w:hAnsi="Calibri"/>
        <w:color w:val="8B8B8B"/>
        <w:sz w:val="16"/>
      </w:rPr>
      <w:fldChar w:fldCharType="begin"/>
    </w:r>
    <w:r>
      <w:rPr>
        <w:rFonts w:ascii="Calibri" w:hAnsi="Calibri"/>
        <w:color w:val="8B8B8B"/>
        <w:sz w:val="16"/>
      </w:rPr>
      <w:instrText xml:space="preserve"> PAGE </w:instrText>
    </w:r>
    <w:r>
      <w:rPr>
        <w:rFonts w:ascii="Calibri" w:hAnsi="Calibri"/>
        <w:color w:val="8B8B8B"/>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B8B8B"/>
        <w:sz w:val="16"/>
      </w:rPr>
      <w:t>SOLESTATE • CONFIDENTIAL • NOT FOR DISTRIBUTION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312"/>
    </w:pPr>
    <w:rPr>
      <w:rFonts w:ascii="Calibri" w:hAnsi="Calibri"/>
      <w:color w:val="2D2D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B365D"/>
      <w:sz w:val="36"/>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Calibri" w:hAnsi="Calibri"/>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4472C4"/>
      <w:sz w:val="24"/>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iCs/>
      <w:color w:val="4472C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20" w:after="20" w:line="312" w:lineRule="auto"/>
      <w:contextualSpacing/>
    </w:pPr>
    <w:rPr>
      <w:rFonts w:ascii="Calibri" w:hAnsi="Calibri"/>
      <w:color w:val="2D2D2D"/>
      <w:sz w:val="22"/>
    </w:rPr>
  </w:style>
  <w:style w:type="paragraph" w:styleId="ListBullet2">
    <w:name w:val="List Bullet 2"/>
    <w:basedOn w:val="Normal"/>
    <w:uiPriority w:val="99"/>
    <w:unhideWhenUsed/>
    <w:rsid w:val="00326F90"/>
    <w:pPr>
      <w:numPr>
        <w:numId w:val="2"/>
      </w:numPr>
      <w:spacing w:before="20" w:after="20" w:line="312" w:lineRule="auto"/>
      <w:contextualSpacing/>
    </w:pPr>
    <w:rPr>
      <w:rFonts w:ascii="Calibri" w:hAnsi="Calibri"/>
      <w:color w:val="2D2D2D"/>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20" w:after="20" w:line="312" w:lineRule="auto"/>
      <w:contextualSpacing/>
    </w:pPr>
    <w:rPr>
      <w:rFonts w:ascii="Calibri" w:hAnsi="Calibri"/>
      <w:color w:val="2D2D2D"/>
      <w:sz w:val="22"/>
    </w:rPr>
  </w:style>
  <w:style w:type="paragraph" w:styleId="ListNumber2">
    <w:name w:val="List Number 2"/>
    <w:basedOn w:val="Normal"/>
    <w:uiPriority w:val="99"/>
    <w:unhideWhenUsed/>
    <w:rsid w:val="0029639D"/>
    <w:pPr>
      <w:numPr>
        <w:numId w:val="6"/>
      </w:numPr>
      <w:spacing w:before="20" w:after="20" w:line="312" w:lineRule="auto"/>
      <w:contextualSpacing/>
    </w:pPr>
    <w:rPr>
      <w:rFonts w:ascii="Calibri" w:hAnsi="Calibri"/>
      <w:color w:val="2D2D2D"/>
      <w:sz w:val="22"/>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SolEstate Founding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