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spacing w:before="0" w:after="140"/>
        <w:rPr/>
      </w:pPr>
      <w:r>
        <w:rPr/>
        <w:t>Ha habido un problema y es que en el servidor de Amazon no tenía instalado la extension php-xml, despues de instalarlo, todo ha continuado funcionando con normalidad.</w:t>
      </w:r>
    </w:p>
    <w:p>
      <w:pPr>
        <w:pStyle w:val="TextBody"/>
        <w:spacing w:before="0" w:after="140"/>
        <w:rPr/>
      </w:pPr>
      <w:r>
        <w:rPr/>
      </w:r>
    </w:p>
    <w:p>
      <w:pPr>
        <w:pStyle w:val="TextBody"/>
        <w:spacing w:before="0" w:after="1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LibreOffice/5.2.6.2$Linux_X86_64 LibreOffice_project/20$Build-2</Application>
  <Pages>14</Pages>
  <Words>2763</Words>
  <Characters>14541</Characters>
  <CharactersWithSpaces>17515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2017-05-07T14:38:22Z</dcterms:modified>
  <cp:revision>70</cp:revision>
  <dc:subject/>
  <dc:title/>
</cp:coreProperties>
</file>