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Сервис прогнозирования отказов датчиков</w:t>
      </w:r>
    </w:p>
    <w:p>
      <w:pPr>
        <w:pStyle w:val="Title"/>
        <w:spacing w:after="400"/>
      </w:pPr>
      <w:r>
        <w:t xml:space="preserve">инженерных систем ЖКХ</w:t>
      </w:r>
    </w:p>
    <w:p>
      <w:pPr>
        <w:spacing w:after="150"/>
      </w:pPr>
      <w:r>
        <w:rPr>
          <w:i/>
          <w:iCs/>
          <w:sz w:val="26"/>
          <w:szCs w:val="26"/>
        </w:rPr>
        <w:t xml:space="preserve">Сопроводительная документация к конкурсному прототипу</w:t>
      </w:r>
    </w:p>
    <w:p>
      <w:pPr>
        <w:spacing w:after="150"/>
      </w:pPr>
      <w:r>
        <w:rPr>
          <w:sz w:val="22"/>
          <w:szCs w:val="22"/>
        </w:rPr>
        <w:t xml:space="preserve">Департамент ЖКХ города Москвы · АО «Москоллектор» — направление «Отказ датчика»</w:t>
      </w:r>
    </w:p>
    <w:p>
      <w:pPr>
        <w:spacing w:after="150"/>
      </w:pPr>
      <w:r>
        <w:rPr>
          <w:color w:val="666666"/>
          <w:sz w:val="20"/>
          <w:szCs w:val="20"/>
        </w:rPr>
        <w:t xml:space="preserve">Версия документа: 22 сентября 2026 года</w:t>
      </w:r>
    </w:p>
    <w:p>
      <w:pPr>
        <w:pStyle w:val="Heading1"/>
        <w:spacing w:after="200" w:before="400"/>
      </w:pPr>
      <w:r>
        <w:t xml:space="preserve">1. Общее описание решения</w:t>
      </w:r>
    </w:p>
    <w:p>
      <w:pPr>
        <w:spacing w:after="150"/>
      </w:pPr>
      <w:r>
        <w:t xml:space="preserve">Веб-сервис прогнозирования отказов датчиков инженерных систем (насос/вентилятор, дым/газ) с диспетчерским интерфейсом, объяснимой ML-моделью и формированием заявок на превентивное обслуживание по решению диспетчера. Прототип развёрнут и доступен по адресу jkh.devcosmos.ru.</w:t>
      </w:r>
    </w:p>
    <w:p>
      <w:pPr>
        <w:spacing w:after="150"/>
      </w:pPr>
      <w:r>
        <w:t xml:space="preserve">Ключевые задачи, которые решает сервис: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прогнозирование отказа датчика на горизонте 24 часа с указанием вероятности и объяснением;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приоритизация внимания диспетчера — короткий список рисков вместо потока сырых событий;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фиксация решений диспетчера (наблюдать / направить на проверку / отклонить / уточнить) с журналом аудита;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формирование заявки на обслуживание по явному решению диспетчера (автосоздание по правилу отключено — решение принимает человек).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аналитика и отчётность по историческим инцидентам, сезонности и заявкам на обслуживание (экспорт XLSX/PDF), реестр версий моделей с метриками.</w:t>
      </w:r>
    </w:p>
    <w:p>
      <w:pPr>
        <w:spacing w:after="150"/>
      </w:pPr>
      <w:r>
        <w:t xml:space="preserve">Документ закрывает требования раздела 14 ЖКХ.md: используемые методы обработки данных, условия и ограничения решения, инструкции по сборке/установке, функциональную и компонентную архитектуру.</w:t>
      </w:r>
    </w:p>
    <w:p>
      <w:pPr>
        <w:pStyle w:val="Heading1"/>
        <w:spacing w:after="200" w:before="400"/>
      </w:pPr>
      <w:r>
        <w:t xml:space="preserve">2. Функциональная и компонентная архитектура</w:t>
      </w:r>
    </w:p>
    <w:p>
      <w:pPr>
        <w:pStyle w:val="Heading2"/>
        <w:spacing w:after="150" w:before="300"/>
      </w:pPr>
      <w:r>
        <w:t xml:space="preserve">2.1. Компоненты системы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600"/>
      </w:tblGrid>
      <w:tr>
        <w:trPr>
          <w:tblHeader/>
        </w:trPr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5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FastAPI, SQLAlchemy, Alembic (Python 3.12)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API, авторизация (JWT), бизнес-логика, миграции схемы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Тот же backend-код + CatBoost, scikit-learn, pandas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Фоновый процесс: проигрывает поток исторических событий, считает признаки, вызывает модель, создаёт риск-кейсы и черновики заявок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18 + TypeScript, Vite, Tailwind CSS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Веб-интерфейс диспетчера: дашборд, риски, журнал, заявки, реестр объектов/каналов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Единственное хранилище состояния — оперативные данные, история прогнозов и решений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caddy (только прод)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Caddy 2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Обратный прокси, автоматический TLS-сертификат (Let's Encrypt)</w:t>
            </w:r>
          </w:p>
        </w:tc>
      </w:tr>
    </w:tbl>
    <w:p>
      <w:pPr>
        <w:pStyle w:val="Heading2"/>
        <w:spacing w:after="150" w:before="300"/>
      </w:pPr>
      <w:r>
        <w:t xml:space="preserve">2.2. Поток данных</w:t>
      </w:r>
    </w:p>
    <w:p>
      <w:pPr>
        <w:spacing w:after="150"/>
      </w:pPr>
      <w:r>
        <w:t xml:space="preserve">1) Исторический импорт: CSV-архивы → scripts/import_analysis_to_db.py → PostgreSQL (каналы, объекты, эпизоды неисправностей, версии моделей, риск-кейсы, прогнозы).</w:t>
      </w:r>
    </w:p>
    <w:p>
      <w:pPr>
        <w:spacing w:after="150"/>
      </w:pPr>
      <w:r>
        <w:t xml:space="preserve">2) Живой инференс: worker проигрывает тот же поток событий через тот же путь обработки, что будет использовать реальный адаптер источника (СМВУ) — на каждом тике считает поведенческие признаки по каналу, вызывает обученную модель (CatBoost.predict_proba), при превышении порога создаёт риск-кейс с SHAP-объяснением; заявка на обслуживание создаётся только явным решением диспетчера на карточке риска, автосоздания по правилу нет.</w:t>
      </w:r>
    </w:p>
    <w:p>
      <w:pPr>
        <w:spacing w:after="150"/>
      </w:pPr>
      <w:r>
        <w:t xml:space="preserve">3) Frontend обращается только к REST API backend'а — не имеет прямого доступа к БД. Все данные на экране — сохранённые записи, а не значения, нарисованные на клиенте.</w:t>
      </w:r>
    </w:p>
    <w:p>
      <w:pPr>
        <w:pStyle w:val="Heading2"/>
        <w:spacing w:after="150" w:before="300"/>
      </w:pPr>
      <w:r>
        <w:t xml:space="preserve">2.3. Модель данных (основные сущности)</w:t>
      </w:r>
    </w:p>
    <w:p>
      <w:pPr>
        <w:spacing w:after="150"/>
      </w:pPr>
      <w:r>
        <w:t xml:space="preserve">Object (объект, иерархия), Channel (канал датчика, привязан к объекту и, где сопоставлено, к физическому Device), IncidentEpisode (очищенный эпизод неисправности), ModelVersion, Prediction (журнал прогнозов с вероятностью и SHAP), RiskCase (открытый риск, статус, приоритет), Decision (решение диспетчера), MaintenanceRequest (заявка со сменой статусов), User/UserObjectAccess (роли и доступ по объектам), AuditLog (журнал действий).</w:t>
      </w:r>
    </w:p>
    <w:p>
      <w:pPr>
        <w:pStyle w:val="Heading1"/>
        <w:spacing w:after="200" w:before="400"/>
      </w:pPr>
      <w:r>
        <w:t xml:space="preserve">3. Используемые методы обработки данных</w:t>
      </w:r>
    </w:p>
    <w:p>
      <w:pPr>
        <w:pStyle w:val="Heading2"/>
        <w:spacing w:after="150" w:before="300"/>
      </w:pPr>
      <w:r>
        <w:t xml:space="preserve">3.1. Подготовка данных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Аудит 8 годовых архивов (2019–2026, ~313 млн событий, ~16 ГБ), манифест с SHA-256, полный профиль по годам.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Построение очищенных эпизодов отказа (насос, вентилятор, дым, газ) двухслойным денойзингом: фильтр дневного флаппинга (&gt;10 переходов/сутки на канал) + debounce устойчивости ≥1 час.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Политика разметки без доступа к эксперту зафиксирована отдельно (docs/label-policy.md): целевая метка — «переход в устойчивое состояние “Неисправен”» в ближайшие 24 часа.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Соответствие канал → физическое устройство для насос/вентилятор построено эвристически: идентификатор устройства (номер + пикет) парсится из свободнотекстового названия датчика, покрытие 87.8% каналов (469/534).</w:t>
      </w:r>
    </w:p>
    <w:p>
      <w:pPr>
        <w:pStyle w:val="Heading2"/>
        <w:spacing w:after="150" w:before="300"/>
      </w:pPr>
      <w:r>
        <w:t xml:space="preserve">3.2. Признаки и модель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Витрина признаков на часовой сетке: окна 1ч/24ч/7сут, свежесть последнего события, соседи по расположению.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Два независимых CatBoostClassifier (насос/вентилятор и дым/газ) с временным train/validation/test и разрывом 24 часа на границах — без утечки будущего в обучение.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Базовая линия для сравнения — простая эвристика, ROC-AUC которой заведомо хуже CatBoost (0.54 против 0.71 на насос/вентилятор).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Объяснение каждого прогноза — SHAP-значения из самого CatBoost (get_feature_importance, type=ShapValues), а не отдельная библиотека.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Поверх SHAP — необязательный слой удобства: краткое резюме прогноза на естественном языке от LLM (через прокси-провайдера), пересказывающее те же SHAP-факторы словами для диспетчера; не подменяет и не заменяет объяснение модели.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Независимый сигнал аномальности — необученный IsolationForest на тех же поведенческих признаках, способен отметить поведение вне размеченных сценариев отказа.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Дополнительный сигнал — тренд деградации канала: сравнение частоты «чистых» (не флаппинг) эпизодов за недавний и базовый 90-дневные периоды (worsening/stable/improving).</w:t>
      </w:r>
    </w:p>
    <w:p>
      <w:pPr>
        <w:pStyle w:val="Heading2"/>
        <w:spacing w:after="150" w:before="300"/>
      </w:pPr>
      <w:r>
        <w:t xml:space="preserve">3.3. Честная оценка качества</w:t>
      </w:r>
    </w:p>
    <w:p>
      <w:pPr>
        <w:spacing w:after="150"/>
      </w:pPr>
      <w:r>
        <w:t xml:space="preserve">Целевые показатели Precision &gt; 0.7 и Recall &gt; 0.5 не достигнуты ни для насос/вентилятор (ROC-AUC 0.71), ни для дым/газ (ROC-AUC 0.63) — притом что оба заметно лучше случайного угадывания (0.5) и базовой линии. На эпизодном уровне лучший проверенный порог ловит около 15% реальных эпизодов при ~37 ложных сериях предупреждений на каждую верную. Три проверенные гипотезы улучшения признаков (соседние устройства в отказе, дневная гранулярность, числовые показания газовых каналов) не дали качественного прорыва. Полный разбор с методикой — docs/analysis/model_report_насос_вентилятор.md и model_report_дым_газ.md. Организаторы подтвердили (см. Приложение A), что целевые метрики плановые, а не жёсткие требования, и их можно снижать при обоснованном разборе причин — рабочая точка порога выбрана по эпизодной оценке, а не по формальному 0.7/0.5.</w:t>
      </w:r>
    </w:p>
    <w:p>
      <w:pPr>
        <w:pStyle w:val="Heading1"/>
        <w:spacing w:after="200" w:before="400"/>
      </w:pPr>
      <w:r>
        <w:t xml:space="preserve">4. Условия и ограничения решения</w:t>
      </w:r>
    </w:p>
    <w:p>
      <w:pPr>
        <w:spacing w:after="150"/>
      </w:pPr>
      <w:r>
        <w:t xml:space="preserve">Полная таблица — docs/Матрица_соответствия_ТЗ.md. Ниже сведены пункты, отклонённые от базового ТЗ, с обоснованием.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6900"/>
      </w:tblGrid>
      <w:tr>
        <w:trPr>
          <w:tblHeader/>
        </w:trPr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Пункт ТЗ</w:t>
            </w:r>
          </w:p>
        </w:tc>
        <w:tc>
          <w:tcPr>
            <w:tcW w:type="dxa" w:w="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Интерактивная GPS-карта (раздел 10)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Заменено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Организаторы подтвердили: реальных координат объектов не будет никогда (только текущие, теряются при демонтаже датчика) — иерархическая схема объектов с цветовой индикацией риска рекомендована ими же вместо карты.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Сценарный анализ пожар/проникновение/подтопление (раздел 6)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реализовано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Вне объёма двухнедельного MVP; направления оцениваются организаторами независимо, жёсткого приоритета нет. Трек дым/газ частично касается пожарного риска теми же датчиками, но не заявлен как отдельное направление.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Интеграция с СМВУ, журналами ОДС, внешним реестром оборудования (разделы 6, 7, 10)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Заменено имитацией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Реального доступа нет и не будет (подтверждено организаторами) — заменено воспроизведением исторических событий через тот же путь обработки, что будет использовать реальный адаптер источника.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LDAP/AD (раздел 11)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реализовано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Тестового контура LDAP/AD на время мероприятия нет; локальная JWT-авторизация с ролями и матрицей доступа по объектам — принятое временное решение для MVP.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RBAC по подразделениям (раздел 11)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Реализованы роли (admin/dispatcher) и доступ по объектам (UserObjectAccess); полная матрица по организационным подразделениям — задел для будущего пилота.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Push/WebSocket-уведомления (раздел 10)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Заменено периодическим опросом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Организаторы подтвердили: push/email/SMS/эскалации желательны, но не обязательны для MVP — реализовано клиентское уведомление (тост + счётчик в меню) на периодическом опросе раз в 30 секунд.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Синхронизация с внешней базой оборудования (раздел 10)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реализовано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Внешний реестр оборудования не передан и не будет передан организаторами. Внутреннее соответствие канал→устройство построено эвристически из собственных данных (см. раздел 3.1).</w:t>
            </w:r>
          </w:p>
        </w:tc>
      </w:tr>
    </w:tbl>
    <w:p>
      <w:pPr>
        <w:pStyle w:val="Heading1"/>
        <w:spacing w:after="200" w:before="400"/>
      </w:pPr>
      <w:r>
        <w:t xml:space="preserve">5. Инструкция по сборке, установке и запуску</w:t>
      </w:r>
    </w:p>
    <w:p>
      <w:pPr>
        <w:pStyle w:val="Heading2"/>
        <w:spacing w:after="150" w:before="300"/>
      </w:pPr>
      <w:r>
        <w:t xml:space="preserve">5.1. Требования к серверу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Linux (Ubuntu 22.04/24.04 LTS), Docker Engine + Docker Compose plugin.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Рекомендуется 4 vCPU / 8 ГБ RAM / 100 ГБ SSD (минимум — 2 vCPU / 4 ГБ / 50 ГБ).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Публичный IP и домен (для TLS через Let's Encrypt) — только для прод-развёртывания.</w:t>
      </w:r>
    </w:p>
    <w:p>
      <w:pPr>
        <w:pStyle w:val="Heading2"/>
        <w:spacing w:after="150" w:before="300"/>
      </w:pPr>
      <w:r>
        <w:t xml:space="preserve">5.2. Локальный запуск (разработка/проверка)</w:t>
      </w:r>
    </w:p>
    <w:p>
      <w:pPr>
        <w:shd w:fill="F2F2F2" w:val="clear"/>
        <w:spacing w:after="200" w:before="10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git clone &lt;репозиторий&gt; jkh &amp;&amp; cd jkh</w:t>
      </w:r>
      <w:r>
        <w:br/>
        <w:t xml:space="preserve"/>
      </w:r>
      <w:r>
        <w:rPr>
          <w:rFonts w:ascii="Courier New" w:cs="Courier New" w:eastAsia="Courier New" w:hAnsi="Courier New"/>
          <w:sz w:val="19"/>
          <w:szCs w:val="19"/>
        </w:rPr>
        <w:t xml:space="preserve">cp .env.example .env   # заполнить пароли/секреты — не коммитить</w:t>
      </w:r>
      <w:r>
        <w:br/>
        <w:t xml:space="preserve"/>
      </w:r>
      <w:r>
        <w:rPr>
          <w:rFonts w:ascii="Courier New" w:cs="Courier New" w:eastAsia="Courier New" w:hAnsi="Courier New"/>
          <w:sz w:val="19"/>
          <w:szCs w:val="19"/>
        </w:rPr>
        <w:t xml:space="preserve">docker compose -f docker-compose.yml -f docker-compose.dev.yml up -d --build</w:t>
      </w:r>
      <w:r>
        <w:br/>
        <w:t xml:space="preserve"/>
      </w:r>
      <w:r>
        <w:rPr>
          <w:rFonts w:ascii="Courier New" w:cs="Courier New" w:eastAsia="Courier New" w:hAnsi="Courier New"/>
          <w:sz w:val="19"/>
          <w:szCs w:val="19"/>
        </w:rPr>
        <w:t xml:space="preserve">docker compose exec backend alembic upgrade head</w:t>
      </w:r>
    </w:p>
    <w:p>
      <w:pPr>
        <w:spacing w:after="150"/>
      </w:pPr>
      <w:r>
        <w:t xml:space="preserve">Frontend будет доступен на http://localhost:5174, backend API — на http://localhost:8000/api (Swagger UI: /docs).</w:t>
      </w:r>
    </w:p>
    <w:p>
      <w:pPr>
        <w:pStyle w:val="Heading2"/>
        <w:spacing w:after="150" w:before="300"/>
      </w:pPr>
      <w:r>
        <w:t xml:space="preserve">5.3. Прод-развёртывание</w:t>
      </w:r>
    </w:p>
    <w:p>
      <w:pPr>
        <w:shd w:fill="F2F2F2" w:val="clear"/>
        <w:spacing w:after="200" w:before="10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export DOMAIN=&lt;ваш-домен&gt;   # должен указывать A-записью на IP сервера</w:t>
      </w:r>
      <w:r>
        <w:br/>
        <w:t xml:space="preserve"/>
      </w:r>
      <w:r>
        <w:rPr>
          <w:rFonts w:ascii="Courier New" w:cs="Courier New" w:eastAsia="Courier New" w:hAnsi="Courier New"/>
          <w:sz w:val="19"/>
          <w:szCs w:val="19"/>
        </w:rPr>
        <w:t xml:space="preserve">docker compose -f docker-compose.yml -f deploy/docker-compose.prod.yml up -d --build</w:t>
      </w:r>
      <w:r>
        <w:br/>
        <w:t xml:space="preserve"/>
      </w:r>
      <w:r>
        <w:rPr>
          <w:rFonts w:ascii="Courier New" w:cs="Courier New" w:eastAsia="Courier New" w:hAnsi="Courier New"/>
          <w:sz w:val="19"/>
          <w:szCs w:val="19"/>
        </w:rPr>
        <w:t xml:space="preserve">docker compose exec backend alembic upgrade head</w:t>
      </w:r>
    </w:p>
    <w:p>
      <w:pPr>
        <w:spacing w:after="150"/>
      </w:pPr>
      <w:r>
        <w:t xml:space="preserve">Caddy автоматически получает и обновляет TLS-сертификат Let's Encrypt по домену DOMAIN.</w:t>
      </w:r>
    </w:p>
    <w:p>
      <w:pPr>
        <w:pStyle w:val="Heading2"/>
        <w:spacing w:after="150" w:before="300"/>
      </w:pPr>
      <w:r>
        <w:t xml:space="preserve">5.4. Тестирование и проверка качества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test suite: 90 тестов (pytest), требует отдельный тестовый Postgres — см. backend/README.md.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Нагрузочная проверка 20 параллельных пользователей — 0 ошибок на всех ключевых эндпоинтах (ApacheBench, см. docs/Статус.md, запись 21 сентября).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Backup/restore: deploy/backup.sh / deploy/restore.sh (pg_dump -Fc / pg_restore --clean), время в разы меньше норматива ≤4 часа; реально сработало на проде при инциденте с потерей данных пользователей.</w:t>
      </w:r>
    </w:p>
    <w:p>
      <w:pPr>
        <w:shd w:fill="F2F2F2" w:val="clear"/>
        <w:spacing w:after="200" w:before="10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docker run -d --name jkh_test_db -e POSTGRES_USER=jkh -e POSTGRES_PASSWORD=jkh \</w:t>
      </w:r>
      <w:r>
        <w:br/>
        <w:t xml:space="preserve"/>
      </w:r>
      <w:r>
        <w:rPr>
          <w:rFonts w:ascii="Courier New" w:cs="Courier New" w:eastAsia="Courier New" w:hAnsi="Courier New"/>
          <w:sz w:val="19"/>
          <w:szCs w:val="19"/>
        </w:rPr>
        <w:t xml:space="preserve">  -e POSTGRES_DB=jkh_test -p 55432:5432 postgres:16</w:t>
      </w:r>
      <w:r>
        <w:br/>
        <w:t xml:space="preserve"/>
      </w:r>
      <w:r>
        <w:rPr>
          <w:rFonts w:ascii="Courier New" w:cs="Courier New" w:eastAsia="Courier New" w:hAnsi="Courier New"/>
          <w:sz w:val="19"/>
          <w:szCs w:val="19"/>
        </w:rPr>
        <w:t xml:space="preserve">cd backend &amp;&amp; python3 -m pytest tests/ -v</w:t>
      </w:r>
    </w:p>
    <w:p>
      <w:pPr>
        <w:pStyle w:val="Heading1"/>
        <w:spacing w:after="200" w:before="400"/>
      </w:pPr>
      <w:r>
        <w:t xml:space="preserve">6. Реестр библиотек и компонентов</w:t>
      </w:r>
    </w:p>
    <w:p>
      <w:pPr>
        <w:spacing w:after="150"/>
      </w:pPr>
      <w:r>
        <w:t xml:space="preserve">Полный перечень использованных библиотек, их версий, лицензий и назначения — docs/Лицензии_и_зависимости.md. Кратко по слоям: backend — FastAPI/SQLAlchemy/Alembic/Pydantic (все MIT), worker дополнительно — CatBoost/scikit-learn/pandas/pyarrow (Apache-2.0/BSD-3), frontend — React/TypeScript/Vite/Tailwind (MIT/Apache-2.0), инфраструктура — PostgreSQL 16, nginx, Caddy 2. Все лицензии — permissive open source, без ограничений на использование в конкурсном прототипе. Отдельного пакета для SHAP не используется — расчёт встроен в CatBoost.</w:t>
      </w:r>
    </w:p>
    <w:p>
      <w:pPr>
        <w:pStyle w:val="Heading1"/>
        <w:spacing w:after="200" w:before="400"/>
      </w:pPr>
      <w:r>
        <w:t xml:space="preserve">7. Нормативное соответствие</w:t>
      </w:r>
    </w:p>
    <w:p>
      <w:pPr>
        <w:spacing w:after="150"/>
      </w:pPr>
      <w:r>
        <w:t xml:space="preserve">Исходный код открыт, не откомпилирован, не обфусцирован. Работа с персональными данными ограничена собственными учётными записями пользователей сервиса (логин, роль, журнал действий) — пароли хранятся в виде bcrypt-хеша, передача данных — по TLS 1.2+. Исходные данные конкурса обезличены на стороне организаторов до передачи. Соответствует требованиям 149-ФЗ и 152-ФЗ в объёме, применимом к прототипу такого масштаба.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2026-09-21T11:20:15.927Z</dcterms:created>
  <dcterms:modified xsi:type="dcterms:W3CDTF">2026-09-21T11:20:15.928Z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