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76"/>
        <w:jc w:val="center"/>
      </w:pPr>
      <w:r>
        <w:rPr>
          <w:rFonts w:ascii="Calibri" w:hAnsi="Calibri"/>
          <w:b/>
          <w:sz w:val="36"/>
        </w:rPr>
        <w:t>Cheuk Chan</w:t>
      </w:r>
    </w:p>
    <w:p>
      <w:pPr>
        <w:spacing w:before="0" w:after="180" w:lineRule="auto" w:line="276"/>
        <w:jc w:val="center"/>
        <w:pBdr>
          <w:bottom w:val="single" w:sz="4" w:space="1" w:color="D4DDE5"/>
        </w:pBdr>
      </w:pPr>
      <w:r>
        <w:rPr>
          <w:rFonts w:ascii="Calibri" w:hAnsi="Calibri"/>
          <w:b w:val="0"/>
          <w:sz w:val="22"/>
        </w:rPr>
        <w:t>Homestead, FL | cheukchan9503@outlook.com | 352-723-2015 | linkedin.com/in/example</w:t>
      </w:r>
    </w:p>
    <w:p>
      <w:pPr>
        <w:spacing w:before="280" w:after="160" w:lineRule="auto" w:line="276"/>
        <w:jc w:val="left"/>
        <w:pBdr>
          <w:bottom w:val="single" w:sz="4" w:space="1" w:color="D4DDE5"/>
        </w:pBdr>
      </w:pPr>
      <w:r>
        <w:rPr>
          <w:rFonts w:ascii="Calibri" w:hAnsi="Calibri"/>
          <w:b/>
          <w:sz w:val="26"/>
        </w:rPr>
        <w:t>Summary</w:t>
      </w:r>
    </w:p>
    <w:p>
      <w:pPr>
        <w:spacing w:before="0" w:after="120" w:lineRule="auto" w:line="276"/>
        <w:ind w:left="0" w:firstLine="0"/>
        <w:jc w:val="left"/>
      </w:pPr>
      <w:r>
        <w:rPr>
          <w:rFonts w:ascii="Calibri" w:hAnsi="Calibri"/>
          <w:b w:val="0"/>
          <w:sz w:val="22"/>
        </w:rPr>
        <w:t>Senior software engineer with 6+ years building cloud-backed APIs and data-heavy web apps. Shipped production features in healthcare and fintech with a focus on reliability and measurable outcomes.</w:t>
      </w:r>
    </w:p>
    <w:p>
      <w:pPr>
        <w:spacing w:before="280" w:after="160" w:lineRule="auto" w:line="276"/>
        <w:jc w:val="left"/>
        <w:pBdr>
          <w:bottom w:val="single" w:sz="4" w:space="1" w:color="D4DDE5"/>
        </w:pBdr>
      </w:pPr>
      <w:r>
        <w:rPr>
          <w:rFonts w:ascii="Calibri" w:hAnsi="Calibri"/>
          <w:b/>
          <w:sz w:val="26"/>
        </w:rPr>
        <w:t>Skills</w:t>
      </w:r>
    </w:p>
    <w:p>
      <w:pPr>
        <w:tabs>
          <w:tab w:pos="2563" w:val="left"/>
        </w:tabs>
        <w:spacing w:before="20" w:after="80" w:lineRule="auto" w:line="276"/>
        <w:jc w:val="left"/>
      </w:pPr>
      <w:r>
        <w:rPr>
          <w:rFonts w:ascii="Calibri" w:hAnsi="Calibri"/>
          <w:b/>
          <w:sz w:val="22"/>
        </w:rPr>
        <w:t>Programming Languages:</w:t>
        <w:tab/>
      </w:r>
      <w:r>
        <w:rPr>
          <w:rFonts w:ascii="Calibri" w:hAnsi="Calibri"/>
          <w:b w:val="0"/>
          <w:sz w:val="22"/>
        </w:rPr>
        <w:t>TypeScript, JavaScript, Python, SQL</w:t>
      </w:r>
    </w:p>
    <w:p>
      <w:pPr>
        <w:tabs>
          <w:tab w:pos="2563" w:val="left"/>
        </w:tabs>
        <w:spacing w:before="20" w:after="80" w:lineRule="auto" w:line="276"/>
        <w:jc w:val="left"/>
      </w:pPr>
      <w:r>
        <w:rPr>
          <w:rFonts w:ascii="Calibri" w:hAnsi="Calibri"/>
          <w:b/>
          <w:sz w:val="22"/>
        </w:rPr>
        <w:t>Frameworks:</w:t>
        <w:tab/>
      </w:r>
      <w:r>
        <w:rPr>
          <w:rFonts w:ascii="Calibri" w:hAnsi="Calibri"/>
          <w:b w:val="0"/>
          <w:sz w:val="22"/>
        </w:rPr>
        <w:t>React, Node.js</w:t>
      </w:r>
    </w:p>
    <w:p>
      <w:pPr>
        <w:tabs>
          <w:tab w:pos="2563" w:val="left"/>
        </w:tabs>
        <w:spacing w:before="20" w:after="80" w:lineRule="auto" w:line="276"/>
        <w:jc w:val="left"/>
      </w:pPr>
      <w:r>
        <w:rPr>
          <w:rFonts w:ascii="Calibri" w:hAnsi="Calibri"/>
          <w:b/>
          <w:sz w:val="22"/>
        </w:rPr>
        <w:t>Cloud &amp; Tools:</w:t>
        <w:tab/>
      </w:r>
      <w:r>
        <w:rPr>
          <w:rFonts w:ascii="Calibri" w:hAnsi="Calibri"/>
          <w:b w:val="0"/>
          <w:sz w:val="22"/>
        </w:rPr>
        <w:t>AWS Lambda, S3, Docker, GitHub Actions</w:t>
      </w:r>
    </w:p>
    <w:p>
      <w:pPr>
        <w:tabs>
          <w:tab w:pos="2563" w:val="left"/>
        </w:tabs>
        <w:spacing w:before="20" w:after="80" w:lineRule="auto" w:line="276"/>
        <w:jc w:val="left"/>
      </w:pPr>
      <w:r>
        <w:rPr>
          <w:rFonts w:ascii="Calibri" w:hAnsi="Calibri"/>
          <w:b/>
          <w:sz w:val="22"/>
        </w:rPr>
        <w:t>Engineering Practices:</w:t>
        <w:tab/>
      </w:r>
      <w:r>
        <w:rPr>
          <w:rFonts w:ascii="Calibri" w:hAnsi="Calibri"/>
          <w:b w:val="0"/>
          <w:sz w:val="22"/>
        </w:rPr>
        <w:t>CI/CD, code review, incident response</w:t>
      </w:r>
    </w:p>
    <w:p>
      <w:pPr>
        <w:spacing w:before="280" w:after="160" w:lineRule="auto" w:line="276"/>
        <w:jc w:val="left"/>
        <w:pBdr>
          <w:bottom w:val="single" w:sz="4" w:space="1" w:color="D4DDE5"/>
        </w:pBdr>
      </w:pPr>
      <w:r>
        <w:rPr>
          <w:rFonts w:ascii="Calibri" w:hAnsi="Calibri"/>
          <w:b/>
          <w:sz w:val="26"/>
        </w:rPr>
        <w:t>Experience</w:t>
      </w:r>
    </w:p>
    <w:p>
      <w:pPr>
        <w:spacing w:before="160" w:after="80" w:lineRule="auto" w:line="276"/>
        <w:jc w:val="left"/>
      </w:pPr>
      <w:r>
        <w:rPr>
          <w:rFonts w:ascii="Calibri" w:hAnsi="Calibri"/>
          <w:b/>
          <w:i w:val="0"/>
          <w:color w:val="212121"/>
          <w:sz w:val="22"/>
        </w:rPr>
        <w:t>Senior Software Engineer</w:t>
      </w:r>
      <w:r>
        <w:rPr>
          <w:rFonts w:ascii="Calibri" w:hAnsi="Calibri"/>
          <w:b w:val="0"/>
          <w:i w:val="0"/>
          <w:color w:val="212121"/>
          <w:sz w:val="22"/>
        </w:rPr>
        <w:t xml:space="preserve"> | </w:t>
      </w:r>
      <w:r>
        <w:rPr>
          <w:rFonts w:ascii="Calibri" w:hAnsi="Calibri"/>
          <w:b/>
          <w:i w:val="0"/>
          <w:color w:val="212121"/>
          <w:sz w:val="22"/>
        </w:rPr>
        <w:t>Taazaa Inc</w:t>
      </w:r>
    </w:p>
    <w:p>
      <w:pPr>
        <w:spacing w:before="20" w:after="200" w:lineRule="auto" w:line="276"/>
        <w:jc w:val="left"/>
      </w:pPr>
      <w:r>
        <w:rPr>
          <w:rFonts w:ascii="Calibri" w:hAnsi="Calibri"/>
          <w:b w:val="0"/>
          <w:i w:val="0"/>
          <w:color w:val="424242"/>
          <w:sz w:val="22"/>
        </w:rPr>
        <w:t>Remote | May 2025 – March 2026</w:t>
      </w:r>
    </w:p>
    <w:p>
      <w:pPr>
        <w:spacing w:before="40" w:after="120" w:lineRule="auto" w:line="276"/>
        <w:ind w:left="360" w:hanging="360"/>
        <w:jc w:val="left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 w:val="0"/>
          <w:sz w:val="22"/>
        </w:rPr>
        <w:t>Led design of a customer-facing workflow module; reduced related support tickets by roughly 25% across two release cycles.</w:t>
      </w:r>
    </w:p>
    <w:p>
      <w:pPr>
        <w:spacing w:before="40" w:after="280" w:lineRule="auto" w:line="276"/>
        <w:ind w:left="360" w:hanging="360"/>
        <w:jc w:val="left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 w:val="0"/>
          <w:sz w:val="22"/>
        </w:rPr>
        <w:t>Improved API observability and error handling; fewer Sev-2 incidents in the service area quarter over quarter.</w:t>
      </w:r>
    </w:p>
    <w:p>
      <w:pPr>
        <w:spacing w:before="160" w:after="80" w:lineRule="auto" w:line="276"/>
        <w:jc w:val="left"/>
      </w:pPr>
      <w:r>
        <w:rPr>
          <w:rFonts w:ascii="Calibri" w:hAnsi="Calibri"/>
          <w:b/>
          <w:i w:val="0"/>
          <w:color w:val="212121"/>
          <w:sz w:val="22"/>
        </w:rPr>
        <w:t>Software Engineer</w:t>
      </w:r>
      <w:r>
        <w:rPr>
          <w:rFonts w:ascii="Calibri" w:hAnsi="Calibri"/>
          <w:b w:val="0"/>
          <w:i w:val="0"/>
          <w:color w:val="212121"/>
          <w:sz w:val="22"/>
        </w:rPr>
        <w:t xml:space="preserve"> | </w:t>
      </w:r>
      <w:r>
        <w:rPr>
          <w:rFonts w:ascii="Calibri" w:hAnsi="Calibri"/>
          <w:b/>
          <w:i w:val="0"/>
          <w:color w:val="212121"/>
          <w:sz w:val="22"/>
        </w:rPr>
        <w:t>Alaffia Health</w:t>
      </w:r>
    </w:p>
    <w:p>
      <w:pPr>
        <w:spacing w:before="20" w:after="200" w:lineRule="auto" w:line="276"/>
        <w:jc w:val="left"/>
      </w:pPr>
      <w:r>
        <w:rPr>
          <w:rFonts w:ascii="Calibri" w:hAnsi="Calibri"/>
          <w:b w:val="0"/>
          <w:i w:val="0"/>
          <w:color w:val="424242"/>
          <w:sz w:val="22"/>
        </w:rPr>
        <w:t>Remote | January 2023 – April 2025</w:t>
      </w:r>
    </w:p>
    <w:p>
      <w:pPr>
        <w:spacing w:before="40" w:after="120" w:lineRule="auto" w:line="276"/>
        <w:ind w:left="360" w:hanging="360"/>
        <w:jc w:val="left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 w:val="0"/>
          <w:sz w:val="22"/>
        </w:rPr>
        <w:t>Built HIPAA-aware services integrating claims and eligibility data; supported daily batch volumes in the millions of records.</w:t>
      </w:r>
    </w:p>
    <w:p>
      <w:pPr>
        <w:spacing w:before="40" w:after="280" w:lineRule="auto" w:line="276"/>
        <w:ind w:left="360" w:hanging="360"/>
        <w:jc w:val="left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 w:val="0"/>
          <w:sz w:val="22"/>
        </w:rPr>
        <w:t>Delivered biweekly releases with rollback-safe deployments.</w:t>
      </w:r>
    </w:p>
    <w:p>
      <w:pPr>
        <w:spacing w:before="280" w:after="160" w:lineRule="auto" w:line="276"/>
        <w:jc w:val="left"/>
        <w:pBdr>
          <w:bottom w:val="single" w:sz="4" w:space="1" w:color="D4DDE5"/>
        </w:pBdr>
      </w:pPr>
      <w:r>
        <w:rPr>
          <w:rFonts w:ascii="Calibri" w:hAnsi="Calibri"/>
          <w:b/>
          <w:sz w:val="26"/>
        </w:rPr>
        <w:t>Education</w:t>
      </w:r>
    </w:p>
    <w:p>
      <w:pPr>
        <w:spacing w:before="160" w:after="80" w:lineRule="auto" w:line="276"/>
        <w:jc w:val="left"/>
      </w:pPr>
      <w:r>
        <w:rPr>
          <w:rFonts w:ascii="Calibri" w:hAnsi="Calibri"/>
          <w:b/>
          <w:i w:val="0"/>
          <w:color w:val="212121"/>
          <w:sz w:val="22"/>
        </w:rPr>
        <w:t>B.S. Computer Science</w:t>
      </w:r>
      <w:r>
        <w:rPr>
          <w:rFonts w:ascii="Calibri" w:hAnsi="Calibri"/>
          <w:b w:val="0"/>
          <w:i w:val="0"/>
          <w:color w:val="212121"/>
          <w:sz w:val="22"/>
        </w:rPr>
        <w:t xml:space="preserve"> | </w:t>
      </w:r>
      <w:r>
        <w:rPr>
          <w:rFonts w:ascii="Calibri" w:hAnsi="Calibri"/>
          <w:b/>
          <w:i w:val="0"/>
          <w:color w:val="212121"/>
          <w:sz w:val="22"/>
        </w:rPr>
        <w:t>State University</w:t>
      </w:r>
    </w:p>
    <w:p>
      <w:pPr>
        <w:spacing w:before="20" w:after="200" w:lineRule="auto" w:line="276"/>
        <w:jc w:val="left"/>
      </w:pPr>
      <w:r>
        <w:rPr>
          <w:rFonts w:ascii="Calibri" w:hAnsi="Calibri"/>
          <w:b w:val="0"/>
          <w:i w:val="0"/>
          <w:color w:val="424242"/>
          <w:sz w:val="22"/>
        </w:rPr>
        <w:t>Tampa, FL | May 2018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