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스포츠 SPORTS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평점 (rate)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미니게임 (MINIGAME) (CHECK BOX OPTION)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사다리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다리다리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MGM 홀짝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로하이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파워볼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알라딘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카지노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달팽이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가상축구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릴게임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배팅 가능 여부 (BETTING OPTION) (CHECK BOX OPTION)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크로스배팅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단폴더배팅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축배팅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승/무/패 + 핸디캡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루틴배팅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마틴배팅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크루즈배팅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라이브배팅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보험배팅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입출금 방법 (D/W Methods)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넷텔러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비트코인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무통장입금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최대 배팅 금액 (MAX BETTING AMOUNT)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Slider price range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최소 배팅 금액 (MINIMUM BETTING AMOUNT)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Slider price range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최대 당첨 금액 (MAX AWARD AMOUNT)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Slider price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최대 출금 한도 (MAX AWARD AMOUNT) </w:t>
      </w:r>
      <w:r w:rsidDel="00000000" w:rsidR="00000000" w:rsidRPr="00000000">
        <w:rPr>
          <w:rtl w:val="0"/>
        </w:rPr>
        <w:t xml:space="preserve">* option will be depend on what i write.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100,000,000 per 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100,000,000 per week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첫충 보너스 (FIRST DEPOSIT BONUS)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- 10%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매충 보너스 (DAILY BONUS)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- 10%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낙첨 포인트 (REBATE BONUS)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- 0.1%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- 0.2%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- 0.3%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요율 보너스 (Rolling BONUS)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- 0.8%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- 0.9%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- 1.0%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- 1.1%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- 1.2%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라이브 채팅 여부 (LIVE CHAT)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있음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없음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 출시년도 (Established)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- 2008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사다리 SADARI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사다리 배당 (SADARI ODD)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1.95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1.98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배당 닫히는 시간 (CLOSE TIME)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30초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40초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50초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사다리 롤링 조건 (ROLLING CONDITION)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200%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최소 배팅 금액 ( MINIMUM BETTING AMOUNT)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Slider price range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최대 배팅 금액 ( MAX BETTING AMOUNT)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Slider price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최대 당첨 금액 (MAX AWARD AMOUNT)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Slider price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배팅 가능 여부 (BETTING OPTION) (CHECK BOX OPTION)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루틴배팅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마틴배팅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크로스배팅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시스템배팅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보너스 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보너스 금액 (Bonus amount)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Slider price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최소 입금 금액 (Minimum Deposit amount)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Slider price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롤링 조건 (Rolling condition) </w:t>
      </w:r>
      <w:r w:rsidDel="00000000" w:rsidR="00000000" w:rsidRPr="00000000">
        <w:rPr>
          <w:rtl w:val="0"/>
        </w:rPr>
        <w:t xml:space="preserve">* will be added many different number like askgamblers.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1X(입금액+보너스)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2X(입금액+보너스)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3X(입금액+보너스)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4X(입금액+보너스)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5X(입금액+보너스)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보너스 이용 조건 (Bonus condition of utilization)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3폴더 이상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4폴더 이상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최대 보너스 금액 (Max bonus amount)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Slider price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최대 출금가능 금액 (Max Cashout)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Slider price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보너스 출금 조건 (Bonus withdraw condition)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 over 1.50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