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7365D"/>
          <w:sz w:val="60"/>
        </w:rPr>
        <w:t>PRODUCTION-LIKE</w:t>
        <w:br/>
        <w:t>KUBERNETES HOMELAB</w:t>
      </w:r>
    </w:p>
    <w:p>
      <w:pPr>
        <w:jc w:val="center"/>
      </w:pPr>
      <w:r>
        <w:rPr>
          <w:color w:val="2F5597"/>
          <w:sz w:val="32"/>
        </w:rPr>
        <w:t>Architecture &amp; Security Design</w:t>
      </w:r>
    </w:p>
    <w:p>
      <w:pPr>
        <w:spacing w:before="360"/>
        <w:jc w:val="center"/>
      </w:pPr>
      <w:r>
        <w:rPr>
          <w:sz w:val="21"/>
        </w:rPr>
        <w:t>Proxmox VE • kubeadm • Cilium • Istio • Gateway API • Argo CD • Tailscale</w:t>
      </w:r>
    </w:p>
    <w:p>
      <w:pPr>
        <w:spacing w:before="3200"/>
        <w:jc w:val="center"/>
      </w:pPr>
      <w:r>
        <w:rPr>
          <w:color w:val="777777"/>
          <w:sz w:val="18"/>
        </w:rPr>
        <w:t>Version 1.0  |  September 2026</w:t>
      </w:r>
    </w:p>
    <w:p>
      <w:r>
        <w:br w:type="page"/>
      </w:r>
    </w:p>
    <w:p>
      <w:pPr>
        <w:pStyle w:val="Heading1"/>
      </w:pPr>
      <w:r>
        <w:t>1. Executive Summary</w:t>
      </w:r>
    </w:p>
    <w:p>
      <w:r>
        <w:t>This document defines a secure, production-like homelab architecture built on a repurposed laptop with approximately 16 GB RAM. The environment is designed primarily for DevOps, Platform Engineering and SRE learning while keeping recurring software cost at zero. The design deliberately favors transparent, industry-standard building blocks over simplified local-development distributions.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rFonts w:ascii="Aptos" w:hAnsi="Aptos"/>
                <w:b/>
                <w:color w:val="FFFFFF"/>
                <w:sz w:val="17"/>
              </w:rPr>
              <w:t>Design objective</w:t>
            </w:r>
          </w:p>
        </w:tc>
        <w:tc>
          <w:tcPr>
            <w:tcW w:type="dxa" w:w="6912"/>
            <w:vAlign w:val="center"/>
            <w:shd w:fill="17365D"/>
          </w:tcPr>
          <w:p>
            <w:r/>
            <w:r>
              <w:rPr>
                <w:rFonts w:ascii="Aptos" w:hAnsi="Aptos"/>
                <w:b/>
                <w:color w:val="FFFFFF"/>
                <w:sz w:val="17"/>
              </w:rPr>
              <w:t>Decision</w:t>
            </w:r>
          </w:p>
        </w:tc>
      </w:tr>
      <w:tr>
        <w:trPr>
          <w:cantSplit/>
        </w:trPr>
        <w:tc>
          <w:tcPr>
            <w:tcW w:type="dxa" w:w="2880"/>
            <w:vAlign w:val="center"/>
          </w:tcPr>
          <w:p>
            <w:r/>
            <w:r>
              <w:rPr>
                <w:rFonts w:ascii="Aptos" w:hAnsi="Aptos"/>
                <w:b w:val="0"/>
                <w:sz w:val="16"/>
              </w:rPr>
              <w:t>Hypervisor</w:t>
            </w:r>
          </w:p>
        </w:tc>
        <w:tc>
          <w:tcPr>
            <w:tcW w:type="dxa" w:w="6912"/>
            <w:vAlign w:val="center"/>
          </w:tcPr>
          <w:p>
            <w:r/>
            <w:r>
              <w:rPr>
                <w:rFonts w:ascii="Aptos" w:hAnsi="Aptos"/>
                <w:b w:val="0"/>
                <w:sz w:val="16"/>
              </w:rPr>
              <w:t>Proxmox VE installed directly on the laptop</w:t>
            </w:r>
          </w:p>
        </w:tc>
      </w:tr>
      <w:tr>
        <w:trPr>
          <w:cantSplit/>
        </w:trPr>
        <w:tc>
          <w:tcPr>
            <w:tcW w:type="dxa" w:w="2880"/>
            <w:vAlign w:val="center"/>
          </w:tcPr>
          <w:p>
            <w:r/>
            <w:r>
              <w:rPr>
                <w:rFonts w:ascii="Aptos" w:hAnsi="Aptos"/>
                <w:b w:val="0"/>
                <w:sz w:val="16"/>
              </w:rPr>
              <w:t>Kubernetes</w:t>
            </w:r>
          </w:p>
        </w:tc>
        <w:tc>
          <w:tcPr>
            <w:tcW w:type="dxa" w:w="6912"/>
            <w:vAlign w:val="center"/>
          </w:tcPr>
          <w:p>
            <w:r/>
            <w:r>
              <w:rPr>
                <w:rFonts w:ascii="Aptos" w:hAnsi="Aptos"/>
                <w:b w:val="0"/>
                <w:sz w:val="16"/>
              </w:rPr>
              <w:t>Upstream Kubernetes bootstrapped with kubeadm</w:t>
            </w:r>
          </w:p>
        </w:tc>
      </w:tr>
      <w:tr>
        <w:trPr>
          <w:cantSplit/>
        </w:trPr>
        <w:tc>
          <w:tcPr>
            <w:tcW w:type="dxa" w:w="2880"/>
            <w:vAlign w:val="center"/>
          </w:tcPr>
          <w:p>
            <w:r/>
            <w:r>
              <w:rPr>
                <w:rFonts w:ascii="Aptos" w:hAnsi="Aptos"/>
                <w:b w:val="0"/>
                <w:sz w:val="16"/>
              </w:rPr>
              <w:t>Networking</w:t>
            </w:r>
          </w:p>
        </w:tc>
        <w:tc>
          <w:tcPr>
            <w:tcW w:type="dxa" w:w="6912"/>
            <w:vAlign w:val="center"/>
          </w:tcPr>
          <w:p>
            <w:r/>
            <w:r>
              <w:rPr>
                <w:rFonts w:ascii="Aptos" w:hAnsi="Aptos"/>
                <w:b w:val="0"/>
                <w:sz w:val="16"/>
              </w:rPr>
              <w:t>Cilium CNI; isolated management and cluster networks</w:t>
            </w:r>
          </w:p>
        </w:tc>
      </w:tr>
      <w:tr>
        <w:trPr>
          <w:cantSplit/>
        </w:trPr>
        <w:tc>
          <w:tcPr>
            <w:tcW w:type="dxa" w:w="2880"/>
            <w:vAlign w:val="center"/>
          </w:tcPr>
          <w:p>
            <w:r/>
            <w:r>
              <w:rPr>
                <w:rFonts w:ascii="Aptos" w:hAnsi="Aptos"/>
                <w:b w:val="0"/>
                <w:sz w:val="16"/>
              </w:rPr>
              <w:t>North-south traffic</w:t>
            </w:r>
          </w:p>
        </w:tc>
        <w:tc>
          <w:tcPr>
            <w:tcW w:type="dxa" w:w="6912"/>
            <w:vAlign w:val="center"/>
          </w:tcPr>
          <w:p>
            <w:r/>
            <w:r>
              <w:rPr>
                <w:rFonts w:ascii="Aptos" w:hAnsi="Aptos"/>
                <w:b w:val="0"/>
                <w:sz w:val="16"/>
              </w:rPr>
              <w:t>Istio implementing Kubernetes Gateway API</w:t>
            </w:r>
          </w:p>
        </w:tc>
      </w:tr>
      <w:tr>
        <w:trPr>
          <w:cantSplit/>
        </w:trPr>
        <w:tc>
          <w:tcPr>
            <w:tcW w:type="dxa" w:w="2880"/>
            <w:vAlign w:val="center"/>
          </w:tcPr>
          <w:p>
            <w:r/>
            <w:r>
              <w:rPr>
                <w:rFonts w:ascii="Aptos" w:hAnsi="Aptos"/>
                <w:b w:val="0"/>
                <w:sz w:val="16"/>
              </w:rPr>
              <w:t>Remote access</w:t>
            </w:r>
          </w:p>
        </w:tc>
        <w:tc>
          <w:tcPr>
            <w:tcW w:type="dxa" w:w="6912"/>
            <w:vAlign w:val="center"/>
          </w:tcPr>
          <w:p>
            <w:r/>
            <w:r>
              <w:rPr>
                <w:rFonts w:ascii="Aptos" w:hAnsi="Aptos"/>
                <w:b w:val="0"/>
                <w:sz w:val="16"/>
              </w:rPr>
              <w:t>Tailscale VPN through a dedicated gateway/bastion VM</w:t>
            </w:r>
          </w:p>
        </w:tc>
      </w:tr>
      <w:tr>
        <w:trPr>
          <w:cantSplit/>
        </w:trPr>
        <w:tc>
          <w:tcPr>
            <w:tcW w:type="dxa" w:w="2880"/>
            <w:vAlign w:val="center"/>
          </w:tcPr>
          <w:p>
            <w:r/>
            <w:r>
              <w:rPr>
                <w:rFonts w:ascii="Aptos" w:hAnsi="Aptos"/>
                <w:b w:val="0"/>
                <w:sz w:val="16"/>
              </w:rPr>
              <w:t>Delivery</w:t>
            </w:r>
          </w:p>
        </w:tc>
        <w:tc>
          <w:tcPr>
            <w:tcW w:type="dxa" w:w="6912"/>
            <w:vAlign w:val="center"/>
          </w:tcPr>
          <w:p>
            <w:r/>
            <w:r>
              <w:rPr>
                <w:rFonts w:ascii="Aptos" w:hAnsi="Aptos"/>
                <w:b w:val="0"/>
                <w:sz w:val="16"/>
              </w:rPr>
              <w:t>GitHub Actions for CI and Argo CD for GitOps/CD</w:t>
            </w:r>
          </w:p>
        </w:tc>
      </w:tr>
      <w:tr>
        <w:trPr>
          <w:cantSplit/>
        </w:trPr>
        <w:tc>
          <w:tcPr>
            <w:tcW w:type="dxa" w:w="2880"/>
            <w:vAlign w:val="center"/>
          </w:tcPr>
          <w:p>
            <w:r/>
            <w:r>
              <w:rPr>
                <w:rFonts w:ascii="Aptos" w:hAnsi="Aptos"/>
                <w:b w:val="0"/>
                <w:sz w:val="16"/>
              </w:rPr>
              <w:t>Security</w:t>
            </w:r>
          </w:p>
        </w:tc>
        <w:tc>
          <w:tcPr>
            <w:tcW w:type="dxa" w:w="6912"/>
            <w:vAlign w:val="center"/>
          </w:tcPr>
          <w:p>
            <w:r/>
            <w:r>
              <w:rPr>
                <w:rFonts w:ascii="Aptos" w:hAnsi="Aptos"/>
                <w:b w:val="0"/>
                <w:sz w:val="16"/>
              </w:rPr>
              <w:t>VPN-only management, default-deny firewall/policies, SSH keys, SOPS + age, Kyverno, Trivy</w:t>
            </w:r>
          </w:p>
        </w:tc>
      </w:tr>
      <w:tr>
        <w:trPr>
          <w:cantSplit/>
        </w:trPr>
        <w:tc>
          <w:tcPr>
            <w:tcW w:type="dxa" w:w="2880"/>
            <w:vAlign w:val="center"/>
          </w:tcPr>
          <w:p>
            <w:r/>
            <w:r>
              <w:rPr>
                <w:rFonts w:ascii="Aptos" w:hAnsi="Aptos"/>
                <w:b w:val="0"/>
                <w:sz w:val="16"/>
              </w:rPr>
              <w:t>Observability</w:t>
            </w:r>
          </w:p>
        </w:tc>
        <w:tc>
          <w:tcPr>
            <w:tcW w:type="dxa" w:w="6912"/>
            <w:vAlign w:val="center"/>
          </w:tcPr>
          <w:p>
            <w:r/>
            <w:r>
              <w:rPr>
                <w:rFonts w:ascii="Aptos" w:hAnsi="Aptos"/>
                <w:b w:val="0"/>
                <w:sz w:val="16"/>
              </w:rPr>
              <w:t>Prometheus, Grafana, Loki, Tempo and Cilium Hubble</w:t>
            </w:r>
          </w:p>
        </w:tc>
      </w:tr>
      <w:tr>
        <w:trPr>
          <w:cantSplit/>
        </w:trPr>
        <w:tc>
          <w:tcPr>
            <w:tcW w:type="dxa" w:w="2880"/>
            <w:vAlign w:val="center"/>
          </w:tcPr>
          <w:p>
            <w:r/>
            <w:r>
              <w:rPr>
                <w:rFonts w:ascii="Aptos" w:hAnsi="Aptos"/>
                <w:b w:val="0"/>
                <w:sz w:val="16"/>
              </w:rPr>
              <w:t>Availability goal</w:t>
            </w:r>
          </w:p>
        </w:tc>
        <w:tc>
          <w:tcPr>
            <w:tcW w:type="dxa" w:w="6912"/>
            <w:vAlign w:val="center"/>
          </w:tcPr>
          <w:p>
            <w:r/>
            <w:r>
              <w:rPr>
                <w:rFonts w:ascii="Aptos" w:hAnsi="Aptos"/>
                <w:b w:val="0"/>
                <w:sz w:val="16"/>
              </w:rPr>
              <w:t>Learning-grade resilience; not true HA because the physical laptop is a single point of failure</w:t>
            </w:r>
          </w:p>
        </w:tc>
      </w:tr>
    </w:tbl>
    <w:p>
      <w:pPr>
        <w:pStyle w:val="Heading2"/>
      </w:pPr>
      <w:r>
        <w:t>1.1 Architecture principles</w:t>
      </w:r>
    </w:p>
    <w:p>
      <w:pPr>
        <w:pStyle w:val="ListBullet"/>
        <w:spacing w:after="40"/>
      </w:pPr>
      <w:r>
        <w:t>No administrative service is exposed directly to the public Internet.</w:t>
      </w:r>
    </w:p>
    <w:p>
      <w:pPr>
        <w:pStyle w:val="ListBullet"/>
        <w:spacing w:after="40"/>
      </w:pPr>
      <w:r>
        <w:t>Management access is available only through an authenticated encrypted VPN path.</w:t>
      </w:r>
    </w:p>
    <w:p>
      <w:pPr>
        <w:pStyle w:val="ListBullet"/>
        <w:spacing w:after="40"/>
      </w:pPr>
      <w:r>
        <w:t>Infrastructure and application configuration should be declarative and stored in Git wherever practical.</w:t>
      </w:r>
    </w:p>
    <w:p>
      <w:pPr>
        <w:pStyle w:val="ListBullet"/>
        <w:spacing w:after="40"/>
      </w:pPr>
      <w:r>
        <w:t>Network access follows least privilege and default-deny principles.</w:t>
      </w:r>
    </w:p>
    <w:p>
      <w:pPr>
        <w:pStyle w:val="ListBullet"/>
        <w:spacing w:after="40"/>
      </w:pPr>
      <w:r>
        <w:t>Secrets are never stored as plaintext in Git.</w:t>
      </w:r>
    </w:p>
    <w:p>
      <w:pPr>
        <w:pStyle w:val="ListBullet"/>
        <w:spacing w:after="40"/>
      </w:pPr>
      <w:r>
        <w:t>The platform is built manually first, then automated with OpenTofu/Terraform-compatible tooling and Ansible.</w:t>
      </w:r>
    </w:p>
    <w:p>
      <w:pPr>
        <w:pStyle w:val="ListBullet"/>
        <w:spacing w:after="40"/>
      </w:pPr>
      <w:r>
        <w:t>The homelab should remain recoverable from Git, VM backups and etcd snapshots.</w:t>
      </w:r>
    </w:p>
    <w:p>
      <w:pPr>
        <w:pStyle w:val="Heading1"/>
      </w:pPr>
      <w:r>
        <w:t>2. Scope and Constraints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17365D"/>
          </w:tcPr>
          <w:p>
            <w:r/>
            <w:r>
              <w:rPr>
                <w:rFonts w:ascii="Aptos" w:hAnsi="Aptos"/>
                <w:b/>
                <w:color w:val="FFFFFF"/>
                <w:sz w:val="17"/>
              </w:rPr>
              <w:t>Area</w:t>
            </w:r>
          </w:p>
        </w:tc>
        <w:tc>
          <w:tcPr>
            <w:tcW w:type="dxa" w:w="7344"/>
            <w:vAlign w:val="center"/>
            <w:shd w:fill="17365D"/>
          </w:tcPr>
          <w:p>
            <w:r/>
            <w:r>
              <w:rPr>
                <w:rFonts w:ascii="Aptos" w:hAnsi="Aptos"/>
                <w:b/>
                <w:color w:val="FFFFFF"/>
                <w:sz w:val="17"/>
              </w:rPr>
              <w:t>Constraint / assumption</w:t>
            </w:r>
          </w:p>
        </w:tc>
      </w:tr>
      <w:tr>
        <w:trPr>
          <w:cantSplit/>
        </w:trPr>
        <w:tc>
          <w:tcPr>
            <w:tcW w:type="dxa" w:w="2448"/>
            <w:vAlign w:val="center"/>
          </w:tcPr>
          <w:p>
            <w:r/>
            <w:r>
              <w:rPr>
                <w:rFonts w:ascii="Aptos" w:hAnsi="Aptos"/>
                <w:b w:val="0"/>
                <w:sz w:val="16"/>
              </w:rPr>
              <w:t>Hardware</w:t>
            </w:r>
          </w:p>
        </w:tc>
        <w:tc>
          <w:tcPr>
            <w:tcW w:type="dxa" w:w="7344"/>
            <w:vAlign w:val="center"/>
          </w:tcPr>
          <w:p>
            <w:r/>
            <w:r>
              <w:rPr>
                <w:rFonts w:ascii="Aptos" w:hAnsi="Aptos"/>
                <w:b w:val="0"/>
                <w:sz w:val="16"/>
              </w:rPr>
              <w:t>Single repurposed laptop; approximately 16 GB RAM; SSD strongly recommended.</w:t>
            </w:r>
          </w:p>
        </w:tc>
      </w:tr>
      <w:tr>
        <w:trPr>
          <w:cantSplit/>
        </w:trPr>
        <w:tc>
          <w:tcPr>
            <w:tcW w:type="dxa" w:w="2448"/>
            <w:vAlign w:val="center"/>
          </w:tcPr>
          <w:p>
            <w:r/>
            <w:r>
              <w:rPr>
                <w:rFonts w:ascii="Aptos" w:hAnsi="Aptos"/>
                <w:b w:val="0"/>
                <w:sz w:val="16"/>
              </w:rPr>
              <w:t>Network edge</w:t>
            </w:r>
          </w:p>
        </w:tc>
        <w:tc>
          <w:tcPr>
            <w:tcW w:type="dxa" w:w="7344"/>
            <w:vAlign w:val="center"/>
          </w:tcPr>
          <w:p>
            <w:r/>
            <w:r>
              <w:rPr>
                <w:rFonts w:ascii="Aptos" w:hAnsi="Aptos"/>
                <w:b w:val="0"/>
                <w:sz w:val="16"/>
              </w:rPr>
              <w:t>TP-Link Archer AX10 V1.20 provides household routing/NAT.</w:t>
            </w:r>
          </w:p>
        </w:tc>
      </w:tr>
      <w:tr>
        <w:trPr>
          <w:cantSplit/>
        </w:trPr>
        <w:tc>
          <w:tcPr>
            <w:tcW w:type="dxa" w:w="2448"/>
            <w:vAlign w:val="center"/>
          </w:tcPr>
          <w:p>
            <w:r/>
            <w:r>
              <w:rPr>
                <w:rFonts w:ascii="Aptos" w:hAnsi="Aptos"/>
                <w:b w:val="0"/>
                <w:sz w:val="16"/>
              </w:rPr>
              <w:t>Power</w:t>
            </w:r>
          </w:p>
        </w:tc>
        <w:tc>
          <w:tcPr>
            <w:tcW w:type="dxa" w:w="7344"/>
            <w:vAlign w:val="center"/>
          </w:tcPr>
          <w:p>
            <w:r/>
            <w:r>
              <w:rPr>
                <w:rFonts w:ascii="Aptos" w:hAnsi="Aptos"/>
                <w:b w:val="0"/>
                <w:sz w:val="16"/>
              </w:rPr>
              <w:t>Lab may be powered off when unused; Wake-on-LAN can be added for remote startup.</w:t>
            </w:r>
          </w:p>
        </w:tc>
      </w:tr>
      <w:tr>
        <w:trPr>
          <w:cantSplit/>
        </w:trPr>
        <w:tc>
          <w:tcPr>
            <w:tcW w:type="dxa" w:w="2448"/>
            <w:vAlign w:val="center"/>
          </w:tcPr>
          <w:p>
            <w:r/>
            <w:r>
              <w:rPr>
                <w:rFonts w:ascii="Aptos" w:hAnsi="Aptos"/>
                <w:b w:val="0"/>
                <w:sz w:val="16"/>
              </w:rPr>
              <w:t>Budget</w:t>
            </w:r>
          </w:p>
        </w:tc>
        <w:tc>
          <w:tcPr>
            <w:tcW w:type="dxa" w:w="7344"/>
            <w:vAlign w:val="center"/>
          </w:tcPr>
          <w:p>
            <w:r/>
            <w:r>
              <w:rPr>
                <w:rFonts w:ascii="Aptos" w:hAnsi="Aptos"/>
                <w:b w:val="0"/>
                <w:sz w:val="16"/>
              </w:rPr>
              <w:t>No paid infrastructure or software required for the base platform.</w:t>
            </w:r>
          </w:p>
        </w:tc>
      </w:tr>
      <w:tr>
        <w:trPr>
          <w:cantSplit/>
        </w:trPr>
        <w:tc>
          <w:tcPr>
            <w:tcW w:type="dxa" w:w="2448"/>
            <w:vAlign w:val="center"/>
          </w:tcPr>
          <w:p>
            <w:r/>
            <w:r>
              <w:rPr>
                <w:rFonts w:ascii="Aptos" w:hAnsi="Aptos"/>
                <w:b w:val="0"/>
                <w:sz w:val="16"/>
              </w:rPr>
              <w:t>Security model</w:t>
            </w:r>
          </w:p>
        </w:tc>
        <w:tc>
          <w:tcPr>
            <w:tcW w:type="dxa" w:w="7344"/>
            <w:vAlign w:val="center"/>
          </w:tcPr>
          <w:p>
            <w:r/>
            <w:r>
              <w:rPr>
                <w:rFonts w:ascii="Aptos" w:hAnsi="Aptos"/>
                <w:b w:val="0"/>
                <w:sz w:val="16"/>
              </w:rPr>
              <w:t>Private management plane; no WAN port-forwarding for Proxmox, SSH, Kubernetes API, Argo CD or Grafana.</w:t>
            </w:r>
          </w:p>
        </w:tc>
      </w:tr>
      <w:tr>
        <w:trPr>
          <w:cantSplit/>
        </w:trPr>
        <w:tc>
          <w:tcPr>
            <w:tcW w:type="dxa" w:w="2448"/>
            <w:vAlign w:val="center"/>
          </w:tcPr>
          <w:p>
            <w:r/>
            <w:r>
              <w:rPr>
                <w:rFonts w:ascii="Aptos" w:hAnsi="Aptos"/>
                <w:b w:val="0"/>
                <w:sz w:val="16"/>
              </w:rPr>
              <w:t>Learning objective</w:t>
            </w:r>
          </w:p>
        </w:tc>
        <w:tc>
          <w:tcPr>
            <w:tcW w:type="dxa" w:w="7344"/>
            <w:vAlign w:val="center"/>
          </w:tcPr>
          <w:p>
            <w:r/>
            <w:r>
              <w:rPr>
                <w:rFonts w:ascii="Aptos" w:hAnsi="Aptos"/>
                <w:b w:val="0"/>
                <w:sz w:val="16"/>
              </w:rPr>
              <w:t>Understand Linux, networking, Kubernetes internals, service mesh, GitOps, observability, security and failure recovery.</w:t>
            </w:r>
          </w:p>
        </w:tc>
      </w:tr>
    </w:tbl>
    <w:p>
      <w:pPr>
        <w:pStyle w:val="Heading1"/>
      </w:pPr>
      <w:r>
        <w:t>3. Logical Architecture</w:t>
      </w:r>
    </w:p>
    <w:p>
      <w:pPr>
        <w:spacing w:before="60" w:after="140"/>
        <w:ind w:left="360" w:right="360"/>
        <w:pBdr>
          <w:bottom w:val="single" w:sz="4" w:color="D9E2F3"/>
        </w:pBdr>
        <w:shd w:fill="F3F6FA"/>
      </w:pPr>
      <w:r>
        <w:rPr>
          <w:rFonts w:ascii="Liberation Mono" w:hAnsi="Liberation Mono"/>
          <w:color w:val="202020"/>
          <w:sz w:val="16"/>
        </w:rPr>
        <w:t xml:space="preserve">                           Internet</w:t>
        <w:br/>
        <w:t xml:space="preserve">                              |</w:t>
        <w:br/>
        <w:t xml:space="preserve">                       TP-Link Archer AX10</w:t>
        <w:br/>
        <w:t xml:space="preserve">                     NAT / home network edge</w:t>
        <w:br/>
        <w:t xml:space="preserve">                              |</w:t>
        <w:br/>
        <w:t xml:space="preserve">                    [NO MANAGEMENT PORTS]</w:t>
        <w:br/>
        <w:t xml:space="preserve">                              |</w:t>
        <w:br/>
        <w:t xml:space="preserve">                     +------------------+</w:t>
        <w:br/>
        <w:t xml:space="preserve">                     |    PROXMOX VE    |</w:t>
        <w:br/>
        <w:t xml:space="preserve">                     |  physical host   |</w:t>
        <w:br/>
        <w:t xml:space="preserve">                     +------------------+</w:t>
        <w:br/>
        <w:t xml:space="preserve">                          |         |</w:t>
        <w:br/>
        <w:t xml:space="preserve">                mgmt net  |         | k8s node net</w:t>
        <w:br/>
        <w:t xml:space="preserve">                          |         |</w:t>
        <w:br/>
        <w:t xml:space="preserve">                     +---------+  +------+  +----------+  +----------+</w:t>
        <w:br/>
        <w:t xml:space="preserve">                     | vpn01   |  | cp01 |  | worker01 |  | worker02 |</w:t>
        <w:br/>
        <w:t xml:space="preserve">                     |Tailscale|  |      |  |          |  |          |</w:t>
        <w:br/>
        <w:t xml:space="preserve">                     +----+----+  +--+---+  +----+-----+  +----+-----+</w:t>
        <w:br/>
        <w:t xml:space="preserve">                          |          |           |             |</w:t>
        <w:br/>
        <w:t>Remote admin --Tailscale--+          +-----------+-------------+</w:t>
        <w:br/>
        <w:t xml:space="preserve">                                                   |</w:t>
        <w:br/>
        <w:t xml:space="preserve">                                             Cilium CNI</w:t>
        <w:br/>
        <w:t xml:space="preserve">                                                   |</w:t>
        <w:br/>
        <w:t xml:space="preserve">                                      Istio + Gateway API</w:t>
        <w:br/>
        <w:t xml:space="preserve">                                                   |</w:t>
        <w:br/>
        <w:t xml:space="preserve">                                                Services</w:t>
        <w:br/>
      </w:r>
    </w:p>
    <w:p>
      <w:pPr>
        <w:spacing w:before="80" w:after="120"/>
      </w:pPr>
      <w:r>
        <w:rPr>
          <w:i/>
          <w:color w:val="666666"/>
          <w:sz w:val="17"/>
        </w:rPr>
        <w:t>The physical host remains the unavoidable single point of failure. Kubernetes HA can be simulated later, but it does not remove the hardware SPOF.</w:t>
      </w:r>
    </w:p>
    <w:p>
      <w:pPr>
        <w:pStyle w:val="Heading1"/>
      </w:pPr>
      <w:r>
        <w:t>4. Platform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vAlign w:val="center"/>
            <w:shd w:fill="17365D"/>
          </w:tcPr>
          <w:p>
            <w:r/>
            <w:r>
              <w:rPr>
                <w:rFonts w:ascii="Aptos" w:hAnsi="Aptos"/>
                <w:b/>
                <w:color w:val="FFFFFF"/>
                <w:sz w:val="17"/>
              </w:rPr>
              <w:t>Layer</w:t>
            </w:r>
          </w:p>
        </w:tc>
        <w:tc>
          <w:tcPr>
            <w:tcW w:type="dxa" w:w="2232"/>
            <w:vAlign w:val="center"/>
            <w:shd w:fill="17365D"/>
          </w:tcPr>
          <w:p>
            <w:r/>
            <w:r>
              <w:rPr>
                <w:rFonts w:ascii="Aptos" w:hAnsi="Aptos"/>
                <w:b/>
                <w:color w:val="FFFFFF"/>
                <w:sz w:val="17"/>
              </w:rPr>
              <w:t>Component</w:t>
            </w:r>
          </w:p>
        </w:tc>
        <w:tc>
          <w:tcPr>
            <w:tcW w:type="dxa" w:w="6048"/>
            <w:vAlign w:val="center"/>
            <w:shd w:fill="17365D"/>
          </w:tcPr>
          <w:p>
            <w:r/>
            <w:r>
              <w:rPr>
                <w:rFonts w:ascii="Aptos" w:hAnsi="Aptos"/>
                <w:b/>
                <w:color w:val="FFFFFF"/>
                <w:sz w:val="17"/>
              </w:rPr>
              <w:t>Purpose</w:t>
            </w:r>
          </w:p>
        </w:tc>
      </w:tr>
      <w:tr>
        <w:trPr>
          <w:cantSplit/>
        </w:trPr>
        <w:tc>
          <w:tcPr>
            <w:tcW w:type="dxa" w:w="1656"/>
            <w:vAlign w:val="center"/>
          </w:tcPr>
          <w:p>
            <w:r/>
            <w:r>
              <w:rPr>
                <w:rFonts w:ascii="Aptos" w:hAnsi="Aptos"/>
                <w:b w:val="0"/>
                <w:sz w:val="16"/>
              </w:rPr>
              <w:t>Virtualization</w:t>
            </w:r>
          </w:p>
        </w:tc>
        <w:tc>
          <w:tcPr>
            <w:tcW w:type="dxa" w:w="2232"/>
            <w:vAlign w:val="center"/>
          </w:tcPr>
          <w:p>
            <w:r/>
            <w:r>
              <w:rPr>
                <w:rFonts w:ascii="Aptos" w:hAnsi="Aptos"/>
                <w:b w:val="0"/>
                <w:sz w:val="16"/>
              </w:rPr>
              <w:t>Proxmox VE</w:t>
            </w:r>
          </w:p>
        </w:tc>
        <w:tc>
          <w:tcPr>
            <w:tcW w:type="dxa" w:w="6048"/>
            <w:vAlign w:val="center"/>
          </w:tcPr>
          <w:p>
            <w:r/>
            <w:r>
              <w:rPr>
                <w:rFonts w:ascii="Aptos" w:hAnsi="Aptos"/>
                <w:b w:val="0"/>
                <w:sz w:val="16"/>
              </w:rPr>
              <w:t>Bare-metal hypervisor, VM lifecycle, Linux bridges, firewall, snapshots and backups.</w:t>
            </w:r>
          </w:p>
        </w:tc>
      </w:tr>
      <w:tr>
        <w:trPr>
          <w:cantSplit/>
        </w:trPr>
        <w:tc>
          <w:tcPr>
            <w:tcW w:type="dxa" w:w="1656"/>
            <w:vAlign w:val="center"/>
          </w:tcPr>
          <w:p>
            <w:r/>
            <w:r>
              <w:rPr>
                <w:rFonts w:ascii="Aptos" w:hAnsi="Aptos"/>
                <w:b w:val="0"/>
                <w:sz w:val="16"/>
              </w:rPr>
              <w:t>Guest OS</w:t>
            </w:r>
          </w:p>
        </w:tc>
        <w:tc>
          <w:tcPr>
            <w:tcW w:type="dxa" w:w="2232"/>
            <w:vAlign w:val="center"/>
          </w:tcPr>
          <w:p>
            <w:r/>
            <w:r>
              <w:rPr>
                <w:rFonts w:ascii="Aptos" w:hAnsi="Aptos"/>
                <w:b w:val="0"/>
                <w:sz w:val="16"/>
              </w:rPr>
              <w:t>Ubuntu Server 24.04 LTS</w:t>
            </w:r>
          </w:p>
        </w:tc>
        <w:tc>
          <w:tcPr>
            <w:tcW w:type="dxa" w:w="6048"/>
            <w:vAlign w:val="center"/>
          </w:tcPr>
          <w:p>
            <w:r/>
            <w:r>
              <w:rPr>
                <w:rFonts w:ascii="Aptos" w:hAnsi="Aptos"/>
                <w:b w:val="0"/>
                <w:sz w:val="16"/>
              </w:rPr>
              <w:t>Consistent OS for Kubernetes nodes; no desktop environment.</w:t>
            </w:r>
          </w:p>
        </w:tc>
      </w:tr>
      <w:tr>
        <w:trPr>
          <w:cantSplit/>
        </w:trPr>
        <w:tc>
          <w:tcPr>
            <w:tcW w:type="dxa" w:w="1656"/>
            <w:vAlign w:val="center"/>
          </w:tcPr>
          <w:p>
            <w:r/>
            <w:r>
              <w:rPr>
                <w:rFonts w:ascii="Aptos" w:hAnsi="Aptos"/>
                <w:b w:val="0"/>
                <w:sz w:val="16"/>
              </w:rPr>
              <w:t>VPN / Bastion</w:t>
            </w:r>
          </w:p>
        </w:tc>
        <w:tc>
          <w:tcPr>
            <w:tcW w:type="dxa" w:w="2232"/>
            <w:vAlign w:val="center"/>
          </w:tcPr>
          <w:p>
            <w:r/>
            <w:r>
              <w:rPr>
                <w:rFonts w:ascii="Aptos" w:hAnsi="Aptos"/>
                <w:b w:val="0"/>
                <w:sz w:val="16"/>
              </w:rPr>
              <w:t>Tailscale on vpn01</w:t>
            </w:r>
          </w:p>
        </w:tc>
        <w:tc>
          <w:tcPr>
            <w:tcW w:type="dxa" w:w="6048"/>
            <w:vAlign w:val="center"/>
          </w:tcPr>
          <w:p>
            <w:r/>
            <w:r>
              <w:rPr>
                <w:rFonts w:ascii="Aptos" w:hAnsi="Aptos"/>
                <w:b w:val="0"/>
                <w:sz w:val="16"/>
              </w:rPr>
              <w:t>Private remote entry point and subnet router to management networks.</w:t>
            </w:r>
          </w:p>
        </w:tc>
      </w:tr>
      <w:tr>
        <w:trPr>
          <w:cantSplit/>
        </w:trPr>
        <w:tc>
          <w:tcPr>
            <w:tcW w:type="dxa" w:w="1656"/>
            <w:vAlign w:val="center"/>
          </w:tcPr>
          <w:p>
            <w:r/>
            <w:r>
              <w:rPr>
                <w:rFonts w:ascii="Aptos" w:hAnsi="Aptos"/>
                <w:b w:val="0"/>
                <w:sz w:val="16"/>
              </w:rPr>
              <w:t>Kubernetes</w:t>
            </w:r>
          </w:p>
        </w:tc>
        <w:tc>
          <w:tcPr>
            <w:tcW w:type="dxa" w:w="2232"/>
            <w:vAlign w:val="center"/>
          </w:tcPr>
          <w:p>
            <w:r/>
            <w:r>
              <w:rPr>
                <w:rFonts w:ascii="Aptos" w:hAnsi="Aptos"/>
                <w:b w:val="0"/>
                <w:sz w:val="16"/>
              </w:rPr>
              <w:t>kubeadm + containerd</w:t>
            </w:r>
          </w:p>
        </w:tc>
        <w:tc>
          <w:tcPr>
            <w:tcW w:type="dxa" w:w="6048"/>
            <w:vAlign w:val="center"/>
          </w:tcPr>
          <w:p>
            <w:r/>
            <w:r>
              <w:rPr>
                <w:rFonts w:ascii="Aptos" w:hAnsi="Aptos"/>
                <w:b w:val="0"/>
                <w:sz w:val="16"/>
              </w:rPr>
              <w:t>Upstream Kubernetes with explicit control over bootstrap, PKI and node lifecycle.</w:t>
            </w:r>
          </w:p>
        </w:tc>
      </w:tr>
      <w:tr>
        <w:trPr>
          <w:cantSplit/>
        </w:trPr>
        <w:tc>
          <w:tcPr>
            <w:tcW w:type="dxa" w:w="1656"/>
            <w:vAlign w:val="center"/>
          </w:tcPr>
          <w:p>
            <w:r/>
            <w:r>
              <w:rPr>
                <w:rFonts w:ascii="Aptos" w:hAnsi="Aptos"/>
                <w:b w:val="0"/>
                <w:sz w:val="16"/>
              </w:rPr>
              <w:t>CNI</w:t>
            </w:r>
          </w:p>
        </w:tc>
        <w:tc>
          <w:tcPr>
            <w:tcW w:type="dxa" w:w="2232"/>
            <w:vAlign w:val="center"/>
          </w:tcPr>
          <w:p>
            <w:r/>
            <w:r>
              <w:rPr>
                <w:rFonts w:ascii="Aptos" w:hAnsi="Aptos"/>
                <w:b w:val="0"/>
                <w:sz w:val="16"/>
              </w:rPr>
              <w:t>Cilium</w:t>
            </w:r>
          </w:p>
        </w:tc>
        <w:tc>
          <w:tcPr>
            <w:tcW w:type="dxa" w:w="6048"/>
            <w:vAlign w:val="center"/>
          </w:tcPr>
          <w:p>
            <w:r/>
            <w:r>
              <w:rPr>
                <w:rFonts w:ascii="Aptos" w:hAnsi="Aptos"/>
                <w:b w:val="0"/>
                <w:sz w:val="16"/>
              </w:rPr>
              <w:t>Pod networking, eBPF datapath, NetworkPolicy and Hubble flow visibility.</w:t>
            </w:r>
          </w:p>
        </w:tc>
      </w:tr>
      <w:tr>
        <w:trPr>
          <w:cantSplit/>
        </w:trPr>
        <w:tc>
          <w:tcPr>
            <w:tcW w:type="dxa" w:w="1656"/>
            <w:vAlign w:val="center"/>
          </w:tcPr>
          <w:p>
            <w:r/>
            <w:r>
              <w:rPr>
                <w:rFonts w:ascii="Aptos" w:hAnsi="Aptos"/>
                <w:b w:val="0"/>
                <w:sz w:val="16"/>
              </w:rPr>
              <w:t>Load balancing</w:t>
            </w:r>
          </w:p>
        </w:tc>
        <w:tc>
          <w:tcPr>
            <w:tcW w:type="dxa" w:w="2232"/>
            <w:vAlign w:val="center"/>
          </w:tcPr>
          <w:p>
            <w:r/>
            <w:r>
              <w:rPr>
                <w:rFonts w:ascii="Aptos" w:hAnsi="Aptos"/>
                <w:b w:val="0"/>
                <w:sz w:val="16"/>
              </w:rPr>
              <w:t>MetalLB</w:t>
            </w:r>
          </w:p>
        </w:tc>
        <w:tc>
          <w:tcPr>
            <w:tcW w:type="dxa" w:w="6048"/>
            <w:vAlign w:val="center"/>
          </w:tcPr>
          <w:p>
            <w:r/>
            <w:r>
              <w:rPr>
                <w:rFonts w:ascii="Aptos" w:hAnsi="Aptos"/>
                <w:b w:val="0"/>
                <w:sz w:val="16"/>
              </w:rPr>
              <w:t>Bare-metal LoadBalancer IP allocation for the cluster.</w:t>
            </w:r>
          </w:p>
        </w:tc>
      </w:tr>
      <w:tr>
        <w:trPr>
          <w:cantSplit/>
        </w:trPr>
        <w:tc>
          <w:tcPr>
            <w:tcW w:type="dxa" w:w="1656"/>
            <w:vAlign w:val="center"/>
          </w:tcPr>
          <w:p>
            <w:r/>
            <w:r>
              <w:rPr>
                <w:rFonts w:ascii="Aptos" w:hAnsi="Aptos"/>
                <w:b w:val="0"/>
                <w:sz w:val="16"/>
              </w:rPr>
              <w:t>Traffic management</w:t>
            </w:r>
          </w:p>
        </w:tc>
        <w:tc>
          <w:tcPr>
            <w:tcW w:type="dxa" w:w="2232"/>
            <w:vAlign w:val="center"/>
          </w:tcPr>
          <w:p>
            <w:r/>
            <w:r>
              <w:rPr>
                <w:rFonts w:ascii="Aptos" w:hAnsi="Aptos"/>
                <w:b w:val="0"/>
                <w:sz w:val="16"/>
              </w:rPr>
              <w:t>Istio + Gateway API</w:t>
            </w:r>
          </w:p>
        </w:tc>
        <w:tc>
          <w:tcPr>
            <w:tcW w:type="dxa" w:w="6048"/>
            <w:vAlign w:val="center"/>
          </w:tcPr>
          <w:p>
            <w:r/>
            <w:r>
              <w:rPr>
                <w:rFonts w:ascii="Aptos" w:hAnsi="Aptos"/>
                <w:b w:val="0"/>
                <w:sz w:val="16"/>
              </w:rPr>
              <w:t>North-south gateway, service mesh, mTLS, routing, retries and canary traffic.</w:t>
            </w:r>
          </w:p>
        </w:tc>
      </w:tr>
      <w:tr>
        <w:trPr>
          <w:cantSplit/>
        </w:trPr>
        <w:tc>
          <w:tcPr>
            <w:tcW w:type="dxa" w:w="1656"/>
            <w:vAlign w:val="center"/>
          </w:tcPr>
          <w:p>
            <w:r/>
            <w:r>
              <w:rPr>
                <w:rFonts w:ascii="Aptos" w:hAnsi="Aptos"/>
                <w:b w:val="0"/>
                <w:sz w:val="16"/>
              </w:rPr>
              <w:t>Certificates</w:t>
            </w:r>
          </w:p>
        </w:tc>
        <w:tc>
          <w:tcPr>
            <w:tcW w:type="dxa" w:w="2232"/>
            <w:vAlign w:val="center"/>
          </w:tcPr>
          <w:p>
            <w:r/>
            <w:r>
              <w:rPr>
                <w:rFonts w:ascii="Aptos" w:hAnsi="Aptos"/>
                <w:b w:val="0"/>
                <w:sz w:val="16"/>
              </w:rPr>
              <w:t>cert-manager</w:t>
            </w:r>
          </w:p>
        </w:tc>
        <w:tc>
          <w:tcPr>
            <w:tcW w:type="dxa" w:w="6048"/>
            <w:vAlign w:val="center"/>
          </w:tcPr>
          <w:p>
            <w:r/>
            <w:r>
              <w:rPr>
                <w:rFonts w:ascii="Aptos" w:hAnsi="Aptos"/>
                <w:b w:val="0"/>
                <w:sz w:val="16"/>
              </w:rPr>
              <w:t>Certificate automation for internal application endpoints.</w:t>
            </w:r>
          </w:p>
        </w:tc>
      </w:tr>
      <w:tr>
        <w:trPr>
          <w:cantSplit/>
        </w:trPr>
        <w:tc>
          <w:tcPr>
            <w:tcW w:type="dxa" w:w="1656"/>
            <w:vAlign w:val="center"/>
          </w:tcPr>
          <w:p>
            <w:r/>
            <w:r>
              <w:rPr>
                <w:rFonts w:ascii="Aptos" w:hAnsi="Aptos"/>
                <w:b w:val="0"/>
                <w:sz w:val="16"/>
              </w:rPr>
              <w:t>GitOps</w:t>
            </w:r>
          </w:p>
        </w:tc>
        <w:tc>
          <w:tcPr>
            <w:tcW w:type="dxa" w:w="2232"/>
            <w:vAlign w:val="center"/>
          </w:tcPr>
          <w:p>
            <w:r/>
            <w:r>
              <w:rPr>
                <w:rFonts w:ascii="Aptos" w:hAnsi="Aptos"/>
                <w:b w:val="0"/>
                <w:sz w:val="16"/>
              </w:rPr>
              <w:t>Argo CD</w:t>
            </w:r>
          </w:p>
        </w:tc>
        <w:tc>
          <w:tcPr>
            <w:tcW w:type="dxa" w:w="6048"/>
            <w:vAlign w:val="center"/>
          </w:tcPr>
          <w:p>
            <w:r/>
            <w:r>
              <w:rPr>
                <w:rFonts w:ascii="Aptos" w:hAnsi="Aptos"/>
                <w:b w:val="0"/>
                <w:sz w:val="16"/>
              </w:rPr>
              <w:t>Continuous reconciliation of platform and application desired state.</w:t>
            </w:r>
          </w:p>
        </w:tc>
      </w:tr>
      <w:tr>
        <w:trPr>
          <w:cantSplit/>
        </w:trPr>
        <w:tc>
          <w:tcPr>
            <w:tcW w:type="dxa" w:w="1656"/>
            <w:vAlign w:val="center"/>
          </w:tcPr>
          <w:p>
            <w:r/>
            <w:r>
              <w:rPr>
                <w:rFonts w:ascii="Aptos" w:hAnsi="Aptos"/>
                <w:b w:val="0"/>
                <w:sz w:val="16"/>
              </w:rPr>
              <w:t>CI</w:t>
            </w:r>
          </w:p>
        </w:tc>
        <w:tc>
          <w:tcPr>
            <w:tcW w:type="dxa" w:w="2232"/>
            <w:vAlign w:val="center"/>
          </w:tcPr>
          <w:p>
            <w:r/>
            <w:r>
              <w:rPr>
                <w:rFonts w:ascii="Aptos" w:hAnsi="Aptos"/>
                <w:b w:val="0"/>
                <w:sz w:val="16"/>
              </w:rPr>
              <w:t>GitHub Actions</w:t>
            </w:r>
          </w:p>
        </w:tc>
        <w:tc>
          <w:tcPr>
            <w:tcW w:type="dxa" w:w="6048"/>
            <w:vAlign w:val="center"/>
          </w:tcPr>
          <w:p>
            <w:r/>
            <w:r>
              <w:rPr>
                <w:rFonts w:ascii="Aptos" w:hAnsi="Aptos"/>
                <w:b w:val="0"/>
                <w:sz w:val="16"/>
              </w:rPr>
              <w:t>Build, test, image scan and publish workflow.</w:t>
            </w:r>
          </w:p>
        </w:tc>
      </w:tr>
      <w:tr>
        <w:trPr>
          <w:cantSplit/>
        </w:trPr>
        <w:tc>
          <w:tcPr>
            <w:tcW w:type="dxa" w:w="1656"/>
            <w:vAlign w:val="center"/>
          </w:tcPr>
          <w:p>
            <w:r/>
            <w:r>
              <w:rPr>
                <w:rFonts w:ascii="Aptos" w:hAnsi="Aptos"/>
                <w:b w:val="0"/>
                <w:sz w:val="16"/>
              </w:rPr>
              <w:t>Policy</w:t>
            </w:r>
          </w:p>
        </w:tc>
        <w:tc>
          <w:tcPr>
            <w:tcW w:type="dxa" w:w="2232"/>
            <w:vAlign w:val="center"/>
          </w:tcPr>
          <w:p>
            <w:r/>
            <w:r>
              <w:rPr>
                <w:rFonts w:ascii="Aptos" w:hAnsi="Aptos"/>
                <w:b w:val="0"/>
                <w:sz w:val="16"/>
              </w:rPr>
              <w:t>Kyverno</w:t>
            </w:r>
          </w:p>
        </w:tc>
        <w:tc>
          <w:tcPr>
            <w:tcW w:type="dxa" w:w="6048"/>
            <w:vAlign w:val="center"/>
          </w:tcPr>
          <w:p>
            <w:r/>
            <w:r>
              <w:rPr>
                <w:rFonts w:ascii="Aptos" w:hAnsi="Aptos"/>
                <w:b w:val="0"/>
                <w:sz w:val="16"/>
              </w:rPr>
              <w:t>Admission policies for workload security and platform standards.</w:t>
            </w:r>
          </w:p>
        </w:tc>
      </w:tr>
      <w:tr>
        <w:trPr>
          <w:cantSplit/>
        </w:trPr>
        <w:tc>
          <w:tcPr>
            <w:tcW w:type="dxa" w:w="1656"/>
            <w:vAlign w:val="center"/>
          </w:tcPr>
          <w:p>
            <w:r/>
            <w:r>
              <w:rPr>
                <w:rFonts w:ascii="Aptos" w:hAnsi="Aptos"/>
                <w:b w:val="0"/>
                <w:sz w:val="16"/>
              </w:rPr>
              <w:t>Security scan</w:t>
            </w:r>
          </w:p>
        </w:tc>
        <w:tc>
          <w:tcPr>
            <w:tcW w:type="dxa" w:w="2232"/>
            <w:vAlign w:val="center"/>
          </w:tcPr>
          <w:p>
            <w:r/>
            <w:r>
              <w:rPr>
                <w:rFonts w:ascii="Aptos" w:hAnsi="Aptos"/>
                <w:b w:val="0"/>
                <w:sz w:val="16"/>
              </w:rPr>
              <w:t>Trivy</w:t>
            </w:r>
          </w:p>
        </w:tc>
        <w:tc>
          <w:tcPr>
            <w:tcW w:type="dxa" w:w="6048"/>
            <w:vAlign w:val="center"/>
          </w:tcPr>
          <w:p>
            <w:r/>
            <w:r>
              <w:rPr>
                <w:rFonts w:ascii="Aptos" w:hAnsi="Aptos"/>
                <w:b w:val="0"/>
                <w:sz w:val="16"/>
              </w:rPr>
              <w:t>Container and IaC vulnerability scanning.</w:t>
            </w:r>
          </w:p>
        </w:tc>
      </w:tr>
      <w:tr>
        <w:trPr>
          <w:cantSplit/>
        </w:trPr>
        <w:tc>
          <w:tcPr>
            <w:tcW w:type="dxa" w:w="1656"/>
            <w:vAlign w:val="center"/>
          </w:tcPr>
          <w:p>
            <w:r/>
            <w:r>
              <w:rPr>
                <w:rFonts w:ascii="Aptos" w:hAnsi="Aptos"/>
                <w:b w:val="0"/>
                <w:sz w:val="16"/>
              </w:rPr>
              <w:t>Secrets</w:t>
            </w:r>
          </w:p>
        </w:tc>
        <w:tc>
          <w:tcPr>
            <w:tcW w:type="dxa" w:w="2232"/>
            <w:vAlign w:val="center"/>
          </w:tcPr>
          <w:p>
            <w:r/>
            <w:r>
              <w:rPr>
                <w:rFonts w:ascii="Aptos" w:hAnsi="Aptos"/>
                <w:b w:val="0"/>
                <w:sz w:val="16"/>
              </w:rPr>
              <w:t>SOPS + age</w:t>
            </w:r>
          </w:p>
        </w:tc>
        <w:tc>
          <w:tcPr>
            <w:tcW w:type="dxa" w:w="6048"/>
            <w:vAlign w:val="center"/>
          </w:tcPr>
          <w:p>
            <w:r/>
            <w:r>
              <w:rPr>
                <w:rFonts w:ascii="Aptos" w:hAnsi="Aptos"/>
                <w:b w:val="0"/>
                <w:sz w:val="16"/>
              </w:rPr>
              <w:t>Encrypt Kubernetes secrets and sensitive configuration in Git.</w:t>
            </w:r>
          </w:p>
        </w:tc>
      </w:tr>
      <w:tr>
        <w:trPr>
          <w:cantSplit/>
        </w:trPr>
        <w:tc>
          <w:tcPr>
            <w:tcW w:type="dxa" w:w="1656"/>
            <w:vAlign w:val="center"/>
          </w:tcPr>
          <w:p>
            <w:r/>
            <w:r>
              <w:rPr>
                <w:rFonts w:ascii="Aptos" w:hAnsi="Aptos"/>
                <w:b w:val="0"/>
                <w:sz w:val="16"/>
              </w:rPr>
              <w:t>Observability</w:t>
            </w:r>
          </w:p>
        </w:tc>
        <w:tc>
          <w:tcPr>
            <w:tcW w:type="dxa" w:w="2232"/>
            <w:vAlign w:val="center"/>
          </w:tcPr>
          <w:p>
            <w:r/>
            <w:r>
              <w:rPr>
                <w:rFonts w:ascii="Aptos" w:hAnsi="Aptos"/>
                <w:b w:val="0"/>
                <w:sz w:val="16"/>
              </w:rPr>
              <w:t>Prometheus/Grafana/Loki/Tempo</w:t>
            </w:r>
          </w:p>
        </w:tc>
        <w:tc>
          <w:tcPr>
            <w:tcW w:type="dxa" w:w="6048"/>
            <w:vAlign w:val="center"/>
          </w:tcPr>
          <w:p>
            <w:r/>
            <w:r>
              <w:rPr>
                <w:rFonts w:ascii="Aptos" w:hAnsi="Aptos"/>
                <w:b w:val="0"/>
                <w:sz w:val="16"/>
              </w:rPr>
              <w:t>Metrics, dashboards, logs and traces.</w:t>
            </w:r>
          </w:p>
        </w:tc>
      </w:tr>
      <w:tr>
        <w:trPr>
          <w:cantSplit/>
        </w:trPr>
        <w:tc>
          <w:tcPr>
            <w:tcW w:type="dxa" w:w="1656"/>
            <w:vAlign w:val="center"/>
          </w:tcPr>
          <w:p>
            <w:r/>
            <w:r>
              <w:rPr>
                <w:rFonts w:ascii="Aptos" w:hAnsi="Aptos"/>
                <w:b w:val="0"/>
                <w:sz w:val="16"/>
              </w:rPr>
              <w:t>Network observability</w:t>
            </w:r>
          </w:p>
        </w:tc>
        <w:tc>
          <w:tcPr>
            <w:tcW w:type="dxa" w:w="2232"/>
            <w:vAlign w:val="center"/>
          </w:tcPr>
          <w:p>
            <w:r/>
            <w:r>
              <w:rPr>
                <w:rFonts w:ascii="Aptos" w:hAnsi="Aptos"/>
                <w:b w:val="0"/>
                <w:sz w:val="16"/>
              </w:rPr>
              <w:t>Hubble</w:t>
            </w:r>
          </w:p>
        </w:tc>
        <w:tc>
          <w:tcPr>
            <w:tcW w:type="dxa" w:w="6048"/>
            <w:vAlign w:val="center"/>
          </w:tcPr>
          <w:p>
            <w:r/>
            <w:r>
              <w:rPr>
                <w:rFonts w:ascii="Aptos" w:hAnsi="Aptos"/>
                <w:b w:val="0"/>
                <w:sz w:val="16"/>
              </w:rPr>
              <w:t>Cilium flow visibility and service/network troubleshooting.</w:t>
            </w:r>
          </w:p>
        </w:tc>
      </w:tr>
    </w:tbl>
    <w:p>
      <w:pPr>
        <w:pStyle w:val="Heading1"/>
      </w:pPr>
      <w:r>
        <w:t>5. Compute and Memory Allocation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232"/>
            <w:vAlign w:val="center"/>
            <w:shd w:fill="17365D"/>
          </w:tcPr>
          <w:p>
            <w:r/>
            <w:r>
              <w:rPr>
                <w:rFonts w:ascii="Aptos" w:hAnsi="Aptos"/>
                <w:b/>
                <w:color w:val="FFFFFF"/>
                <w:sz w:val="17"/>
              </w:rPr>
              <w:t>VM / host</w:t>
            </w:r>
          </w:p>
        </w:tc>
        <w:tc>
          <w:tcPr>
            <w:tcW w:type="dxa" w:w="1008"/>
            <w:vAlign w:val="center"/>
            <w:shd w:fill="17365D"/>
          </w:tcPr>
          <w:p>
            <w:r/>
            <w:r>
              <w:rPr>
                <w:rFonts w:ascii="Aptos" w:hAnsi="Aptos"/>
                <w:b/>
                <w:color w:val="FFFFFF"/>
                <w:sz w:val="17"/>
              </w:rPr>
              <w:t>vCPU</w:t>
            </w:r>
          </w:p>
        </w:tc>
        <w:tc>
          <w:tcPr>
            <w:tcW w:type="dxa" w:w="1872"/>
            <w:vAlign w:val="center"/>
            <w:shd w:fill="17365D"/>
          </w:tcPr>
          <w:p>
            <w:r/>
            <w:r>
              <w:rPr>
                <w:rFonts w:ascii="Aptos" w:hAnsi="Aptos"/>
                <w:b/>
                <w:color w:val="FFFFFF"/>
                <w:sz w:val="17"/>
              </w:rPr>
              <w:t>RAM</w:t>
            </w:r>
          </w:p>
        </w:tc>
        <w:tc>
          <w:tcPr>
            <w:tcW w:type="dxa" w:w="4896"/>
            <w:vAlign w:val="center"/>
            <w:shd w:fill="17365D"/>
          </w:tcPr>
          <w:p>
            <w:r/>
            <w:r>
              <w:rPr>
                <w:rFonts w:ascii="Aptos" w:hAnsi="Aptos"/>
                <w:b/>
                <w:color w:val="FFFFFF"/>
                <w:sz w:val="17"/>
              </w:rPr>
              <w:t>Role</w:t>
            </w:r>
          </w:p>
        </w:tc>
      </w:tr>
      <w:tr>
        <w:trPr>
          <w:cantSplit/>
        </w:trPr>
        <w:tc>
          <w:tcPr>
            <w:tcW w:type="dxa" w:w="2232"/>
            <w:vAlign w:val="center"/>
          </w:tcPr>
          <w:p>
            <w:r/>
            <w:r>
              <w:rPr>
                <w:rFonts w:ascii="Aptos" w:hAnsi="Aptos"/>
                <w:b w:val="0"/>
                <w:sz w:val="16"/>
              </w:rPr>
              <w:t>Proxmox host</w:t>
            </w:r>
          </w:p>
        </w:tc>
        <w:tc>
          <w:tcPr>
            <w:tcW w:type="dxa" w:w="1008"/>
            <w:vAlign w:val="center"/>
          </w:tcPr>
          <w:p>
            <w:r/>
            <w:r>
              <w:rPr>
                <w:rFonts w:ascii="Aptos" w:hAnsi="Aptos"/>
                <w:b w:val="0"/>
                <w:sz w:val="16"/>
              </w:rPr>
              <w:t>Host</w:t>
            </w:r>
          </w:p>
        </w:tc>
        <w:tc>
          <w:tcPr>
            <w:tcW w:type="dxa" w:w="1872"/>
            <w:vAlign w:val="center"/>
          </w:tcPr>
          <w:p>
            <w:r/>
            <w:r>
              <w:rPr>
                <w:rFonts w:ascii="Aptos" w:hAnsi="Aptos"/>
                <w:b w:val="0"/>
                <w:sz w:val="16"/>
              </w:rPr>
              <w:t>~2 GB reserved</w:t>
            </w:r>
          </w:p>
        </w:tc>
        <w:tc>
          <w:tcPr>
            <w:tcW w:type="dxa" w:w="4896"/>
            <w:vAlign w:val="center"/>
          </w:tcPr>
          <w:p>
            <w:r/>
            <w:r>
              <w:rPr>
                <w:rFonts w:ascii="Aptos" w:hAnsi="Aptos"/>
                <w:b w:val="0"/>
                <w:sz w:val="16"/>
              </w:rPr>
              <w:t>Hypervisor and management</w:t>
            </w:r>
          </w:p>
        </w:tc>
      </w:tr>
      <w:tr>
        <w:trPr>
          <w:cantSplit/>
        </w:trPr>
        <w:tc>
          <w:tcPr>
            <w:tcW w:type="dxa" w:w="2232"/>
            <w:vAlign w:val="center"/>
          </w:tcPr>
          <w:p>
            <w:r/>
            <w:r>
              <w:rPr>
                <w:rFonts w:ascii="Aptos" w:hAnsi="Aptos"/>
                <w:b w:val="0"/>
                <w:sz w:val="16"/>
              </w:rPr>
              <w:t>vpn01</w:t>
            </w:r>
          </w:p>
        </w:tc>
        <w:tc>
          <w:tcPr>
            <w:tcW w:type="dxa" w:w="1008"/>
            <w:vAlign w:val="center"/>
          </w:tcPr>
          <w:p>
            <w:r/>
            <w:r>
              <w:rPr>
                <w:rFonts w:ascii="Aptos" w:hAnsi="Aptos"/>
                <w:b w:val="0"/>
                <w:sz w:val="16"/>
              </w:rPr>
              <w:t>1</w:t>
            </w:r>
          </w:p>
        </w:tc>
        <w:tc>
          <w:tcPr>
            <w:tcW w:type="dxa" w:w="1872"/>
            <w:vAlign w:val="center"/>
          </w:tcPr>
          <w:p>
            <w:r/>
            <w:r>
              <w:rPr>
                <w:rFonts w:ascii="Aptos" w:hAnsi="Aptos"/>
                <w:b w:val="0"/>
                <w:sz w:val="16"/>
              </w:rPr>
              <w:t>512 MB–1 GB</w:t>
            </w:r>
          </w:p>
        </w:tc>
        <w:tc>
          <w:tcPr>
            <w:tcW w:type="dxa" w:w="4896"/>
            <w:vAlign w:val="center"/>
          </w:tcPr>
          <w:p>
            <w:r/>
            <w:r>
              <w:rPr>
                <w:rFonts w:ascii="Aptos" w:hAnsi="Aptos"/>
                <w:b w:val="0"/>
                <w:sz w:val="16"/>
              </w:rPr>
              <w:t>VPN gateway / bastion / subnet router</w:t>
            </w:r>
          </w:p>
        </w:tc>
      </w:tr>
      <w:tr>
        <w:trPr>
          <w:cantSplit/>
        </w:trPr>
        <w:tc>
          <w:tcPr>
            <w:tcW w:type="dxa" w:w="2232"/>
            <w:vAlign w:val="center"/>
          </w:tcPr>
          <w:p>
            <w:r/>
            <w:r>
              <w:rPr>
                <w:rFonts w:ascii="Aptos" w:hAnsi="Aptos"/>
                <w:b w:val="0"/>
                <w:sz w:val="16"/>
              </w:rPr>
              <w:t>cp01</w:t>
            </w:r>
          </w:p>
        </w:tc>
        <w:tc>
          <w:tcPr>
            <w:tcW w:type="dxa" w:w="1008"/>
            <w:vAlign w:val="center"/>
          </w:tcPr>
          <w:p>
            <w:r/>
            <w:r>
              <w:rPr>
                <w:rFonts w:ascii="Aptos" w:hAnsi="Aptos"/>
                <w:b w:val="0"/>
                <w:sz w:val="16"/>
              </w:rPr>
              <w:t>2</w:t>
            </w:r>
          </w:p>
        </w:tc>
        <w:tc>
          <w:tcPr>
            <w:tcW w:type="dxa" w:w="1872"/>
            <w:vAlign w:val="center"/>
          </w:tcPr>
          <w:p>
            <w:r/>
            <w:r>
              <w:rPr>
                <w:rFonts w:ascii="Aptos" w:hAnsi="Aptos"/>
                <w:b w:val="0"/>
                <w:sz w:val="16"/>
              </w:rPr>
              <w:t>2.5–3 GB</w:t>
            </w:r>
          </w:p>
        </w:tc>
        <w:tc>
          <w:tcPr>
            <w:tcW w:type="dxa" w:w="4896"/>
            <w:vAlign w:val="center"/>
          </w:tcPr>
          <w:p>
            <w:r/>
            <w:r>
              <w:rPr>
                <w:rFonts w:ascii="Aptos" w:hAnsi="Aptos"/>
                <w:b w:val="0"/>
                <w:sz w:val="16"/>
              </w:rPr>
              <w:t>Kubernetes control plane + etcd</w:t>
            </w:r>
          </w:p>
        </w:tc>
      </w:tr>
      <w:tr>
        <w:trPr>
          <w:cantSplit/>
        </w:trPr>
        <w:tc>
          <w:tcPr>
            <w:tcW w:type="dxa" w:w="2232"/>
            <w:vAlign w:val="center"/>
          </w:tcPr>
          <w:p>
            <w:r/>
            <w:r>
              <w:rPr>
                <w:rFonts w:ascii="Aptos" w:hAnsi="Aptos"/>
                <w:b w:val="0"/>
                <w:sz w:val="16"/>
              </w:rPr>
              <w:t>worker01</w:t>
            </w:r>
          </w:p>
        </w:tc>
        <w:tc>
          <w:tcPr>
            <w:tcW w:type="dxa" w:w="1008"/>
            <w:vAlign w:val="center"/>
          </w:tcPr>
          <w:p>
            <w:r/>
            <w:r>
              <w:rPr>
                <w:rFonts w:ascii="Aptos" w:hAnsi="Aptos"/>
                <w:b w:val="0"/>
                <w:sz w:val="16"/>
              </w:rPr>
              <w:t>2</w:t>
            </w:r>
          </w:p>
        </w:tc>
        <w:tc>
          <w:tcPr>
            <w:tcW w:type="dxa" w:w="1872"/>
            <w:vAlign w:val="center"/>
          </w:tcPr>
          <w:p>
            <w:r/>
            <w:r>
              <w:rPr>
                <w:rFonts w:ascii="Aptos" w:hAnsi="Aptos"/>
                <w:b w:val="0"/>
                <w:sz w:val="16"/>
              </w:rPr>
              <w:t>3–3.5 GB</w:t>
            </w:r>
          </w:p>
        </w:tc>
        <w:tc>
          <w:tcPr>
            <w:tcW w:type="dxa" w:w="4896"/>
            <w:vAlign w:val="center"/>
          </w:tcPr>
          <w:p>
            <w:r/>
            <w:r>
              <w:rPr>
                <w:rFonts w:ascii="Aptos" w:hAnsi="Aptos"/>
                <w:b w:val="0"/>
                <w:sz w:val="16"/>
              </w:rPr>
              <w:t>Application/platform workloads</w:t>
            </w:r>
          </w:p>
        </w:tc>
      </w:tr>
      <w:tr>
        <w:trPr>
          <w:cantSplit/>
        </w:trPr>
        <w:tc>
          <w:tcPr>
            <w:tcW w:type="dxa" w:w="2232"/>
            <w:vAlign w:val="center"/>
          </w:tcPr>
          <w:p>
            <w:r/>
            <w:r>
              <w:rPr>
                <w:rFonts w:ascii="Aptos" w:hAnsi="Aptos"/>
                <w:b w:val="0"/>
                <w:sz w:val="16"/>
              </w:rPr>
              <w:t>worker02</w:t>
            </w:r>
          </w:p>
        </w:tc>
        <w:tc>
          <w:tcPr>
            <w:tcW w:type="dxa" w:w="1008"/>
            <w:vAlign w:val="center"/>
          </w:tcPr>
          <w:p>
            <w:r/>
            <w:r>
              <w:rPr>
                <w:rFonts w:ascii="Aptos" w:hAnsi="Aptos"/>
                <w:b w:val="0"/>
                <w:sz w:val="16"/>
              </w:rPr>
              <w:t>2</w:t>
            </w:r>
          </w:p>
        </w:tc>
        <w:tc>
          <w:tcPr>
            <w:tcW w:type="dxa" w:w="1872"/>
            <w:vAlign w:val="center"/>
          </w:tcPr>
          <w:p>
            <w:r/>
            <w:r>
              <w:rPr>
                <w:rFonts w:ascii="Aptos" w:hAnsi="Aptos"/>
                <w:b w:val="0"/>
                <w:sz w:val="16"/>
              </w:rPr>
              <w:t>3–3.5 GB</w:t>
            </w:r>
          </w:p>
        </w:tc>
        <w:tc>
          <w:tcPr>
            <w:tcW w:type="dxa" w:w="4896"/>
            <w:vAlign w:val="center"/>
          </w:tcPr>
          <w:p>
            <w:r/>
            <w:r>
              <w:rPr>
                <w:rFonts w:ascii="Aptos" w:hAnsi="Aptos"/>
                <w:b w:val="0"/>
                <w:sz w:val="16"/>
              </w:rPr>
              <w:t>Application/platform workloads</w:t>
            </w:r>
          </w:p>
        </w:tc>
      </w:tr>
      <w:tr>
        <w:trPr>
          <w:cantSplit/>
        </w:trPr>
        <w:tc>
          <w:tcPr>
            <w:tcW w:type="dxa" w:w="2232"/>
            <w:vAlign w:val="center"/>
          </w:tcPr>
          <w:p>
            <w:r/>
            <w:r>
              <w:rPr>
                <w:rFonts w:ascii="Aptos" w:hAnsi="Aptos"/>
                <w:b w:val="0"/>
                <w:sz w:val="16"/>
              </w:rPr>
              <w:t>Headroom</w:t>
            </w:r>
          </w:p>
        </w:tc>
        <w:tc>
          <w:tcPr>
            <w:tcW w:type="dxa" w:w="1008"/>
            <w:vAlign w:val="center"/>
          </w:tcPr>
          <w:p>
            <w:r/>
            <w:r>
              <w:rPr>
                <w:rFonts w:ascii="Aptos" w:hAnsi="Aptos"/>
                <w:b w:val="0"/>
                <w:sz w:val="16"/>
              </w:rPr>
              <w:t>—</w:t>
            </w:r>
          </w:p>
        </w:tc>
        <w:tc>
          <w:tcPr>
            <w:tcW w:type="dxa" w:w="1872"/>
            <w:vAlign w:val="center"/>
          </w:tcPr>
          <w:p>
            <w:r/>
            <w:r>
              <w:rPr>
                <w:rFonts w:ascii="Aptos" w:hAnsi="Aptos"/>
                <w:b w:val="0"/>
                <w:sz w:val="16"/>
              </w:rPr>
              <w:t>~3–4 GB</w:t>
            </w:r>
          </w:p>
        </w:tc>
        <w:tc>
          <w:tcPr>
            <w:tcW w:type="dxa" w:w="4896"/>
            <w:vAlign w:val="center"/>
          </w:tcPr>
          <w:p>
            <w:r/>
            <w:r>
              <w:rPr>
                <w:rFonts w:ascii="Aptos" w:hAnsi="Aptos"/>
                <w:b w:val="0"/>
                <w:sz w:val="16"/>
              </w:rPr>
              <w:t>Filesystem cache, bursts and temporary workloads</w:t>
            </w:r>
          </w:p>
        </w:tc>
      </w:tr>
    </w:tbl>
    <w:p>
      <w:r>
        <w:t>Resource allocations should remain conservative. Observability retention must be intentionally short to avoid memory and disk pressure. Additional control-plane nodes can be created temporarily for HA/quorum exercises, then removed.</w:t>
      </w:r>
    </w:p>
    <w:p>
      <w:pPr>
        <w:pStyle w:val="Heading1"/>
      </w:pPr>
      <w:r>
        <w:t>6. Network Architecture</w:t>
      </w:r>
    </w:p>
    <w:p>
      <w:pPr>
        <w:pStyle w:val="Heading2"/>
      </w:pPr>
      <w:r>
        <w:t>6.1 Addressing plan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17365D"/>
          </w:tcPr>
          <w:p>
            <w:r/>
            <w:r>
              <w:rPr>
                <w:rFonts w:ascii="Aptos" w:hAnsi="Aptos"/>
                <w:b/>
                <w:color w:val="FFFFFF"/>
                <w:sz w:val="17"/>
              </w:rPr>
              <w:t>Network</w:t>
            </w:r>
          </w:p>
        </w:tc>
        <w:tc>
          <w:tcPr>
            <w:tcW w:type="dxa" w:w="2304"/>
            <w:vAlign w:val="center"/>
            <w:shd w:fill="17365D"/>
          </w:tcPr>
          <w:p>
            <w:r/>
            <w:r>
              <w:rPr>
                <w:rFonts w:ascii="Aptos" w:hAnsi="Aptos"/>
                <w:b/>
                <w:color w:val="FFFFFF"/>
                <w:sz w:val="17"/>
              </w:rPr>
              <w:t>Example CIDR</w:t>
            </w:r>
          </w:p>
        </w:tc>
        <w:tc>
          <w:tcPr>
            <w:tcW w:type="dxa" w:w="5328"/>
            <w:vAlign w:val="center"/>
            <w:shd w:fill="17365D"/>
          </w:tcPr>
          <w:p>
            <w:r/>
            <w:r>
              <w:rPr>
                <w:rFonts w:ascii="Aptos" w:hAnsi="Aptos"/>
                <w:b/>
                <w:color w:val="FFFFFF"/>
                <w:sz w:val="17"/>
              </w:rPr>
              <w:t>Purpose</w:t>
            </w:r>
          </w:p>
        </w:tc>
      </w:tr>
      <w:tr>
        <w:trPr>
          <w:cantSplit/>
        </w:trPr>
        <w:tc>
          <w:tcPr>
            <w:tcW w:type="dxa" w:w="2448"/>
            <w:vAlign w:val="center"/>
          </w:tcPr>
          <w:p>
            <w:r/>
            <w:r>
              <w:rPr>
                <w:rFonts w:ascii="Aptos" w:hAnsi="Aptos"/>
                <w:b w:val="0"/>
                <w:sz w:val="16"/>
              </w:rPr>
              <w:t>Home LAN</w:t>
            </w:r>
          </w:p>
        </w:tc>
        <w:tc>
          <w:tcPr>
            <w:tcW w:type="dxa" w:w="2304"/>
            <w:vAlign w:val="center"/>
          </w:tcPr>
          <w:p>
            <w:r/>
            <w:r>
              <w:rPr>
                <w:rFonts w:ascii="Aptos" w:hAnsi="Aptos"/>
                <w:b w:val="0"/>
                <w:sz w:val="16"/>
              </w:rPr>
              <w:t>192.168.1.0/24</w:t>
            </w:r>
          </w:p>
        </w:tc>
        <w:tc>
          <w:tcPr>
            <w:tcW w:type="dxa" w:w="5328"/>
            <w:vAlign w:val="center"/>
          </w:tcPr>
          <w:p>
            <w:r/>
            <w:r>
              <w:rPr>
                <w:rFonts w:ascii="Aptos" w:hAnsi="Aptos"/>
                <w:b w:val="0"/>
                <w:sz w:val="16"/>
              </w:rPr>
              <w:t>Existing household network and router connectivity.</w:t>
            </w:r>
          </w:p>
        </w:tc>
      </w:tr>
      <w:tr>
        <w:trPr>
          <w:cantSplit/>
        </w:trPr>
        <w:tc>
          <w:tcPr>
            <w:tcW w:type="dxa" w:w="2448"/>
            <w:vAlign w:val="center"/>
          </w:tcPr>
          <w:p>
            <w:r/>
            <w:r>
              <w:rPr>
                <w:rFonts w:ascii="Aptos" w:hAnsi="Aptos"/>
                <w:b w:val="0"/>
                <w:sz w:val="16"/>
              </w:rPr>
              <w:t>Management</w:t>
            </w:r>
          </w:p>
        </w:tc>
        <w:tc>
          <w:tcPr>
            <w:tcW w:type="dxa" w:w="2304"/>
            <w:vAlign w:val="center"/>
          </w:tcPr>
          <w:p>
            <w:r/>
            <w:r>
              <w:rPr>
                <w:rFonts w:ascii="Aptos" w:hAnsi="Aptos"/>
                <w:b w:val="0"/>
                <w:sz w:val="16"/>
              </w:rPr>
              <w:t>10.10.10.0/24</w:t>
            </w:r>
          </w:p>
        </w:tc>
        <w:tc>
          <w:tcPr>
            <w:tcW w:type="dxa" w:w="5328"/>
            <w:vAlign w:val="center"/>
          </w:tcPr>
          <w:p>
            <w:r/>
            <w:r>
              <w:rPr>
                <w:rFonts w:ascii="Aptos" w:hAnsi="Aptos"/>
                <w:b w:val="0"/>
                <w:sz w:val="16"/>
              </w:rPr>
              <w:t>Proxmox management and administrative services.</w:t>
            </w:r>
          </w:p>
        </w:tc>
      </w:tr>
      <w:tr>
        <w:trPr>
          <w:cantSplit/>
        </w:trPr>
        <w:tc>
          <w:tcPr>
            <w:tcW w:type="dxa" w:w="2448"/>
            <w:vAlign w:val="center"/>
          </w:tcPr>
          <w:p>
            <w:r/>
            <w:r>
              <w:rPr>
                <w:rFonts w:ascii="Aptos" w:hAnsi="Aptos"/>
                <w:b w:val="0"/>
                <w:sz w:val="16"/>
              </w:rPr>
              <w:t>Kubernetes nodes</w:t>
            </w:r>
          </w:p>
        </w:tc>
        <w:tc>
          <w:tcPr>
            <w:tcW w:type="dxa" w:w="2304"/>
            <w:vAlign w:val="center"/>
          </w:tcPr>
          <w:p>
            <w:r/>
            <w:r>
              <w:rPr>
                <w:rFonts w:ascii="Aptos" w:hAnsi="Aptos"/>
                <w:b w:val="0"/>
                <w:sz w:val="16"/>
              </w:rPr>
              <w:t>10.10.20.0/24</w:t>
            </w:r>
          </w:p>
        </w:tc>
        <w:tc>
          <w:tcPr>
            <w:tcW w:type="dxa" w:w="5328"/>
            <w:vAlign w:val="center"/>
          </w:tcPr>
          <w:p>
            <w:r/>
            <w:r>
              <w:rPr>
                <w:rFonts w:ascii="Aptos" w:hAnsi="Aptos"/>
                <w:b w:val="0"/>
                <w:sz w:val="16"/>
              </w:rPr>
              <w:t>Control-plane and worker node addresses.</w:t>
            </w:r>
          </w:p>
        </w:tc>
      </w:tr>
      <w:tr>
        <w:trPr>
          <w:cantSplit/>
        </w:trPr>
        <w:tc>
          <w:tcPr>
            <w:tcW w:type="dxa" w:w="2448"/>
            <w:vAlign w:val="center"/>
          </w:tcPr>
          <w:p>
            <w:r/>
            <w:r>
              <w:rPr>
                <w:rFonts w:ascii="Aptos" w:hAnsi="Aptos"/>
                <w:b w:val="0"/>
                <w:sz w:val="16"/>
              </w:rPr>
              <w:t>LoadBalancer pool</w:t>
            </w:r>
          </w:p>
        </w:tc>
        <w:tc>
          <w:tcPr>
            <w:tcW w:type="dxa" w:w="2304"/>
            <w:vAlign w:val="center"/>
          </w:tcPr>
          <w:p>
            <w:r/>
            <w:r>
              <w:rPr>
                <w:rFonts w:ascii="Aptos" w:hAnsi="Aptos"/>
                <w:b w:val="0"/>
                <w:sz w:val="16"/>
              </w:rPr>
              <w:t>10.10.30.0/24</w:t>
            </w:r>
          </w:p>
        </w:tc>
        <w:tc>
          <w:tcPr>
            <w:tcW w:type="dxa" w:w="5328"/>
            <w:vAlign w:val="center"/>
          </w:tcPr>
          <w:p>
            <w:r/>
            <w:r>
              <w:rPr>
                <w:rFonts w:ascii="Aptos" w:hAnsi="Aptos"/>
                <w:b w:val="0"/>
                <w:sz w:val="16"/>
              </w:rPr>
              <w:t>Addresses assigned to LoadBalancer services / Istio Gateway.</w:t>
            </w:r>
          </w:p>
        </w:tc>
      </w:tr>
      <w:tr>
        <w:trPr>
          <w:cantSplit/>
        </w:trPr>
        <w:tc>
          <w:tcPr>
            <w:tcW w:type="dxa" w:w="2448"/>
            <w:vAlign w:val="center"/>
          </w:tcPr>
          <w:p>
            <w:r/>
            <w:r>
              <w:rPr>
                <w:rFonts w:ascii="Aptos" w:hAnsi="Aptos"/>
                <w:b w:val="0"/>
                <w:sz w:val="16"/>
              </w:rPr>
              <w:t>Pod CIDR</w:t>
            </w:r>
          </w:p>
        </w:tc>
        <w:tc>
          <w:tcPr>
            <w:tcW w:type="dxa" w:w="2304"/>
            <w:vAlign w:val="center"/>
          </w:tcPr>
          <w:p>
            <w:r/>
            <w:r>
              <w:rPr>
                <w:rFonts w:ascii="Aptos" w:hAnsi="Aptos"/>
                <w:b w:val="0"/>
                <w:sz w:val="16"/>
              </w:rPr>
              <w:t>10.244.0.0/16</w:t>
            </w:r>
          </w:p>
        </w:tc>
        <w:tc>
          <w:tcPr>
            <w:tcW w:type="dxa" w:w="5328"/>
            <w:vAlign w:val="center"/>
          </w:tcPr>
          <w:p>
            <w:r/>
            <w:r>
              <w:rPr>
                <w:rFonts w:ascii="Aptos" w:hAnsi="Aptos"/>
                <w:b w:val="0"/>
                <w:sz w:val="16"/>
              </w:rPr>
              <w:t>Kubernetes pod addresses.</w:t>
            </w:r>
          </w:p>
        </w:tc>
      </w:tr>
      <w:tr>
        <w:trPr>
          <w:cantSplit/>
        </w:trPr>
        <w:tc>
          <w:tcPr>
            <w:tcW w:type="dxa" w:w="2448"/>
            <w:vAlign w:val="center"/>
          </w:tcPr>
          <w:p>
            <w:r/>
            <w:r>
              <w:rPr>
                <w:rFonts w:ascii="Aptos" w:hAnsi="Aptos"/>
                <w:b w:val="0"/>
                <w:sz w:val="16"/>
              </w:rPr>
              <w:t>Service CIDR</w:t>
            </w:r>
          </w:p>
        </w:tc>
        <w:tc>
          <w:tcPr>
            <w:tcW w:type="dxa" w:w="2304"/>
            <w:vAlign w:val="center"/>
          </w:tcPr>
          <w:p>
            <w:r/>
            <w:r>
              <w:rPr>
                <w:rFonts w:ascii="Aptos" w:hAnsi="Aptos"/>
                <w:b w:val="0"/>
                <w:sz w:val="16"/>
              </w:rPr>
              <w:t>10.96.0.0/12</w:t>
            </w:r>
          </w:p>
        </w:tc>
        <w:tc>
          <w:tcPr>
            <w:tcW w:type="dxa" w:w="5328"/>
            <w:vAlign w:val="center"/>
          </w:tcPr>
          <w:p>
            <w:r/>
            <w:r>
              <w:rPr>
                <w:rFonts w:ascii="Aptos" w:hAnsi="Aptos"/>
                <w:b w:val="0"/>
                <w:sz w:val="16"/>
              </w:rPr>
              <w:t>Kubernetes ClusterIP virtual services.</w:t>
            </w:r>
          </w:p>
        </w:tc>
      </w:tr>
    </w:tbl>
    <w:p>
      <w:pPr>
        <w:spacing w:before="80" w:after="120"/>
      </w:pPr>
      <w:r>
        <w:rPr>
          <w:i/>
          <w:color w:val="666666"/>
          <w:sz w:val="17"/>
        </w:rPr>
        <w:t>Final subnets must be validated against the actual home LAN before implementation to avoid overlap.</w:t>
      </w:r>
    </w:p>
    <w:p>
      <w:pPr>
        <w:pStyle w:val="Heading2"/>
      </w:pPr>
      <w:r>
        <w:t>6.2 Trust boundaries</w:t>
      </w:r>
    </w:p>
    <w:p>
      <w:pPr>
        <w:spacing w:before="60" w:after="140"/>
        <w:ind w:left="360" w:right="360"/>
        <w:pBdr>
          <w:bottom w:val="single" w:sz="4" w:color="D9E2F3"/>
        </w:pBdr>
        <w:shd w:fill="F3F6FA"/>
      </w:pPr>
      <w:r>
        <w:rPr>
          <w:rFonts w:ascii="Liberation Mono" w:hAnsi="Liberation Mono"/>
          <w:color w:val="202020"/>
          <w:sz w:val="16"/>
        </w:rPr>
        <w:t>UNTRUSTED                       TRUSTED / ADMIN</w:t>
        <w:br/>
        <w:t>Internet ----X----&gt; Proxmox       Tailscale client</w:t>
        <w:br/>
        <w:t xml:space="preserve">         ----X----&gt; SSH                |</w:t>
        <w:br/>
        <w:t xml:space="preserve">         ----X----&gt; K8s API            v</w:t>
        <w:br/>
        <w:t xml:space="preserve">         ----X----&gt; Argo CD          vpn01</w:t>
        <w:br/>
        <w:t xml:space="preserve">         ----X----&gt; Grafana            |</w:t>
        <w:br/>
        <w:t xml:space="preserve">                                      +--&gt; management subnet</w:t>
        <w:br/>
        <w:t xml:space="preserve">                                      +--&gt; Kubernetes node subnet</w:t>
        <w:br/>
      </w:r>
    </w:p>
    <w:p>
      <w:r>
        <w:t>The router must not forward management ports from WAN. If external application publishing is added later, it should be treated as a separate security project with explicit TLS, authentication, rate limiting and exposure review.</w:t>
      </w:r>
    </w:p>
    <w:p>
      <w:pPr>
        <w:pStyle w:val="Heading1"/>
      </w:pPr>
      <w:r>
        <w:t>7. Remote Access and VPN</w:t>
      </w:r>
    </w:p>
    <w:p>
      <w:r>
        <w:t>A dedicated vpn01 VM acts as the remote access boundary. Tailscale provides an encrypted WireGuard-based overlay and vpn01 advertises only the approved private subnets. Administrative endpoints remain bound to private addresses.</w:t>
      </w:r>
    </w:p>
    <w:p>
      <w:pPr>
        <w:pStyle w:val="ListBullet"/>
        <w:spacing w:after="40"/>
      </w:pPr>
      <w:r>
        <w:t>Require MFA on the identity used for Tailscale.</w:t>
      </w:r>
    </w:p>
    <w:p>
      <w:pPr>
        <w:pStyle w:val="ListBullet"/>
        <w:spacing w:after="40"/>
      </w:pPr>
      <w:r>
        <w:t>Use device approval and ACLs/tags rather than broad all-to-all access.</w:t>
      </w:r>
    </w:p>
    <w:p>
      <w:pPr>
        <w:pStyle w:val="ListBullet"/>
        <w:spacing w:after="40"/>
      </w:pPr>
      <w:r>
        <w:t>Do not install public-facing SSH or expose the Proxmox UI through router port forwarding.</w:t>
      </w:r>
    </w:p>
    <w:p>
      <w:pPr>
        <w:pStyle w:val="ListBullet"/>
        <w:spacing w:after="40"/>
      </w:pPr>
      <w:r>
        <w:t>Use SSH Ed25519 keys; disable SSH password authentication and direct root login on guest VMs.</w:t>
      </w:r>
    </w:p>
    <w:p>
      <w:pPr>
        <w:pStyle w:val="ListBullet"/>
        <w:spacing w:after="40"/>
      </w:pPr>
      <w:r>
        <w:t>For Wake-on-LAN from outside the home, use a small always-on trusted device or router capability to emit the local magic packet.</w:t>
      </w:r>
    </w:p>
    <w:p>
      <w:pPr>
        <w:pStyle w:val="Heading1"/>
      </w:pPr>
      <w:r>
        <w:t>8. Kubernetes Networking and Traffic Management</w:t>
      </w:r>
    </w:p>
    <w:p>
      <w:pPr>
        <w:pStyle w:val="Heading2"/>
      </w:pPr>
      <w:r>
        <w:t>8.1 Cilium</w:t>
      </w:r>
    </w:p>
    <w:p>
      <w:r>
        <w:t>Cilium is the primary CNI. It provides pod networking, Kubernetes NetworkPolicy enforcement, eBPF-based datapath capabilities and Hubble observability. Namespace workloads should use default-deny ingress and egress policies with narrowly scoped exceptions.</w:t>
      </w:r>
    </w:p>
    <w:p>
      <w:pPr>
        <w:pStyle w:val="Heading2"/>
      </w:pPr>
      <w:r>
        <w:t>8.2 Istio and Kubernetes Gateway API</w:t>
      </w:r>
    </w:p>
    <w:p>
      <w:r>
        <w:t>Istio is the traffic-management layer. The platform should prefer Kubernetes Gateway API resources for north-south routing rather than the legacy Ingress API. This creates a clean ownership boundary between platform-managed Gateway resources and application-owned HTTPRoute/GRPCRoute resources.</w:t>
      </w:r>
    </w:p>
    <w:p>
      <w:pPr>
        <w:spacing w:before="60" w:after="140"/>
        <w:ind w:left="360" w:right="360"/>
        <w:pBdr>
          <w:bottom w:val="single" w:sz="4" w:color="D9E2F3"/>
        </w:pBdr>
        <w:shd w:fill="F3F6FA"/>
      </w:pPr>
      <w:r>
        <w:rPr>
          <w:rFonts w:ascii="Liberation Mono" w:hAnsi="Liberation Mono"/>
          <w:color w:val="202020"/>
          <w:sz w:val="16"/>
        </w:rPr>
        <w:t>MetalLB IP</w:t>
        <w:br/>
        <w:t xml:space="preserve">   |</w:t>
        <w:br/>
        <w:t>Istio Gateway</w:t>
        <w:br/>
        <w:t xml:space="preserve">   |</w:t>
        <w:br/>
        <w:t>Gateway API</w:t>
        <w:br/>
        <w:t xml:space="preserve">   +--&gt; HTTPRoute --&gt; frontend</w:t>
        <w:br/>
        <w:t xml:space="preserve">   +--&gt; HTTPRoute --&gt; backend-v1 (90%)</w:t>
        <w:br/>
        <w:t xml:space="preserve">                    --&gt; backend-v2 (10%)</w:t>
        <w:br/>
        <w:br/>
        <w:t>East-west service traffic can optionally join the Istio mesh:</w:t>
        <w:br/>
        <w:t>service-a &lt;--- mTLS ---&gt; service-b</w:t>
        <w:br/>
      </w:r>
    </w:p>
    <w:p>
      <w:r>
        <w:t>Istio features to exercise in the lab include mTLS, weighted routing/canary deployment, timeouts, retries, circuit-breaking patterns, telemetry and authorization policies.</w:t>
      </w:r>
    </w:p>
    <w:p>
      <w:pPr>
        <w:pStyle w:val="Heading1"/>
      </w:pPr>
      <w:r>
        <w:t>9. Security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17365D"/>
          </w:tcPr>
          <w:p>
            <w:r/>
            <w:r>
              <w:rPr>
                <w:rFonts w:ascii="Aptos" w:hAnsi="Aptos"/>
                <w:b/>
                <w:color w:val="FFFFFF"/>
                <w:sz w:val="17"/>
              </w:rPr>
              <w:t>Control</w:t>
            </w:r>
          </w:p>
        </w:tc>
        <w:tc>
          <w:tcPr>
            <w:tcW w:type="dxa" w:w="7488"/>
            <w:vAlign w:val="center"/>
            <w:shd w:fill="17365D"/>
          </w:tcPr>
          <w:p>
            <w:r/>
            <w:r>
              <w:rPr>
                <w:rFonts w:ascii="Aptos" w:hAnsi="Aptos"/>
                <w:b/>
                <w:color w:val="FFFFFF"/>
                <w:sz w:val="17"/>
              </w:rPr>
              <w:t>Required posture</w:t>
            </w:r>
          </w:p>
        </w:tc>
      </w:tr>
      <w:tr>
        <w:trPr>
          <w:cantSplit/>
        </w:trPr>
        <w:tc>
          <w:tcPr>
            <w:tcW w:type="dxa" w:w="2592"/>
            <w:vAlign w:val="center"/>
          </w:tcPr>
          <w:p>
            <w:r/>
            <w:r>
              <w:rPr>
                <w:rFonts w:ascii="Aptos" w:hAnsi="Aptos"/>
                <w:b w:val="0"/>
                <w:sz w:val="16"/>
              </w:rPr>
              <w:t>Internet exposure</w:t>
            </w:r>
          </w:p>
        </w:tc>
        <w:tc>
          <w:tcPr>
            <w:tcW w:type="dxa" w:w="7488"/>
            <w:vAlign w:val="center"/>
          </w:tcPr>
          <w:p>
            <w:r/>
            <w:r>
              <w:rPr>
                <w:rFonts w:ascii="Aptos" w:hAnsi="Aptos"/>
                <w:b w:val="0"/>
                <w:sz w:val="16"/>
              </w:rPr>
              <w:t>No direct exposure of management interfaces.</w:t>
            </w:r>
          </w:p>
        </w:tc>
      </w:tr>
      <w:tr>
        <w:trPr>
          <w:cantSplit/>
        </w:trPr>
        <w:tc>
          <w:tcPr>
            <w:tcW w:type="dxa" w:w="2592"/>
            <w:vAlign w:val="center"/>
          </w:tcPr>
          <w:p>
            <w:r/>
            <w:r>
              <w:rPr>
                <w:rFonts w:ascii="Aptos" w:hAnsi="Aptos"/>
                <w:b w:val="0"/>
                <w:sz w:val="16"/>
              </w:rPr>
              <w:t>Host access</w:t>
            </w:r>
          </w:p>
        </w:tc>
        <w:tc>
          <w:tcPr>
            <w:tcW w:type="dxa" w:w="7488"/>
            <w:vAlign w:val="center"/>
          </w:tcPr>
          <w:p>
            <w:r/>
            <w:r>
              <w:rPr>
                <w:rFonts w:ascii="Aptos" w:hAnsi="Aptos"/>
                <w:b w:val="0"/>
                <w:sz w:val="16"/>
              </w:rPr>
              <w:t>SSH keys only; no password login; no direct root SSH.</w:t>
            </w:r>
          </w:p>
        </w:tc>
      </w:tr>
      <w:tr>
        <w:trPr>
          <w:cantSplit/>
        </w:trPr>
        <w:tc>
          <w:tcPr>
            <w:tcW w:type="dxa" w:w="2592"/>
            <w:vAlign w:val="center"/>
          </w:tcPr>
          <w:p>
            <w:r/>
            <w:r>
              <w:rPr>
                <w:rFonts w:ascii="Aptos" w:hAnsi="Aptos"/>
                <w:b w:val="0"/>
                <w:sz w:val="16"/>
              </w:rPr>
              <w:t>MFA</w:t>
            </w:r>
          </w:p>
        </w:tc>
        <w:tc>
          <w:tcPr>
            <w:tcW w:type="dxa" w:w="7488"/>
            <w:vAlign w:val="center"/>
          </w:tcPr>
          <w:p>
            <w:r/>
            <w:r>
              <w:rPr>
                <w:rFonts w:ascii="Aptos" w:hAnsi="Aptos"/>
                <w:b w:val="0"/>
                <w:sz w:val="16"/>
              </w:rPr>
              <w:t>Enable wherever supported for VPN/Git/administrative identity.</w:t>
            </w:r>
          </w:p>
        </w:tc>
      </w:tr>
      <w:tr>
        <w:trPr>
          <w:cantSplit/>
        </w:trPr>
        <w:tc>
          <w:tcPr>
            <w:tcW w:type="dxa" w:w="2592"/>
            <w:vAlign w:val="center"/>
          </w:tcPr>
          <w:p>
            <w:r/>
            <w:r>
              <w:rPr>
                <w:rFonts w:ascii="Aptos" w:hAnsi="Aptos"/>
                <w:b w:val="0"/>
                <w:sz w:val="16"/>
              </w:rPr>
              <w:t>Firewall</w:t>
            </w:r>
          </w:p>
        </w:tc>
        <w:tc>
          <w:tcPr>
            <w:tcW w:type="dxa" w:w="7488"/>
            <w:vAlign w:val="center"/>
          </w:tcPr>
          <w:p>
            <w:r/>
            <w:r>
              <w:rPr>
                <w:rFonts w:ascii="Aptos" w:hAnsi="Aptos"/>
                <w:b w:val="0"/>
                <w:sz w:val="16"/>
              </w:rPr>
              <w:t>Default deny; permit explicit management and application flows only.</w:t>
            </w:r>
          </w:p>
        </w:tc>
      </w:tr>
      <w:tr>
        <w:trPr>
          <w:cantSplit/>
        </w:trPr>
        <w:tc>
          <w:tcPr>
            <w:tcW w:type="dxa" w:w="2592"/>
            <w:vAlign w:val="center"/>
          </w:tcPr>
          <w:p>
            <w:r/>
            <w:r>
              <w:rPr>
                <w:rFonts w:ascii="Aptos" w:hAnsi="Aptos"/>
                <w:b w:val="0"/>
                <w:sz w:val="16"/>
              </w:rPr>
              <w:t>Kubernetes network</w:t>
            </w:r>
          </w:p>
        </w:tc>
        <w:tc>
          <w:tcPr>
            <w:tcW w:type="dxa" w:w="7488"/>
            <w:vAlign w:val="center"/>
          </w:tcPr>
          <w:p>
            <w:r/>
            <w:r>
              <w:rPr>
                <w:rFonts w:ascii="Aptos" w:hAnsi="Aptos"/>
                <w:b w:val="0"/>
                <w:sz w:val="16"/>
              </w:rPr>
              <w:t>Default-deny NetworkPolicies; explicitly allow DNS and required service flows.</w:t>
            </w:r>
          </w:p>
        </w:tc>
      </w:tr>
      <w:tr>
        <w:trPr>
          <w:cantSplit/>
        </w:trPr>
        <w:tc>
          <w:tcPr>
            <w:tcW w:type="dxa" w:w="2592"/>
            <w:vAlign w:val="center"/>
          </w:tcPr>
          <w:p>
            <w:r/>
            <w:r>
              <w:rPr>
                <w:rFonts w:ascii="Aptos" w:hAnsi="Aptos"/>
                <w:b w:val="0"/>
                <w:sz w:val="16"/>
              </w:rPr>
              <w:t>Workload security</w:t>
            </w:r>
          </w:p>
        </w:tc>
        <w:tc>
          <w:tcPr>
            <w:tcW w:type="dxa" w:w="7488"/>
            <w:vAlign w:val="center"/>
          </w:tcPr>
          <w:p>
            <w:r/>
            <w:r>
              <w:rPr>
                <w:rFonts w:ascii="Aptos" w:hAnsi="Aptos"/>
                <w:b w:val="0"/>
                <w:sz w:val="16"/>
              </w:rPr>
              <w:t>runAsNonRoot, no privilege escalation, drop Linux capabilities, read-only root filesystem where possible.</w:t>
            </w:r>
          </w:p>
        </w:tc>
      </w:tr>
      <w:tr>
        <w:trPr>
          <w:cantSplit/>
        </w:trPr>
        <w:tc>
          <w:tcPr>
            <w:tcW w:type="dxa" w:w="2592"/>
            <w:vAlign w:val="center"/>
          </w:tcPr>
          <w:p>
            <w:r/>
            <w:r>
              <w:rPr>
                <w:rFonts w:ascii="Aptos" w:hAnsi="Aptos"/>
                <w:b w:val="0"/>
                <w:sz w:val="16"/>
              </w:rPr>
              <w:t>Admission control</w:t>
            </w:r>
          </w:p>
        </w:tc>
        <w:tc>
          <w:tcPr>
            <w:tcW w:type="dxa" w:w="7488"/>
            <w:vAlign w:val="center"/>
          </w:tcPr>
          <w:p>
            <w:r/>
            <w:r>
              <w:rPr>
                <w:rFonts w:ascii="Aptos" w:hAnsi="Aptos"/>
                <w:b w:val="0"/>
                <w:sz w:val="16"/>
              </w:rPr>
              <w:t>Kyverno policies prevent privileged pods, unsafe host access and non-compliant images.</w:t>
            </w:r>
          </w:p>
        </w:tc>
      </w:tr>
      <w:tr>
        <w:trPr>
          <w:cantSplit/>
        </w:trPr>
        <w:tc>
          <w:tcPr>
            <w:tcW w:type="dxa" w:w="2592"/>
            <w:vAlign w:val="center"/>
          </w:tcPr>
          <w:p>
            <w:r/>
            <w:r>
              <w:rPr>
                <w:rFonts w:ascii="Aptos" w:hAnsi="Aptos"/>
                <w:b w:val="0"/>
                <w:sz w:val="16"/>
              </w:rPr>
              <w:t>Vulnerability management</w:t>
            </w:r>
          </w:p>
        </w:tc>
        <w:tc>
          <w:tcPr>
            <w:tcW w:type="dxa" w:w="7488"/>
            <w:vAlign w:val="center"/>
          </w:tcPr>
          <w:p>
            <w:r/>
            <w:r>
              <w:rPr>
                <w:rFonts w:ascii="Aptos" w:hAnsi="Aptos"/>
                <w:b w:val="0"/>
                <w:sz w:val="16"/>
              </w:rPr>
              <w:t>Trivy scanning in CI; fail builds for selected high/critical findings after policy tuning.</w:t>
            </w:r>
          </w:p>
        </w:tc>
      </w:tr>
      <w:tr>
        <w:trPr>
          <w:cantSplit/>
        </w:trPr>
        <w:tc>
          <w:tcPr>
            <w:tcW w:type="dxa" w:w="2592"/>
            <w:vAlign w:val="center"/>
          </w:tcPr>
          <w:p>
            <w:r/>
            <w:r>
              <w:rPr>
                <w:rFonts w:ascii="Aptos" w:hAnsi="Aptos"/>
                <w:b w:val="0"/>
                <w:sz w:val="16"/>
              </w:rPr>
              <w:t>Secrets</w:t>
            </w:r>
          </w:p>
        </w:tc>
        <w:tc>
          <w:tcPr>
            <w:tcW w:type="dxa" w:w="7488"/>
            <w:vAlign w:val="center"/>
          </w:tcPr>
          <w:p>
            <w:r/>
            <w:r>
              <w:rPr>
                <w:rFonts w:ascii="Aptos" w:hAnsi="Aptos"/>
                <w:b w:val="0"/>
                <w:sz w:val="16"/>
              </w:rPr>
              <w:t>SOPS + age; encrypted at rest in Git; minimize Secret RBAC access.</w:t>
            </w:r>
          </w:p>
        </w:tc>
      </w:tr>
      <w:tr>
        <w:trPr>
          <w:cantSplit/>
        </w:trPr>
        <w:tc>
          <w:tcPr>
            <w:tcW w:type="dxa" w:w="2592"/>
            <w:vAlign w:val="center"/>
          </w:tcPr>
          <w:p>
            <w:r/>
            <w:r>
              <w:rPr>
                <w:rFonts w:ascii="Aptos" w:hAnsi="Aptos"/>
                <w:b w:val="0"/>
                <w:sz w:val="16"/>
              </w:rPr>
              <w:t>Images</w:t>
            </w:r>
          </w:p>
        </w:tc>
        <w:tc>
          <w:tcPr>
            <w:tcW w:type="dxa" w:w="7488"/>
            <w:vAlign w:val="center"/>
          </w:tcPr>
          <w:p>
            <w:r/>
            <w:r>
              <w:rPr>
                <w:rFonts w:ascii="Aptos" w:hAnsi="Aptos"/>
                <w:b w:val="0"/>
                <w:sz w:val="16"/>
              </w:rPr>
              <w:t>Immutable tags/digests preferred; avoid :latest for controlled environments.</w:t>
            </w:r>
          </w:p>
        </w:tc>
      </w:tr>
      <w:tr>
        <w:trPr>
          <w:cantSplit/>
        </w:trPr>
        <w:tc>
          <w:tcPr>
            <w:tcW w:type="dxa" w:w="2592"/>
            <w:vAlign w:val="center"/>
          </w:tcPr>
          <w:p>
            <w:r/>
            <w:r>
              <w:rPr>
                <w:rFonts w:ascii="Aptos" w:hAnsi="Aptos"/>
                <w:b w:val="0"/>
                <w:sz w:val="16"/>
              </w:rPr>
              <w:t>Proxmox</w:t>
            </w:r>
          </w:p>
        </w:tc>
        <w:tc>
          <w:tcPr>
            <w:tcW w:type="dxa" w:w="7488"/>
            <w:vAlign w:val="center"/>
          </w:tcPr>
          <w:p>
            <w:r/>
            <w:r>
              <w:rPr>
                <w:rFonts w:ascii="Aptos" w:hAnsi="Aptos"/>
                <w:b w:val="0"/>
                <w:sz w:val="16"/>
              </w:rPr>
              <w:t>Private management network, firewall enabled, strong authentication and regular updates.</w:t>
            </w:r>
          </w:p>
        </w:tc>
      </w:tr>
    </w:tbl>
    <w:p>
      <w:pPr>
        <w:pStyle w:val="Heading1"/>
      </w:pPr>
      <w:r>
        <w:t>10. Delivery and Infrastructure as Code</w:t>
      </w:r>
    </w:p>
    <w:p>
      <w:pPr>
        <w:spacing w:before="60" w:after="140"/>
        <w:ind w:left="360" w:right="360"/>
        <w:pBdr>
          <w:bottom w:val="single" w:sz="4" w:color="D9E2F3"/>
        </w:pBdr>
        <w:shd w:fill="F3F6FA"/>
      </w:pPr>
      <w:r>
        <w:rPr>
          <w:rFonts w:ascii="Liberation Mono" w:hAnsi="Liberation Mono"/>
          <w:color w:val="202020"/>
          <w:sz w:val="16"/>
        </w:rPr>
        <w:t>Developer</w:t>
        <w:br/>
        <w:t xml:space="preserve">   | git push</w:t>
        <w:br/>
        <w:t xml:space="preserve">   v</w:t>
        <w:br/>
        <w:t>GitHub Actions</w:t>
        <w:br/>
        <w:t xml:space="preserve">   +--&gt; tests</w:t>
        <w:br/>
        <w:t xml:space="preserve">   +--&gt; container build</w:t>
        <w:br/>
        <w:t xml:space="preserve">   +--&gt; Trivy scan</w:t>
        <w:br/>
        <w:t xml:space="preserve">   +--&gt; registry push</w:t>
        <w:br/>
        <w:t xml:space="preserve">   +--&gt; update desired-state repository</w:t>
        <w:br/>
        <w:t xml:space="preserve">                         |</w:t>
        <w:br/>
        <w:t xml:space="preserve">                         v</w:t>
        <w:br/>
        <w:t xml:space="preserve">                      Argo CD</w:t>
        <w:br/>
        <w:t xml:space="preserve">                         |</w:t>
        <w:br/>
        <w:t xml:space="preserve">                         v</w:t>
        <w:br/>
        <w:t xml:space="preserve">                     Kubernetes</w:t>
        <w:br/>
      </w:r>
    </w:p>
    <w:p>
      <w:r>
        <w:t>OpenTofu/Terraform-compatible configuration should provision Proxmox VMs where practical; Ansible configures Linux, packages and node prerequisites. Cluster and platform configuration then transitions to GitOps after bootstrap.</w:t>
      </w:r>
    </w:p>
    <w:p>
      <w:pPr>
        <w:pStyle w:val="Heading2"/>
      </w:pPr>
      <w:r>
        <w:t>10.1 Suggested repository layout</w:t>
      </w:r>
    </w:p>
    <w:p>
      <w:pPr>
        <w:spacing w:before="60" w:after="140"/>
        <w:ind w:left="360" w:right="360"/>
        <w:pBdr>
          <w:bottom w:val="single" w:sz="4" w:color="D9E2F3"/>
        </w:pBdr>
        <w:shd w:fill="F3F6FA"/>
      </w:pPr>
      <w:r>
        <w:rPr>
          <w:rFonts w:ascii="Liberation Mono" w:hAnsi="Liberation Mono"/>
          <w:color w:val="202020"/>
          <w:sz w:val="16"/>
        </w:rPr>
        <w:t>homelab/</w:t>
        <w:br/>
        <w:t>├── infrastructure/</w:t>
        <w:br/>
        <w:t>│   ├── opentofu/</w:t>
        <w:br/>
        <w:t>│   └── ansible/</w:t>
        <w:br/>
        <w:t>├── kubernetes/</w:t>
        <w:br/>
        <w:t>│   ├── bootstrap/</w:t>
        <w:br/>
        <w:t>│   ├── cilium/</w:t>
        <w:br/>
        <w:t>│   ├── istio/</w:t>
        <w:br/>
        <w:t>│   ├── gateway-api/</w:t>
        <w:br/>
        <w:t>│   ├── cert-manager/</w:t>
        <w:br/>
        <w:t>│   ├── argocd/</w:t>
        <w:br/>
        <w:t>│   ├── observability/</w:t>
        <w:br/>
        <w:t>│   └── security/</w:t>
        <w:br/>
        <w:t>├── apps/</w:t>
        <w:br/>
        <w:t>│   ├── dev/</w:t>
        <w:br/>
        <w:t>│   └── prod/</w:t>
        <w:br/>
        <w:t>└── docs/</w:t>
        <w:br/>
        <w:t xml:space="preserve">    └── architecture/</w:t>
        <w:br/>
      </w:r>
    </w:p>
    <w:p>
      <w:pPr>
        <w:pStyle w:val="Heading1"/>
      </w:pPr>
      <w:r>
        <w:t>11. Observability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shd w:fill="17365D"/>
          </w:tcPr>
          <w:p>
            <w:r/>
            <w:r>
              <w:rPr>
                <w:rFonts w:ascii="Aptos" w:hAnsi="Aptos"/>
                <w:b/>
                <w:color w:val="FFFFFF"/>
                <w:sz w:val="17"/>
              </w:rPr>
              <w:t>Signal</w:t>
            </w:r>
          </w:p>
        </w:tc>
        <w:tc>
          <w:tcPr>
            <w:tcW w:type="dxa" w:w="1944"/>
            <w:vAlign w:val="center"/>
            <w:shd w:fill="17365D"/>
          </w:tcPr>
          <w:p>
            <w:r/>
            <w:r>
              <w:rPr>
                <w:rFonts w:ascii="Aptos" w:hAnsi="Aptos"/>
                <w:b/>
                <w:color w:val="FFFFFF"/>
                <w:sz w:val="17"/>
              </w:rPr>
              <w:t>Tool</w:t>
            </w:r>
          </w:p>
        </w:tc>
        <w:tc>
          <w:tcPr>
            <w:tcW w:type="dxa" w:w="6552"/>
            <w:vAlign w:val="center"/>
            <w:shd w:fill="17365D"/>
          </w:tcPr>
          <w:p>
            <w:r/>
            <w:r>
              <w:rPr>
                <w:rFonts w:ascii="Aptos" w:hAnsi="Aptos"/>
                <w:b/>
                <w:color w:val="FFFFFF"/>
                <w:sz w:val="17"/>
              </w:rPr>
              <w:t>Initial retention / strategy</w:t>
            </w:r>
          </w:p>
        </w:tc>
      </w:tr>
      <w:tr>
        <w:trPr>
          <w:cantSplit/>
        </w:trPr>
        <w:tc>
          <w:tcPr>
            <w:tcW w:type="dxa" w:w="1584"/>
            <w:vAlign w:val="center"/>
          </w:tcPr>
          <w:p>
            <w:r/>
            <w:r>
              <w:rPr>
                <w:rFonts w:ascii="Aptos" w:hAnsi="Aptos"/>
                <w:b w:val="0"/>
                <w:sz w:val="16"/>
              </w:rPr>
              <w:t>Metrics</w:t>
            </w:r>
          </w:p>
        </w:tc>
        <w:tc>
          <w:tcPr>
            <w:tcW w:type="dxa" w:w="1944"/>
            <w:vAlign w:val="center"/>
          </w:tcPr>
          <w:p>
            <w:r/>
            <w:r>
              <w:rPr>
                <w:rFonts w:ascii="Aptos" w:hAnsi="Aptos"/>
                <w:b w:val="0"/>
                <w:sz w:val="16"/>
              </w:rPr>
              <w:t>Prometheus</w:t>
            </w:r>
          </w:p>
        </w:tc>
        <w:tc>
          <w:tcPr>
            <w:tcW w:type="dxa" w:w="6552"/>
            <w:vAlign w:val="center"/>
          </w:tcPr>
          <w:p>
            <w:r/>
            <w:r>
              <w:rPr>
                <w:rFonts w:ascii="Aptos" w:hAnsi="Aptos"/>
                <w:b w:val="0"/>
                <w:sz w:val="16"/>
              </w:rPr>
              <w:t>2–3 days; limited scrape frequency and resource requests.</w:t>
            </w:r>
          </w:p>
        </w:tc>
      </w:tr>
      <w:tr>
        <w:trPr>
          <w:cantSplit/>
        </w:trPr>
        <w:tc>
          <w:tcPr>
            <w:tcW w:type="dxa" w:w="1584"/>
            <w:vAlign w:val="center"/>
          </w:tcPr>
          <w:p>
            <w:r/>
            <w:r>
              <w:rPr>
                <w:rFonts w:ascii="Aptos" w:hAnsi="Aptos"/>
                <w:b w:val="0"/>
                <w:sz w:val="16"/>
              </w:rPr>
              <w:t>Dashboards</w:t>
            </w:r>
          </w:p>
        </w:tc>
        <w:tc>
          <w:tcPr>
            <w:tcW w:type="dxa" w:w="1944"/>
            <w:vAlign w:val="center"/>
          </w:tcPr>
          <w:p>
            <w:r/>
            <w:r>
              <w:rPr>
                <w:rFonts w:ascii="Aptos" w:hAnsi="Aptos"/>
                <w:b w:val="0"/>
                <w:sz w:val="16"/>
              </w:rPr>
              <w:t>Grafana</w:t>
            </w:r>
          </w:p>
        </w:tc>
        <w:tc>
          <w:tcPr>
            <w:tcW w:type="dxa" w:w="6552"/>
            <w:vAlign w:val="center"/>
          </w:tcPr>
          <w:p>
            <w:r/>
            <w:r>
              <w:rPr>
                <w:rFonts w:ascii="Aptos" w:hAnsi="Aptos"/>
                <w:b w:val="0"/>
                <w:sz w:val="16"/>
              </w:rPr>
              <w:t>Private/VPN access only.</w:t>
            </w:r>
          </w:p>
        </w:tc>
      </w:tr>
      <w:tr>
        <w:trPr>
          <w:cantSplit/>
        </w:trPr>
        <w:tc>
          <w:tcPr>
            <w:tcW w:type="dxa" w:w="1584"/>
            <w:vAlign w:val="center"/>
          </w:tcPr>
          <w:p>
            <w:r/>
            <w:r>
              <w:rPr>
                <w:rFonts w:ascii="Aptos" w:hAnsi="Aptos"/>
                <w:b w:val="0"/>
                <w:sz w:val="16"/>
              </w:rPr>
              <w:t>Logs</w:t>
            </w:r>
          </w:p>
        </w:tc>
        <w:tc>
          <w:tcPr>
            <w:tcW w:type="dxa" w:w="1944"/>
            <w:vAlign w:val="center"/>
          </w:tcPr>
          <w:p>
            <w:r/>
            <w:r>
              <w:rPr>
                <w:rFonts w:ascii="Aptos" w:hAnsi="Aptos"/>
                <w:b w:val="0"/>
                <w:sz w:val="16"/>
              </w:rPr>
              <w:t>Loki</w:t>
            </w:r>
          </w:p>
        </w:tc>
        <w:tc>
          <w:tcPr>
            <w:tcW w:type="dxa" w:w="6552"/>
            <w:vAlign w:val="center"/>
          </w:tcPr>
          <w:p>
            <w:r/>
            <w:r>
              <w:rPr>
                <w:rFonts w:ascii="Aptos" w:hAnsi="Aptos"/>
                <w:b w:val="0"/>
                <w:sz w:val="16"/>
              </w:rPr>
              <w:t>2–3 days; avoid uncontrolled high-cardinality labels.</w:t>
            </w:r>
          </w:p>
        </w:tc>
      </w:tr>
      <w:tr>
        <w:trPr>
          <w:cantSplit/>
        </w:trPr>
        <w:tc>
          <w:tcPr>
            <w:tcW w:type="dxa" w:w="1584"/>
            <w:vAlign w:val="center"/>
          </w:tcPr>
          <w:p>
            <w:r/>
            <w:r>
              <w:rPr>
                <w:rFonts w:ascii="Aptos" w:hAnsi="Aptos"/>
                <w:b w:val="0"/>
                <w:sz w:val="16"/>
              </w:rPr>
              <w:t>Traces</w:t>
            </w:r>
          </w:p>
        </w:tc>
        <w:tc>
          <w:tcPr>
            <w:tcW w:type="dxa" w:w="1944"/>
            <w:vAlign w:val="center"/>
          </w:tcPr>
          <w:p>
            <w:r/>
            <w:r>
              <w:rPr>
                <w:rFonts w:ascii="Aptos" w:hAnsi="Aptos"/>
                <w:b w:val="0"/>
                <w:sz w:val="16"/>
              </w:rPr>
              <w:t>Tempo</w:t>
            </w:r>
          </w:p>
        </w:tc>
        <w:tc>
          <w:tcPr>
            <w:tcW w:type="dxa" w:w="6552"/>
            <w:vAlign w:val="center"/>
          </w:tcPr>
          <w:p>
            <w:r/>
            <w:r>
              <w:rPr>
                <w:rFonts w:ascii="Aptos" w:hAnsi="Aptos"/>
                <w:b w:val="0"/>
                <w:sz w:val="16"/>
              </w:rPr>
              <w:t>1–2 days; sample aggressively in the 16 GB environment.</w:t>
            </w:r>
          </w:p>
        </w:tc>
      </w:tr>
      <w:tr>
        <w:trPr>
          <w:cantSplit/>
        </w:trPr>
        <w:tc>
          <w:tcPr>
            <w:tcW w:type="dxa" w:w="1584"/>
            <w:vAlign w:val="center"/>
          </w:tcPr>
          <w:p>
            <w:r/>
            <w:r>
              <w:rPr>
                <w:rFonts w:ascii="Aptos" w:hAnsi="Aptos"/>
                <w:b w:val="0"/>
                <w:sz w:val="16"/>
              </w:rPr>
              <w:t>Network flows</w:t>
            </w:r>
          </w:p>
        </w:tc>
        <w:tc>
          <w:tcPr>
            <w:tcW w:type="dxa" w:w="1944"/>
            <w:vAlign w:val="center"/>
          </w:tcPr>
          <w:p>
            <w:r/>
            <w:r>
              <w:rPr>
                <w:rFonts w:ascii="Aptos" w:hAnsi="Aptos"/>
                <w:b w:val="0"/>
                <w:sz w:val="16"/>
              </w:rPr>
              <w:t>Hubble</w:t>
            </w:r>
          </w:p>
        </w:tc>
        <w:tc>
          <w:tcPr>
            <w:tcW w:type="dxa" w:w="6552"/>
            <w:vAlign w:val="center"/>
          </w:tcPr>
          <w:p>
            <w:r/>
            <w:r>
              <w:rPr>
                <w:rFonts w:ascii="Aptos" w:hAnsi="Aptos"/>
                <w:b w:val="0"/>
                <w:sz w:val="16"/>
              </w:rPr>
              <w:t>Use for DNS, service connectivity and NetworkPolicy troubleshooting.</w:t>
            </w:r>
          </w:p>
        </w:tc>
      </w:tr>
    </w:tbl>
    <w:p>
      <w:r>
        <w:t>The observability stack itself should be treated as a workload with resource requests/limits. Memory pressure is an intentional learning opportunity, but it should not make the cluster permanently unstable.</w:t>
      </w:r>
    </w:p>
    <w:p>
      <w:pPr>
        <w:pStyle w:val="Heading1"/>
      </w:pPr>
      <w:r>
        <w:t>12. Backup, Recovery and Failure Testing</w:t>
      </w:r>
    </w:p>
    <w:p>
      <w:pPr>
        <w:pStyle w:val="ListBullet"/>
        <w:spacing w:after="40"/>
      </w:pPr>
      <w:r>
        <w:t>Create periodic Proxmox VM backups/snapshots before invasive platform changes.</w:t>
      </w:r>
    </w:p>
    <w:p>
      <w:pPr>
        <w:pStyle w:val="ListBullet"/>
        <w:spacing w:after="40"/>
      </w:pPr>
      <w:r>
        <w:t>Take regular etcd snapshots and document a restore procedure.</w:t>
      </w:r>
    </w:p>
    <w:p>
      <w:pPr>
        <w:pStyle w:val="ListBullet"/>
        <w:spacing w:after="40"/>
      </w:pPr>
      <w:r>
        <w:t>Keep desired state in Git so Argo CD can reconstruct workloads after cluster recovery.</w:t>
      </w:r>
    </w:p>
    <w:p>
      <w:pPr>
        <w:pStyle w:val="ListBullet"/>
        <w:spacing w:after="40"/>
      </w:pPr>
      <w:r>
        <w:t>Back up persistent application data independently from VM snapshots when data durability matters.</w:t>
      </w:r>
    </w:p>
    <w:p>
      <w:pPr>
        <w:pStyle w:val="ListBullet"/>
        <w:spacing w:after="40"/>
      </w:pPr>
      <w:r>
        <w:t>Test restore procedures; a backup that has never been restored should be considered unverified.</w:t>
      </w:r>
    </w:p>
    <w:p>
      <w:pPr>
        <w:pStyle w:val="Heading2"/>
      </w:pPr>
      <w:r>
        <w:t>12.1 Failure scenarios to practice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17365D"/>
          </w:tcPr>
          <w:p>
            <w:r/>
            <w:r>
              <w:rPr>
                <w:rFonts w:ascii="Aptos" w:hAnsi="Aptos"/>
                <w:b/>
                <w:color w:val="FFFFFF"/>
                <w:sz w:val="17"/>
              </w:rPr>
              <w:t>Scenario</w:t>
            </w:r>
          </w:p>
        </w:tc>
        <w:tc>
          <w:tcPr>
            <w:tcW w:type="dxa" w:w="7056"/>
            <w:vAlign w:val="center"/>
            <w:shd w:fill="17365D"/>
          </w:tcPr>
          <w:p>
            <w:r/>
            <w:r>
              <w:rPr>
                <w:rFonts w:ascii="Aptos" w:hAnsi="Aptos"/>
                <w:b/>
                <w:color w:val="FFFFFF"/>
                <w:sz w:val="17"/>
              </w:rPr>
              <w:t>Expected learning</w:t>
            </w:r>
          </w:p>
        </w:tc>
      </w:tr>
      <w:tr>
        <w:trPr>
          <w:cantSplit/>
        </w:trPr>
        <w:tc>
          <w:tcPr>
            <w:tcW w:type="dxa" w:w="3024"/>
            <w:vAlign w:val="center"/>
          </w:tcPr>
          <w:p>
            <w:r/>
            <w:r>
              <w:rPr>
                <w:rFonts w:ascii="Aptos" w:hAnsi="Aptos"/>
                <w:b w:val="0"/>
                <w:sz w:val="16"/>
              </w:rPr>
              <w:t>Worker NotReady</w:t>
            </w:r>
          </w:p>
        </w:tc>
        <w:tc>
          <w:tcPr>
            <w:tcW w:type="dxa" w:w="7056"/>
            <w:vAlign w:val="center"/>
          </w:tcPr>
          <w:p>
            <w:r/>
            <w:r>
              <w:rPr>
                <w:rFonts w:ascii="Aptos" w:hAnsi="Aptos"/>
                <w:b w:val="0"/>
                <w:sz w:val="16"/>
              </w:rPr>
              <w:t>kubelet/containerd/systemd diagnosis; scheduling impact.</w:t>
            </w:r>
          </w:p>
        </w:tc>
      </w:tr>
      <w:tr>
        <w:trPr>
          <w:cantSplit/>
        </w:trPr>
        <w:tc>
          <w:tcPr>
            <w:tcW w:type="dxa" w:w="3024"/>
            <w:vAlign w:val="center"/>
          </w:tcPr>
          <w:p>
            <w:r/>
            <w:r>
              <w:rPr>
                <w:rFonts w:ascii="Aptos" w:hAnsi="Aptos"/>
                <w:b w:val="0"/>
                <w:sz w:val="16"/>
              </w:rPr>
              <w:t>CNI failure</w:t>
            </w:r>
          </w:p>
        </w:tc>
        <w:tc>
          <w:tcPr>
            <w:tcW w:type="dxa" w:w="7056"/>
            <w:vAlign w:val="center"/>
          </w:tcPr>
          <w:p>
            <w:r/>
            <w:r>
              <w:rPr>
                <w:rFonts w:ascii="Aptos" w:hAnsi="Aptos"/>
                <w:b w:val="0"/>
                <w:sz w:val="16"/>
              </w:rPr>
              <w:t>Pod routing, Cilium health and connectivity debugging.</w:t>
            </w:r>
          </w:p>
        </w:tc>
      </w:tr>
      <w:tr>
        <w:trPr>
          <w:cantSplit/>
        </w:trPr>
        <w:tc>
          <w:tcPr>
            <w:tcW w:type="dxa" w:w="3024"/>
            <w:vAlign w:val="center"/>
          </w:tcPr>
          <w:p>
            <w:r/>
            <w:r>
              <w:rPr>
                <w:rFonts w:ascii="Aptos" w:hAnsi="Aptos"/>
                <w:b w:val="0"/>
                <w:sz w:val="16"/>
              </w:rPr>
              <w:t>DNS failure</w:t>
            </w:r>
          </w:p>
        </w:tc>
        <w:tc>
          <w:tcPr>
            <w:tcW w:type="dxa" w:w="7056"/>
            <w:vAlign w:val="center"/>
          </w:tcPr>
          <w:p>
            <w:r/>
            <w:r>
              <w:rPr>
                <w:rFonts w:ascii="Aptos" w:hAnsi="Aptos"/>
                <w:b w:val="0"/>
                <w:sz w:val="16"/>
              </w:rPr>
              <w:t>CoreDNS/service discovery troubleshooting.</w:t>
            </w:r>
          </w:p>
        </w:tc>
      </w:tr>
      <w:tr>
        <w:trPr>
          <w:cantSplit/>
        </w:trPr>
        <w:tc>
          <w:tcPr>
            <w:tcW w:type="dxa" w:w="3024"/>
            <w:vAlign w:val="center"/>
          </w:tcPr>
          <w:p>
            <w:r/>
            <w:r>
              <w:rPr>
                <w:rFonts w:ascii="Aptos" w:hAnsi="Aptos"/>
                <w:b w:val="0"/>
                <w:sz w:val="16"/>
              </w:rPr>
              <w:t>Broken Gateway route</w:t>
            </w:r>
          </w:p>
        </w:tc>
        <w:tc>
          <w:tcPr>
            <w:tcW w:type="dxa" w:w="7056"/>
            <w:vAlign w:val="center"/>
          </w:tcPr>
          <w:p>
            <w:r/>
            <w:r>
              <w:rPr>
                <w:rFonts w:ascii="Aptos" w:hAnsi="Aptos"/>
                <w:b w:val="0"/>
                <w:sz w:val="16"/>
              </w:rPr>
              <w:t>Gateway API/Istio route and certificate diagnostics.</w:t>
            </w:r>
          </w:p>
        </w:tc>
      </w:tr>
      <w:tr>
        <w:trPr>
          <w:cantSplit/>
        </w:trPr>
        <w:tc>
          <w:tcPr>
            <w:tcW w:type="dxa" w:w="3024"/>
            <w:vAlign w:val="center"/>
          </w:tcPr>
          <w:p>
            <w:r/>
            <w:r>
              <w:rPr>
                <w:rFonts w:ascii="Aptos" w:hAnsi="Aptos"/>
                <w:b w:val="0"/>
                <w:sz w:val="16"/>
              </w:rPr>
              <w:t>NetworkPolicy denial</w:t>
            </w:r>
          </w:p>
        </w:tc>
        <w:tc>
          <w:tcPr>
            <w:tcW w:type="dxa" w:w="7056"/>
            <w:vAlign w:val="center"/>
          </w:tcPr>
          <w:p>
            <w:r/>
            <w:r>
              <w:rPr>
                <w:rFonts w:ascii="Aptos" w:hAnsi="Aptos"/>
                <w:b w:val="0"/>
                <w:sz w:val="16"/>
              </w:rPr>
              <w:t>Hubble flows and least-privilege policy debugging.</w:t>
            </w:r>
          </w:p>
        </w:tc>
      </w:tr>
      <w:tr>
        <w:trPr>
          <w:cantSplit/>
        </w:trPr>
        <w:tc>
          <w:tcPr>
            <w:tcW w:type="dxa" w:w="3024"/>
            <w:vAlign w:val="center"/>
          </w:tcPr>
          <w:p>
            <w:r/>
            <w:r>
              <w:rPr>
                <w:rFonts w:ascii="Aptos" w:hAnsi="Aptos"/>
                <w:b w:val="0"/>
                <w:sz w:val="16"/>
              </w:rPr>
              <w:t>OOMKilled workload</w:t>
            </w:r>
          </w:p>
        </w:tc>
        <w:tc>
          <w:tcPr>
            <w:tcW w:type="dxa" w:w="7056"/>
            <w:vAlign w:val="center"/>
          </w:tcPr>
          <w:p>
            <w:r/>
            <w:r>
              <w:rPr>
                <w:rFonts w:ascii="Aptos" w:hAnsi="Aptos"/>
                <w:b w:val="0"/>
                <w:sz w:val="16"/>
              </w:rPr>
              <w:t>Requests/limits, JVM/container memory and kernel signals.</w:t>
            </w:r>
          </w:p>
        </w:tc>
      </w:tr>
      <w:tr>
        <w:trPr>
          <w:cantSplit/>
        </w:trPr>
        <w:tc>
          <w:tcPr>
            <w:tcW w:type="dxa" w:w="3024"/>
            <w:vAlign w:val="center"/>
          </w:tcPr>
          <w:p>
            <w:r/>
            <w:r>
              <w:rPr>
                <w:rFonts w:ascii="Aptos" w:hAnsi="Aptos"/>
                <w:b w:val="0"/>
                <w:sz w:val="16"/>
              </w:rPr>
              <w:t>PVC failure</w:t>
            </w:r>
          </w:p>
        </w:tc>
        <w:tc>
          <w:tcPr>
            <w:tcW w:type="dxa" w:w="7056"/>
            <w:vAlign w:val="center"/>
          </w:tcPr>
          <w:p>
            <w:r/>
            <w:r>
              <w:rPr>
                <w:rFonts w:ascii="Aptos" w:hAnsi="Aptos"/>
                <w:b w:val="0"/>
                <w:sz w:val="16"/>
              </w:rPr>
              <w:t>Storage lifecycle and recovery.</w:t>
            </w:r>
          </w:p>
        </w:tc>
      </w:tr>
      <w:tr>
        <w:trPr>
          <w:cantSplit/>
        </w:trPr>
        <w:tc>
          <w:tcPr>
            <w:tcW w:type="dxa" w:w="3024"/>
            <w:vAlign w:val="center"/>
          </w:tcPr>
          <w:p>
            <w:r/>
            <w:r>
              <w:rPr>
                <w:rFonts w:ascii="Aptos" w:hAnsi="Aptos"/>
                <w:b w:val="0"/>
                <w:sz w:val="16"/>
              </w:rPr>
              <w:t>Control-plane loss</w:t>
            </w:r>
          </w:p>
        </w:tc>
        <w:tc>
          <w:tcPr>
            <w:tcW w:type="dxa" w:w="7056"/>
            <w:vAlign w:val="center"/>
          </w:tcPr>
          <w:p>
            <w:r/>
            <w:r>
              <w:rPr>
                <w:rFonts w:ascii="Aptos" w:hAnsi="Aptos"/>
                <w:b w:val="0"/>
                <w:sz w:val="16"/>
              </w:rPr>
              <w:t>etcd snapshot and kubeadm recovery concepts.</w:t>
            </w:r>
          </w:p>
        </w:tc>
      </w:tr>
    </w:tbl>
    <w:p>
      <w:pPr>
        <w:pStyle w:val="Heading1"/>
      </w:pPr>
      <w:r>
        <w:t>13. Implementation Roadmap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96"/>
            <w:vAlign w:val="center"/>
            <w:shd w:fill="17365D"/>
          </w:tcPr>
          <w:p>
            <w:r/>
            <w:r>
              <w:rPr>
                <w:rFonts w:ascii="Aptos" w:hAnsi="Aptos"/>
                <w:b/>
                <w:color w:val="FFFFFF"/>
                <w:sz w:val="17"/>
              </w:rPr>
              <w:t>Phase</w:t>
            </w:r>
          </w:p>
        </w:tc>
        <w:tc>
          <w:tcPr>
            <w:tcW w:type="dxa" w:w="6984"/>
            <w:vAlign w:val="center"/>
            <w:shd w:fill="17365D"/>
          </w:tcPr>
          <w:p>
            <w:r/>
            <w:r>
              <w:rPr>
                <w:rFonts w:ascii="Aptos" w:hAnsi="Aptos"/>
                <w:b/>
                <w:color w:val="FFFFFF"/>
                <w:sz w:val="17"/>
              </w:rPr>
              <w:t>Outcome</w:t>
            </w:r>
          </w:p>
        </w:tc>
      </w:tr>
      <w:tr>
        <w:trPr>
          <w:cantSplit/>
        </w:trPr>
        <w:tc>
          <w:tcPr>
            <w:tcW w:type="dxa" w:w="3096"/>
            <w:vAlign w:val="center"/>
          </w:tcPr>
          <w:p>
            <w:r/>
            <w:r>
              <w:rPr>
                <w:rFonts w:ascii="Aptos" w:hAnsi="Aptos"/>
                <w:b w:val="0"/>
                <w:sz w:val="16"/>
              </w:rPr>
              <w:t>Phase 1 — Foundation</w:t>
            </w:r>
          </w:p>
        </w:tc>
        <w:tc>
          <w:tcPr>
            <w:tcW w:type="dxa" w:w="6984"/>
            <w:vAlign w:val="center"/>
          </w:tcPr>
          <w:p>
            <w:r/>
            <w:r>
              <w:rPr>
                <w:rFonts w:ascii="Aptos" w:hAnsi="Aptos"/>
                <w:b w:val="0"/>
                <w:sz w:val="16"/>
              </w:rPr>
              <w:t>Install Proxmox, configure management networking, patch host, enable firewall and create the base Ubuntu template.</w:t>
            </w:r>
          </w:p>
        </w:tc>
      </w:tr>
      <w:tr>
        <w:trPr>
          <w:cantSplit/>
        </w:trPr>
        <w:tc>
          <w:tcPr>
            <w:tcW w:type="dxa" w:w="3096"/>
            <w:vAlign w:val="center"/>
          </w:tcPr>
          <w:p>
            <w:r/>
            <w:r>
              <w:rPr>
                <w:rFonts w:ascii="Aptos" w:hAnsi="Aptos"/>
                <w:b w:val="0"/>
                <w:sz w:val="16"/>
              </w:rPr>
              <w:t>Phase 2 — Secure remote access</w:t>
            </w:r>
          </w:p>
        </w:tc>
        <w:tc>
          <w:tcPr>
            <w:tcW w:type="dxa" w:w="6984"/>
            <w:vAlign w:val="center"/>
          </w:tcPr>
          <w:p>
            <w:r/>
            <w:r>
              <w:rPr>
                <w:rFonts w:ascii="Aptos" w:hAnsi="Aptos"/>
                <w:b w:val="0"/>
                <w:sz w:val="16"/>
              </w:rPr>
              <w:t>Create vpn01, configure Tailscale/subnet routing and validate that no management service is reachable from WAN.</w:t>
            </w:r>
          </w:p>
        </w:tc>
      </w:tr>
      <w:tr>
        <w:trPr>
          <w:cantSplit/>
        </w:trPr>
        <w:tc>
          <w:tcPr>
            <w:tcW w:type="dxa" w:w="3096"/>
            <w:vAlign w:val="center"/>
          </w:tcPr>
          <w:p>
            <w:r/>
            <w:r>
              <w:rPr>
                <w:rFonts w:ascii="Aptos" w:hAnsi="Aptos"/>
                <w:b w:val="0"/>
                <w:sz w:val="16"/>
              </w:rPr>
              <w:t>Phase 3 — Kubernetes bootstrap</w:t>
            </w:r>
          </w:p>
        </w:tc>
        <w:tc>
          <w:tcPr>
            <w:tcW w:type="dxa" w:w="6984"/>
            <w:vAlign w:val="center"/>
          </w:tcPr>
          <w:p>
            <w:r/>
            <w:r>
              <w:rPr>
                <w:rFonts w:ascii="Aptos" w:hAnsi="Aptos"/>
                <w:b w:val="0"/>
                <w:sz w:val="16"/>
              </w:rPr>
              <w:t>Create cp01/worker01/worker02; install containerd, kubeadm, kubelet and kubectl; bootstrap the cluster.</w:t>
            </w:r>
          </w:p>
        </w:tc>
      </w:tr>
      <w:tr>
        <w:trPr>
          <w:cantSplit/>
        </w:trPr>
        <w:tc>
          <w:tcPr>
            <w:tcW w:type="dxa" w:w="3096"/>
            <w:vAlign w:val="center"/>
          </w:tcPr>
          <w:p>
            <w:r/>
            <w:r>
              <w:rPr>
                <w:rFonts w:ascii="Aptos" w:hAnsi="Aptos"/>
                <w:b w:val="0"/>
                <w:sz w:val="16"/>
              </w:rPr>
              <w:t>Phase 4 — Cluster networking</w:t>
            </w:r>
          </w:p>
        </w:tc>
        <w:tc>
          <w:tcPr>
            <w:tcW w:type="dxa" w:w="6984"/>
            <w:vAlign w:val="center"/>
          </w:tcPr>
          <w:p>
            <w:r/>
            <w:r>
              <w:rPr>
                <w:rFonts w:ascii="Aptos" w:hAnsi="Aptos"/>
                <w:b w:val="0"/>
                <w:sz w:val="16"/>
              </w:rPr>
              <w:t>Install Cilium and Hubble; validate pod-to-pod, DNS and NetworkPolicy behavior.</w:t>
            </w:r>
          </w:p>
        </w:tc>
      </w:tr>
      <w:tr>
        <w:trPr>
          <w:cantSplit/>
        </w:trPr>
        <w:tc>
          <w:tcPr>
            <w:tcW w:type="dxa" w:w="3096"/>
            <w:vAlign w:val="center"/>
          </w:tcPr>
          <w:p>
            <w:r/>
            <w:r>
              <w:rPr>
                <w:rFonts w:ascii="Aptos" w:hAnsi="Aptos"/>
                <w:b w:val="0"/>
                <w:sz w:val="16"/>
              </w:rPr>
              <w:t>Phase 5 — Service exposure</w:t>
            </w:r>
          </w:p>
        </w:tc>
        <w:tc>
          <w:tcPr>
            <w:tcW w:type="dxa" w:w="6984"/>
            <w:vAlign w:val="center"/>
          </w:tcPr>
          <w:p>
            <w:r/>
            <w:r>
              <w:rPr>
                <w:rFonts w:ascii="Aptos" w:hAnsi="Aptos"/>
                <w:b w:val="0"/>
                <w:sz w:val="16"/>
              </w:rPr>
              <w:t>Install MetalLB, Gateway API CRDs and Istio; publish a private sample application through an Istio Gateway.</w:t>
            </w:r>
          </w:p>
        </w:tc>
      </w:tr>
      <w:tr>
        <w:trPr>
          <w:cantSplit/>
        </w:trPr>
        <w:tc>
          <w:tcPr>
            <w:tcW w:type="dxa" w:w="3096"/>
            <w:vAlign w:val="center"/>
          </w:tcPr>
          <w:p>
            <w:r/>
            <w:r>
              <w:rPr>
                <w:rFonts w:ascii="Aptos" w:hAnsi="Aptos"/>
                <w:b w:val="0"/>
                <w:sz w:val="16"/>
              </w:rPr>
              <w:t>Phase 6 — GitOps</w:t>
            </w:r>
          </w:p>
        </w:tc>
        <w:tc>
          <w:tcPr>
            <w:tcW w:type="dxa" w:w="6984"/>
            <w:vAlign w:val="center"/>
          </w:tcPr>
          <w:p>
            <w:r/>
            <w:r>
              <w:rPr>
                <w:rFonts w:ascii="Aptos" w:hAnsi="Aptos"/>
                <w:b w:val="0"/>
                <w:sz w:val="16"/>
              </w:rPr>
              <w:t>Install Argo CD; move platform configuration and sample applications to declarative repositories.</w:t>
            </w:r>
          </w:p>
        </w:tc>
      </w:tr>
      <w:tr>
        <w:trPr>
          <w:cantSplit/>
        </w:trPr>
        <w:tc>
          <w:tcPr>
            <w:tcW w:type="dxa" w:w="3096"/>
            <w:vAlign w:val="center"/>
          </w:tcPr>
          <w:p>
            <w:r/>
            <w:r>
              <w:rPr>
                <w:rFonts w:ascii="Aptos" w:hAnsi="Aptos"/>
                <w:b w:val="0"/>
                <w:sz w:val="16"/>
              </w:rPr>
              <w:t>Phase 7 — Security controls</w:t>
            </w:r>
          </w:p>
        </w:tc>
        <w:tc>
          <w:tcPr>
            <w:tcW w:type="dxa" w:w="6984"/>
            <w:vAlign w:val="center"/>
          </w:tcPr>
          <w:p>
            <w:r/>
            <w:r>
              <w:rPr>
                <w:rFonts w:ascii="Aptos" w:hAnsi="Aptos"/>
                <w:b w:val="0"/>
                <w:sz w:val="16"/>
              </w:rPr>
              <w:t>Add SOPS + age, Kyverno and Trivy; harden SSH and workload security contexts.</w:t>
            </w:r>
          </w:p>
        </w:tc>
      </w:tr>
      <w:tr>
        <w:trPr>
          <w:cantSplit/>
        </w:trPr>
        <w:tc>
          <w:tcPr>
            <w:tcW w:type="dxa" w:w="3096"/>
            <w:vAlign w:val="center"/>
          </w:tcPr>
          <w:p>
            <w:r/>
            <w:r>
              <w:rPr>
                <w:rFonts w:ascii="Aptos" w:hAnsi="Aptos"/>
                <w:b w:val="0"/>
                <w:sz w:val="16"/>
              </w:rPr>
              <w:t>Phase 8 — Observability</w:t>
            </w:r>
          </w:p>
        </w:tc>
        <w:tc>
          <w:tcPr>
            <w:tcW w:type="dxa" w:w="6984"/>
            <w:vAlign w:val="center"/>
          </w:tcPr>
          <w:p>
            <w:r/>
            <w:r>
              <w:rPr>
                <w:rFonts w:ascii="Aptos" w:hAnsi="Aptos"/>
                <w:b w:val="0"/>
                <w:sz w:val="16"/>
              </w:rPr>
              <w:t>Deploy Prometheus/Grafana/Loki/Tempo with small resource limits and short retention.</w:t>
            </w:r>
          </w:p>
        </w:tc>
      </w:tr>
      <w:tr>
        <w:trPr>
          <w:cantSplit/>
        </w:trPr>
        <w:tc>
          <w:tcPr>
            <w:tcW w:type="dxa" w:w="3096"/>
            <w:vAlign w:val="center"/>
          </w:tcPr>
          <w:p>
            <w:r/>
            <w:r>
              <w:rPr>
                <w:rFonts w:ascii="Aptos" w:hAnsi="Aptos"/>
                <w:b w:val="0"/>
                <w:sz w:val="16"/>
              </w:rPr>
              <w:t>Phase 9 — Automation</w:t>
            </w:r>
          </w:p>
        </w:tc>
        <w:tc>
          <w:tcPr>
            <w:tcW w:type="dxa" w:w="6984"/>
            <w:vAlign w:val="center"/>
          </w:tcPr>
          <w:p>
            <w:r/>
            <w:r>
              <w:rPr>
                <w:rFonts w:ascii="Aptos" w:hAnsi="Aptos"/>
                <w:b w:val="0"/>
                <w:sz w:val="16"/>
              </w:rPr>
              <w:t>Provision VM infrastructure with OpenTofu/Terraform-compatible tooling and configure hosts using Ansible.</w:t>
            </w:r>
          </w:p>
        </w:tc>
      </w:tr>
      <w:tr>
        <w:trPr>
          <w:cantSplit/>
        </w:trPr>
        <w:tc>
          <w:tcPr>
            <w:tcW w:type="dxa" w:w="3096"/>
            <w:vAlign w:val="center"/>
          </w:tcPr>
          <w:p>
            <w:r/>
            <w:r>
              <w:rPr>
                <w:rFonts w:ascii="Aptos" w:hAnsi="Aptos"/>
                <w:b w:val="0"/>
                <w:sz w:val="16"/>
              </w:rPr>
              <w:t>Phase 10 — Resilience exercises</w:t>
            </w:r>
          </w:p>
        </w:tc>
        <w:tc>
          <w:tcPr>
            <w:tcW w:type="dxa" w:w="6984"/>
            <w:vAlign w:val="center"/>
          </w:tcPr>
          <w:p>
            <w:r/>
            <w:r>
              <w:rPr>
                <w:rFonts w:ascii="Aptos" w:hAnsi="Aptos"/>
                <w:b w:val="0"/>
                <w:sz w:val="16"/>
              </w:rPr>
              <w:t>Backups, restore, failure injection, temporary multi-control-plane topology, traffic canary and mTLS exercises.</w:t>
            </w:r>
          </w:p>
        </w:tc>
      </w:tr>
    </w:tbl>
    <w:p>
      <w:pPr>
        <w:pStyle w:val="Heading1"/>
      </w:pPr>
      <w:r>
        <w:t>14. Key Architecture Decisions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vAlign w:val="center"/>
            <w:shd w:fill="17365D"/>
          </w:tcPr>
          <w:p>
            <w:r/>
            <w:r>
              <w:rPr>
                <w:rFonts w:ascii="Aptos" w:hAnsi="Aptos"/>
                <w:b/>
                <w:color w:val="FFFFFF"/>
                <w:sz w:val="17"/>
              </w:rPr>
              <w:t>Decision</w:t>
            </w:r>
          </w:p>
        </w:tc>
        <w:tc>
          <w:tcPr>
            <w:tcW w:type="dxa" w:w="6768"/>
            <w:vAlign w:val="center"/>
            <w:shd w:fill="17365D"/>
          </w:tcPr>
          <w:p>
            <w:r/>
            <w:r>
              <w:rPr>
                <w:rFonts w:ascii="Aptos" w:hAnsi="Aptos"/>
                <w:b/>
                <w:color w:val="FFFFFF"/>
                <w:sz w:val="17"/>
              </w:rPr>
              <w:t>Rationale</w:t>
            </w:r>
          </w:p>
        </w:tc>
      </w:tr>
      <w:tr>
        <w:trPr>
          <w:cantSplit/>
        </w:trPr>
        <w:tc>
          <w:tcPr>
            <w:tcW w:type="dxa" w:w="3312"/>
            <w:vAlign w:val="center"/>
          </w:tcPr>
          <w:p>
            <w:r/>
            <w:r>
              <w:rPr>
                <w:rFonts w:ascii="Aptos" w:hAnsi="Aptos"/>
                <w:b w:val="0"/>
                <w:sz w:val="16"/>
              </w:rPr>
              <w:t>Proxmox instead of desktop VMware</w:t>
            </w:r>
          </w:p>
        </w:tc>
        <w:tc>
          <w:tcPr>
            <w:tcW w:type="dxa" w:w="6768"/>
            <w:vAlign w:val="center"/>
          </w:tcPr>
          <w:p>
            <w:r/>
            <w:r>
              <w:rPr>
                <w:rFonts w:ascii="Aptos" w:hAnsi="Aptos"/>
                <w:b w:val="0"/>
                <w:sz w:val="16"/>
              </w:rPr>
              <w:t>Dedicated server role, efficient bare-metal virtualization, snapshots and realistic networking.</w:t>
            </w:r>
          </w:p>
        </w:tc>
      </w:tr>
      <w:tr>
        <w:trPr>
          <w:cantSplit/>
        </w:trPr>
        <w:tc>
          <w:tcPr>
            <w:tcW w:type="dxa" w:w="3312"/>
            <w:vAlign w:val="center"/>
          </w:tcPr>
          <w:p>
            <w:r/>
            <w:r>
              <w:rPr>
                <w:rFonts w:ascii="Aptos" w:hAnsi="Aptos"/>
                <w:b w:val="0"/>
                <w:sz w:val="16"/>
              </w:rPr>
              <w:t>kubeadm instead of Minikube/k3s</w:t>
            </w:r>
          </w:p>
        </w:tc>
        <w:tc>
          <w:tcPr>
            <w:tcW w:type="dxa" w:w="6768"/>
            <w:vAlign w:val="center"/>
          </w:tcPr>
          <w:p>
            <w:r/>
            <w:r>
              <w:rPr>
                <w:rFonts w:ascii="Aptos" w:hAnsi="Aptos"/>
                <w:b w:val="0"/>
                <w:sz w:val="16"/>
              </w:rPr>
              <w:t>Expose upstream Kubernetes bootstrap, certificates, etcd, kubelet and node lifecycle for learning.</w:t>
            </w:r>
          </w:p>
        </w:tc>
      </w:tr>
      <w:tr>
        <w:trPr>
          <w:cantSplit/>
        </w:trPr>
        <w:tc>
          <w:tcPr>
            <w:tcW w:type="dxa" w:w="3312"/>
            <w:vAlign w:val="center"/>
          </w:tcPr>
          <w:p>
            <w:r/>
            <w:r>
              <w:rPr>
                <w:rFonts w:ascii="Aptos" w:hAnsi="Aptos"/>
                <w:b w:val="0"/>
                <w:sz w:val="16"/>
              </w:rPr>
              <w:t>Cilium as CNI</w:t>
            </w:r>
          </w:p>
        </w:tc>
        <w:tc>
          <w:tcPr>
            <w:tcW w:type="dxa" w:w="6768"/>
            <w:vAlign w:val="center"/>
          </w:tcPr>
          <w:p>
            <w:r/>
            <w:r>
              <w:rPr>
                <w:rFonts w:ascii="Aptos" w:hAnsi="Aptos"/>
                <w:b w:val="0"/>
                <w:sz w:val="16"/>
              </w:rPr>
              <w:t>Modern eBPF networking, strong policy model and Hubble visibility.</w:t>
            </w:r>
          </w:p>
        </w:tc>
      </w:tr>
      <w:tr>
        <w:trPr>
          <w:cantSplit/>
        </w:trPr>
        <w:tc>
          <w:tcPr>
            <w:tcW w:type="dxa" w:w="3312"/>
            <w:vAlign w:val="center"/>
          </w:tcPr>
          <w:p>
            <w:r/>
            <w:r>
              <w:rPr>
                <w:rFonts w:ascii="Aptos" w:hAnsi="Aptos"/>
                <w:b w:val="0"/>
                <w:sz w:val="16"/>
              </w:rPr>
              <w:t>Istio + Gateway API instead of ingress-nginx</w:t>
            </w:r>
          </w:p>
        </w:tc>
        <w:tc>
          <w:tcPr>
            <w:tcW w:type="dxa" w:w="6768"/>
            <w:vAlign w:val="center"/>
          </w:tcPr>
          <w:p>
            <w:r/>
            <w:r>
              <w:rPr>
                <w:rFonts w:ascii="Aptos" w:hAnsi="Aptos"/>
                <w:b w:val="0"/>
                <w:sz w:val="16"/>
              </w:rPr>
              <w:t>Modern Gateway API-based north-south traffic plus service-mesh learning and mTLS.</w:t>
            </w:r>
          </w:p>
        </w:tc>
      </w:tr>
      <w:tr>
        <w:trPr>
          <w:cantSplit/>
        </w:trPr>
        <w:tc>
          <w:tcPr>
            <w:tcW w:type="dxa" w:w="3312"/>
            <w:vAlign w:val="center"/>
          </w:tcPr>
          <w:p>
            <w:r/>
            <w:r>
              <w:rPr>
                <w:rFonts w:ascii="Aptos" w:hAnsi="Aptos"/>
                <w:b w:val="0"/>
                <w:sz w:val="16"/>
              </w:rPr>
              <w:t>Tailscale gateway instead of WAN port forwarding</w:t>
            </w:r>
          </w:p>
        </w:tc>
        <w:tc>
          <w:tcPr>
            <w:tcW w:type="dxa" w:w="6768"/>
            <w:vAlign w:val="center"/>
          </w:tcPr>
          <w:p>
            <w:r/>
            <w:r>
              <w:rPr>
                <w:rFonts w:ascii="Aptos" w:hAnsi="Aptos"/>
                <w:b w:val="0"/>
                <w:sz w:val="16"/>
              </w:rPr>
              <w:t>Strong private access model without exposing management services publicly.</w:t>
            </w:r>
          </w:p>
        </w:tc>
      </w:tr>
      <w:tr>
        <w:trPr>
          <w:cantSplit/>
        </w:trPr>
        <w:tc>
          <w:tcPr>
            <w:tcW w:type="dxa" w:w="3312"/>
            <w:vAlign w:val="center"/>
          </w:tcPr>
          <w:p>
            <w:r/>
            <w:r>
              <w:rPr>
                <w:rFonts w:ascii="Aptos" w:hAnsi="Aptos"/>
                <w:b w:val="0"/>
                <w:sz w:val="16"/>
              </w:rPr>
              <w:t>GitOps with Argo CD</w:t>
            </w:r>
          </w:p>
        </w:tc>
        <w:tc>
          <w:tcPr>
            <w:tcW w:type="dxa" w:w="6768"/>
            <w:vAlign w:val="center"/>
          </w:tcPr>
          <w:p>
            <w:r/>
            <w:r>
              <w:rPr>
                <w:rFonts w:ascii="Aptos" w:hAnsi="Aptos"/>
                <w:b w:val="0"/>
                <w:sz w:val="16"/>
              </w:rPr>
              <w:t>Auditable desired state and repeatable recovery/deployment workflow.</w:t>
            </w:r>
          </w:p>
        </w:tc>
      </w:tr>
      <w:tr>
        <w:trPr>
          <w:cantSplit/>
        </w:trPr>
        <w:tc>
          <w:tcPr>
            <w:tcW w:type="dxa" w:w="3312"/>
            <w:vAlign w:val="center"/>
          </w:tcPr>
          <w:p>
            <w:r/>
            <w:r>
              <w:rPr>
                <w:rFonts w:ascii="Aptos" w:hAnsi="Aptos"/>
                <w:b w:val="0"/>
                <w:sz w:val="16"/>
              </w:rPr>
              <w:t>SOPS + age initially</w:t>
            </w:r>
          </w:p>
        </w:tc>
        <w:tc>
          <w:tcPr>
            <w:tcW w:type="dxa" w:w="6768"/>
            <w:vAlign w:val="center"/>
          </w:tcPr>
          <w:p>
            <w:r/>
            <w:r>
              <w:rPr>
                <w:rFonts w:ascii="Aptos" w:hAnsi="Aptos"/>
                <w:b w:val="0"/>
                <w:sz w:val="16"/>
              </w:rPr>
              <w:t>Low-complexity encrypted Git secrets; secret-manager systems can be added later as a separate learning module.</w:t>
            </w:r>
          </w:p>
        </w:tc>
      </w:tr>
    </w:tbl>
    <w:p>
      <w:pPr>
        <w:pStyle w:val="Heading1"/>
      </w:pPr>
      <w:r>
        <w:t>15. Definition of Done</w:t>
      </w:r>
    </w:p>
    <w:p>
      <w:pPr>
        <w:pStyle w:val="ListBullet"/>
        <w:spacing w:after="40"/>
      </w:pPr>
      <w:r>
        <w:t>Proxmox and Kubernetes management endpoints are unreachable directly from the public Internet.</w:t>
      </w:r>
    </w:p>
    <w:p>
      <w:pPr>
        <w:pStyle w:val="ListBullet"/>
        <w:spacing w:after="40"/>
      </w:pPr>
      <w:r>
        <w:t>Remote administration works through Tailscale and least-privilege access rules.</w:t>
      </w:r>
    </w:p>
    <w:p>
      <w:pPr>
        <w:pStyle w:val="ListBullet"/>
        <w:spacing w:after="40"/>
      </w:pPr>
      <w:r>
        <w:t>Three-node kubeadm cluster is healthy with Cilium networking.</w:t>
      </w:r>
    </w:p>
    <w:p>
      <w:pPr>
        <w:pStyle w:val="ListBullet"/>
        <w:spacing w:after="40"/>
      </w:pPr>
      <w:r>
        <w:t>Istio Gateway serves at least one application using Kubernetes Gateway API resources.</w:t>
      </w:r>
    </w:p>
    <w:p>
      <w:pPr>
        <w:pStyle w:val="ListBullet"/>
        <w:spacing w:after="40"/>
      </w:pPr>
      <w:r>
        <w:t>At least one namespace operates with default-deny NetworkPolicies.</w:t>
      </w:r>
    </w:p>
    <w:p>
      <w:pPr>
        <w:pStyle w:val="ListBullet"/>
        <w:spacing w:after="40"/>
      </w:pPr>
      <w:r>
        <w:t>Argo CD manages platform/application manifests from Git.</w:t>
      </w:r>
    </w:p>
    <w:p>
      <w:pPr>
        <w:pStyle w:val="ListBullet"/>
        <w:spacing w:after="40"/>
      </w:pPr>
      <w:r>
        <w:t>Secrets committed to Git are encrypted with SOPS + age.</w:t>
      </w:r>
    </w:p>
    <w:p>
      <w:pPr>
        <w:pStyle w:val="ListBullet"/>
        <w:spacing w:after="40"/>
      </w:pPr>
      <w:r>
        <w:t>CI builds and scans an application image before deployment.</w:t>
      </w:r>
    </w:p>
    <w:p>
      <w:pPr>
        <w:pStyle w:val="ListBullet"/>
        <w:spacing w:after="40"/>
      </w:pPr>
      <w:r>
        <w:t>Metrics, logs, traces and network flows are visible through the observability stack.</w:t>
      </w:r>
    </w:p>
    <w:p>
      <w:pPr>
        <w:pStyle w:val="ListBullet"/>
        <w:spacing w:after="40"/>
      </w:pPr>
      <w:r>
        <w:t>etcd restore and at least one VM restore procedure have been tested and documented.</w:t>
      </w:r>
    </w:p>
    <w:p>
      <w:pPr>
        <w:pStyle w:val="Heading1"/>
      </w:pPr>
      <w:r>
        <w:t>16. Risks and Limitations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17365D"/>
          </w:tcPr>
          <w:p>
            <w:r/>
            <w:r>
              <w:rPr>
                <w:rFonts w:ascii="Aptos" w:hAnsi="Aptos"/>
                <w:b/>
                <w:color w:val="FFFFFF"/>
                <w:sz w:val="17"/>
              </w:rPr>
              <w:t>Risk</w:t>
            </w:r>
          </w:p>
        </w:tc>
        <w:tc>
          <w:tcPr>
            <w:tcW w:type="dxa" w:w="7200"/>
            <w:vAlign w:val="center"/>
            <w:shd w:fill="17365D"/>
          </w:tcPr>
          <w:p>
            <w:r/>
            <w:r>
              <w:rPr>
                <w:rFonts w:ascii="Aptos" w:hAnsi="Aptos"/>
                <w:b/>
                <w:color w:val="FFFFFF"/>
                <w:sz w:val="17"/>
              </w:rPr>
              <w:t>Mitigation</w:t>
            </w:r>
          </w:p>
        </w:tc>
      </w:tr>
      <w:tr>
        <w:trPr>
          <w:cantSplit/>
        </w:trPr>
        <w:tc>
          <w:tcPr>
            <w:tcW w:type="dxa" w:w="2880"/>
            <w:vAlign w:val="center"/>
          </w:tcPr>
          <w:p>
            <w:r/>
            <w:r>
              <w:rPr>
                <w:rFonts w:ascii="Aptos" w:hAnsi="Aptos"/>
                <w:b w:val="0"/>
                <w:sz w:val="16"/>
              </w:rPr>
              <w:t>Single physical host</w:t>
            </w:r>
          </w:p>
        </w:tc>
        <w:tc>
          <w:tcPr>
            <w:tcW w:type="dxa" w:w="7200"/>
            <w:vAlign w:val="center"/>
          </w:tcPr>
          <w:p>
            <w:r/>
            <w:r>
              <w:rPr>
                <w:rFonts w:ascii="Aptos" w:hAnsi="Aptos"/>
                <w:b w:val="0"/>
                <w:sz w:val="16"/>
              </w:rPr>
              <w:t>Accept for learning; maintain backups and Git-based reconstruction.</w:t>
            </w:r>
          </w:p>
        </w:tc>
      </w:tr>
      <w:tr>
        <w:trPr>
          <w:cantSplit/>
        </w:trPr>
        <w:tc>
          <w:tcPr>
            <w:tcW w:type="dxa" w:w="2880"/>
            <w:vAlign w:val="center"/>
          </w:tcPr>
          <w:p>
            <w:r/>
            <w:r>
              <w:rPr>
                <w:rFonts w:ascii="Aptos" w:hAnsi="Aptos"/>
                <w:b w:val="0"/>
                <w:sz w:val="16"/>
              </w:rPr>
              <w:t>16 GB RAM ceiling</w:t>
            </w:r>
          </w:p>
        </w:tc>
        <w:tc>
          <w:tcPr>
            <w:tcW w:type="dxa" w:w="7200"/>
            <w:vAlign w:val="center"/>
          </w:tcPr>
          <w:p>
            <w:r/>
            <w:r>
              <w:rPr>
                <w:rFonts w:ascii="Aptos" w:hAnsi="Aptos"/>
                <w:b w:val="0"/>
                <w:sz w:val="16"/>
              </w:rPr>
              <w:t>Strict limits, short retention, shut down optional workloads, avoid permanent HA topology.</w:t>
            </w:r>
          </w:p>
        </w:tc>
      </w:tr>
      <w:tr>
        <w:trPr>
          <w:cantSplit/>
        </w:trPr>
        <w:tc>
          <w:tcPr>
            <w:tcW w:type="dxa" w:w="2880"/>
            <w:vAlign w:val="center"/>
          </w:tcPr>
          <w:p>
            <w:r/>
            <w:r>
              <w:rPr>
                <w:rFonts w:ascii="Aptos" w:hAnsi="Aptos"/>
                <w:b w:val="0"/>
                <w:sz w:val="16"/>
              </w:rPr>
              <w:t>Laptop thermal/battery behavior</w:t>
            </w:r>
          </w:p>
        </w:tc>
        <w:tc>
          <w:tcPr>
            <w:tcW w:type="dxa" w:w="7200"/>
            <w:vAlign w:val="center"/>
          </w:tcPr>
          <w:p>
            <w:r/>
            <w:r>
              <w:rPr>
                <w:rFonts w:ascii="Aptos" w:hAnsi="Aptos"/>
                <w:b w:val="0"/>
                <w:sz w:val="16"/>
              </w:rPr>
              <w:t>Use wired networking, adequate ventilation and sensible power settings; do not rely on battery for long-term UPS behavior.</w:t>
            </w:r>
          </w:p>
        </w:tc>
      </w:tr>
      <w:tr>
        <w:trPr>
          <w:cantSplit/>
        </w:trPr>
        <w:tc>
          <w:tcPr>
            <w:tcW w:type="dxa" w:w="2880"/>
            <w:vAlign w:val="center"/>
          </w:tcPr>
          <w:p>
            <w:r/>
            <w:r>
              <w:rPr>
                <w:rFonts w:ascii="Aptos" w:hAnsi="Aptos"/>
                <w:b w:val="0"/>
                <w:sz w:val="16"/>
              </w:rPr>
              <w:t>Home network overlap</w:t>
            </w:r>
          </w:p>
        </w:tc>
        <w:tc>
          <w:tcPr>
            <w:tcW w:type="dxa" w:w="7200"/>
            <w:vAlign w:val="center"/>
          </w:tcPr>
          <w:p>
            <w:r/>
            <w:r>
              <w:rPr>
                <w:rFonts w:ascii="Aptos" w:hAnsi="Aptos"/>
                <w:b w:val="0"/>
                <w:sz w:val="16"/>
              </w:rPr>
              <w:t>Validate all lab CIDRs before implementation.</w:t>
            </w:r>
          </w:p>
        </w:tc>
      </w:tr>
      <w:tr>
        <w:trPr>
          <w:cantSplit/>
        </w:trPr>
        <w:tc>
          <w:tcPr>
            <w:tcW w:type="dxa" w:w="2880"/>
            <w:vAlign w:val="center"/>
          </w:tcPr>
          <w:p>
            <w:r/>
            <w:r>
              <w:rPr>
                <w:rFonts w:ascii="Aptos" w:hAnsi="Aptos"/>
                <w:b w:val="0"/>
                <w:sz w:val="16"/>
              </w:rPr>
              <w:t>Over-complexity</w:t>
            </w:r>
          </w:p>
        </w:tc>
        <w:tc>
          <w:tcPr>
            <w:tcW w:type="dxa" w:w="7200"/>
            <w:vAlign w:val="center"/>
          </w:tcPr>
          <w:p>
            <w:r/>
            <w:r>
              <w:rPr>
                <w:rFonts w:ascii="Aptos" w:hAnsi="Aptos"/>
                <w:b w:val="0"/>
                <w:sz w:val="16"/>
              </w:rPr>
              <w:t>Implement one layer at a time and document every dependency before adding the next platform component.</w:t>
            </w:r>
          </w:p>
        </w:tc>
      </w:tr>
    </w:tbl>
    <w:p>
      <w:pPr>
        <w:spacing w:before="240"/>
        <w:jc w:val="center"/>
      </w:pPr>
      <w:r>
        <w:rPr>
          <w:i/>
          <w:color w:val="7F8C8D"/>
        </w:rPr>
        <w:t>End of architecture document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Production-like Kubernetes Homelab  •  Architecture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F8C8D"/>
        <w:sz w:val="16"/>
      </w:rPr>
      <w:t>LOCAL INFRASTRUCTURE  /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