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Leave policy</w:t>
      </w:r>
    </w:p>
    <w:p>
      <w:r>
        <w:t xml:space="preserve">This policy explains the leave you are entitled to.</w:t>
      </w:r>
    </w:p>
    <w:p>
      <w:pPr>
        <w:pStyle w:val="Heading2"/>
      </w:pPr>
      <w:r>
        <w:t xml:space="preserve">Annual leave</w:t>
      </w:r>
    </w:p>
    <w:p>
      <w:r>
        <w:t xml:space="preserve">Full-time staff receive 25 working days of annual leave per calendar year.</w:t>
      </w:r>
    </w:p>
    <w:p>
      <w:pPr>
        <w:pStyle w:val="Heading2"/>
      </w:pPr>
      <w:r>
        <w:t xml:space="preserve">Parental leave</w:t>
      </w:r>
    </w:p>
    <w:p>
      <w:r>
        <w:t xml:space="preserve">Parents receive 18 weeks of paid parental leave.</w:t>
      </w:r>
    </w:p>
    <w:tbl>
      <w:tr>
        <w:tc>
          <w:p>
            <w:r>
              <w:t>Type</w:t>
            </w:r>
          </w:p>
        </w:tc>
        <w:tc>
          <w:p>
            <w:r>
              <w:t>Weeks</w:t>
            </w:r>
          </w:p>
        </w:tc>
      </w:tr>
      <w:tr>
        <w:tc>
          <w:p>
            <w:r>
              <w:t>Primary carer</w:t>
            </w:r>
          </w:p>
        </w:tc>
        <w:tc>
          <w:p>
            <w:r>
              <w:t>18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