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KreateKaro</w:t>
      </w:r>
    </w:p>
    <w:p>
      <w:pPr>
        <w:pStyle w:val="Subtitle"/>
      </w:pPr>
      <w:r>
        <w:t>Pre Release Security Audit Report</w:t>
      </w:r>
    </w:p>
    <w:p>
      <w:r>
        <w:t>Remediation and release decision</w:t>
      </w:r>
    </w:p>
    <w:p>
      <w:r>
        <w:t>6 September 2026</w:t>
      </w:r>
    </w:p>
    <w:p>
      <w:r>
        <w:t>Prepared for founders and product stakeholders</w:t>
      </w:r>
    </w:p>
    <w:p>
      <w:r>
        <w:t>Authorized AI assisted application security assessment</w:t>
      </w:r>
    </w:p>
    <w:p>
      <w:pPr>
        <w:pStyle w:val="Heading1"/>
      </w:pPr>
      <w:r>
        <w:t>AMBER</w:t>
      </w:r>
    </w:p>
    <w:p>
      <w:r>
        <w:rPr>
          <w:b/>
        </w:rPr>
        <w:t>Local checks passed   Public release remains conditional</w:t>
      </w:r>
    </w:p>
    <w:p>
      <w:r>
        <w:t>The twelve original findings now have implementation fixes. Nine are verified within the local review scope; three need further release verification. No code finding remains without a fix, and the dependency scanner reports zero advisories.</w:t>
      </w:r>
    </w:p>
    <w:p>
      <w:r>
        <w:t>This assessment covers the security-audit branch. It does not certify the unchanged public deployment. The user selected local validation only; no production account, database or website was changed.</w:t>
      </w:r>
    </w:p>
    <w:p>
      <w:r>
        <w:t>Use this report to decide the next release steps. Reproducible technical evidence is in the accompanying Markdown report.</w:t>
      </w:r>
    </w:p>
    <w:p>
      <w:r>
        <w:br w:type="page"/>
      </w:r>
    </w:p>
    <w:p>
      <w:pPr>
        <w:pStyle w:val="Heading1"/>
      </w:pPr>
      <w:r>
        <w:t>1 Executive summary</w:t>
      </w:r>
    </w:p>
    <w:p>
      <w:r>
        <w:t>The original review found three serious weaknesses involving password protection, unsafe logos and Google account matching, alongside nine other findings. The branch now includes fixes for all twelve. Tests confirm important controls work locally, including project ownership, verification code limits and shared-browser cleanup.</w:t>
      </w:r>
    </w:p>
    <w:p>
      <w:r>
        <w:t>Public launch remains conditional because the real Google and email services, production password migration and target hosting settings have not been verified. These are release gates, not failed local tests.</w:t>
      </w:r>
    </w:p>
    <w:p>
      <w:pPr>
        <w:pStyle w:val="Heading1"/>
      </w:pPr>
      <w:r>
        <w:t>2 What was tested</w:t>
      </w:r>
    </w:p>
    <w:p>
      <w:pPr>
        <w:pStyle w:val="Heading2"/>
      </w:pPr>
      <w:r>
        <w:t>Audit 1 Account and access security</w:t>
      </w:r>
    </w:p>
    <w:p>
      <w:r>
        <w:t>Passwords, account registration, verification codes, sessions, Google account matching and ownership of cloud projects.</w:t>
      </w:r>
    </w:p>
    <w:p>
      <w:pPr>
        <w:pStyle w:val="Heading2"/>
      </w:pPr>
      <w:r>
        <w:t>Audit 2 Application and input security</w:t>
      </w:r>
    </w:p>
    <w:p>
      <w:r>
        <w:t>Logo previews, project and model validation, limits on saved designs, private browser storage and sign-out behavior.</w:t>
      </w:r>
    </w:p>
    <w:p>
      <w:pPr>
        <w:pStyle w:val="Heading2"/>
      </w:pPr>
      <w:r>
        <w:t>Audit 3 Configuration and dependencies</w:t>
      </w:r>
    </w:p>
    <w:p>
      <w:r>
        <w:t>Software package advisories, secure response headers, browser content policy, secret handling and reproducible package configuration.</w:t>
      </w:r>
    </w:p>
    <w:p>
      <w:pPr>
        <w:pStyle w:val="Heading1"/>
      </w:pPr>
      <w:r>
        <w:t>3 Overall result</w:t>
      </w:r>
    </w:p>
    <w:p>
      <w:r>
        <w:t>AMBER. All three local audit gates pass. All 31 automated tests, the API code check, the production build and the local Workers/database integration checks pass. A separate isolated browser test confirms the built editor works under its content policy and clears private draft state across two tabs at sign-out.</w:t>
      </w:r>
    </w:p>
    <w:p>
      <w:r>
        <w:rPr>
          <w:b/>
        </w:rPr>
        <w:t>Ready for unrestricted public release   NOT YET</w:t>
      </w:r>
    </w:p>
    <w:p>
      <w:r>
        <w:br w:type="page"/>
      </w:r>
    </w:p>
    <w:p>
      <w:pPr>
        <w:pStyle w:val="Heading1"/>
      </w:pPr>
      <w:r>
        <w:t>4 Security scorecard</w:t>
      </w:r>
    </w:p>
    <w:tbl>
      <w:tblPr>
        <w:tblW w:type="auto" w:w="0"/>
        <w:tblLayout w:type="fixed"/>
        <w:tblLook w:firstColumn="1" w:firstRow="1" w:lastColumn="0" w:lastRow="0" w:noHBand="0" w:noVBand="1" w:val="04A0"/>
      </w:tblPr>
      <w:tblGrid>
        <w:gridCol w:w="2376"/>
        <w:gridCol w:w="1512"/>
        <w:gridCol w:w="5717"/>
      </w:tblGrid>
      <w:tr>
        <w:trPr>
          <w:cantSplit/>
          <w:tblHeader/>
        </w:trPr>
        <w:tc>
          <w:tcPr>
            <w:tcW w:type="dxa" w:w="2376"/>
            <w:shd w:fill="E8EDF0"/>
          </w:tcPr>
          <w:p>
            <w:pPr>
              <w:spacing w:after="100"/>
            </w:pPr>
            <w:r>
              <w:rPr>
                <w:b/>
                <w:sz w:val="20"/>
              </w:rPr>
              <w:t>Area</w:t>
            </w:r>
          </w:p>
        </w:tc>
        <w:tc>
          <w:tcPr>
            <w:tcW w:type="dxa" w:w="1512"/>
            <w:shd w:fill="E8EDF0"/>
          </w:tcPr>
          <w:p>
            <w:pPr>
              <w:spacing w:after="100"/>
            </w:pPr>
            <w:r>
              <w:rPr>
                <w:b/>
                <w:sz w:val="20"/>
              </w:rPr>
              <w:t>Local result</w:t>
            </w:r>
          </w:p>
        </w:tc>
        <w:tc>
          <w:tcPr>
            <w:tcW w:type="dxa" w:w="5717"/>
            <w:shd w:fill="E8EDF0"/>
          </w:tcPr>
          <w:p>
            <w:pPr>
              <w:spacing w:after="100"/>
            </w:pPr>
            <w:r>
              <w:rPr>
                <w:b/>
                <w:sz w:val="20"/>
              </w:rPr>
              <w:t>Remaining release assurance</w:t>
            </w:r>
          </w:p>
        </w:tc>
      </w:tr>
      <w:tr>
        <w:trPr>
          <w:cantSplit/>
        </w:trPr>
        <w:tc>
          <w:tcPr>
            <w:tcW w:type="dxa" w:w="2376"/>
            <w:shd w:fill="FFFFFF"/>
          </w:tcPr>
          <w:p>
            <w:pPr>
              <w:spacing w:after="100"/>
            </w:pPr>
            <w:r>
              <w:rPr>
                <w:b w:val="0"/>
                <w:sz w:val="20"/>
              </w:rPr>
              <w:t>Account and access</w:t>
            </w:r>
          </w:p>
        </w:tc>
        <w:tc>
          <w:tcPr>
            <w:tcW w:type="dxa" w:w="1512"/>
            <w:shd w:fill="FFFFFF"/>
          </w:tcPr>
          <w:p>
            <w:pPr>
              <w:spacing w:after="100"/>
            </w:pPr>
            <w:r>
              <w:rPr>
                <w:b w:val="0"/>
                <w:sz w:val="20"/>
              </w:rPr>
              <w:t>PASS</w:t>
            </w:r>
          </w:p>
        </w:tc>
        <w:tc>
          <w:tcPr>
            <w:tcW w:type="dxa" w:w="5717"/>
            <w:shd w:fill="FFFFFF"/>
          </w:tcPr>
          <w:p>
            <w:pPr>
              <w:spacing w:after="100"/>
            </w:pPr>
            <w:r>
              <w:rPr>
                <w:b w:val="0"/>
                <w:sz w:val="20"/>
              </w:rPr>
              <w:t>Real providers, password backfill, old linked accounts and hosting CPU allowance.</w:t>
            </w:r>
          </w:p>
        </w:tc>
      </w:tr>
      <w:tr>
        <w:trPr>
          <w:cantSplit/>
        </w:trPr>
        <w:tc>
          <w:tcPr>
            <w:tcW w:type="dxa" w:w="2376"/>
            <w:shd w:fill="FFFFFF"/>
          </w:tcPr>
          <w:p>
            <w:pPr>
              <w:spacing w:after="100"/>
            </w:pPr>
            <w:r>
              <w:rPr>
                <w:b w:val="0"/>
                <w:sz w:val="20"/>
              </w:rPr>
              <w:t>Application and input</w:t>
            </w:r>
          </w:p>
        </w:tc>
        <w:tc>
          <w:tcPr>
            <w:tcW w:type="dxa" w:w="1512"/>
            <w:shd w:fill="FFFFFF"/>
          </w:tcPr>
          <w:p>
            <w:pPr>
              <w:spacing w:after="100"/>
            </w:pPr>
            <w:r>
              <w:rPr>
                <w:b w:val="0"/>
                <w:sz w:val="20"/>
              </w:rPr>
              <w:t>PASS</w:t>
            </w:r>
          </w:p>
        </w:tc>
        <w:tc>
          <w:tcPr>
            <w:tcW w:type="dxa" w:w="5717"/>
            <w:shd w:fill="FFFFFF"/>
          </w:tcPr>
          <w:p>
            <w:pPr>
              <w:spacing w:after="100"/>
            </w:pPr>
            <w:r>
              <w:rPr>
                <w:b w:val="0"/>
                <w:sz w:val="20"/>
              </w:rPr>
              <w:t>Representative imports/exports and supported-browser release checks.</w:t>
            </w:r>
          </w:p>
        </w:tc>
      </w:tr>
      <w:tr>
        <w:trPr>
          <w:cantSplit/>
        </w:trPr>
        <w:tc>
          <w:tcPr>
            <w:tcW w:type="dxa" w:w="2376"/>
            <w:shd w:fill="FFFFFF"/>
          </w:tcPr>
          <w:p>
            <w:pPr>
              <w:spacing w:after="100"/>
            </w:pPr>
            <w:r>
              <w:rPr>
                <w:b w:val="0"/>
                <w:sz w:val="20"/>
              </w:rPr>
              <w:t>Configuration and dependencies</w:t>
            </w:r>
          </w:p>
        </w:tc>
        <w:tc>
          <w:tcPr>
            <w:tcW w:type="dxa" w:w="1512"/>
            <w:shd w:fill="FFFFFF"/>
          </w:tcPr>
          <w:p>
            <w:pPr>
              <w:spacing w:after="100"/>
            </w:pPr>
            <w:r>
              <w:rPr>
                <w:b w:val="0"/>
                <w:sz w:val="20"/>
              </w:rPr>
              <w:t>PASS</w:t>
            </w:r>
          </w:p>
        </w:tc>
        <w:tc>
          <w:tcPr>
            <w:tcW w:type="dxa" w:w="5717"/>
            <w:shd w:fill="FFFFFF"/>
          </w:tcPr>
          <w:p>
            <w:pPr>
              <w:spacing w:after="100"/>
            </w:pPr>
            <w:r>
              <w:rPr>
                <w:b w:val="0"/>
                <w:sz w:val="20"/>
              </w:rPr>
              <w:t>Apply secrets/migration and verify actual deployment headers.</w:t>
            </w:r>
          </w:p>
        </w:tc>
      </w:tr>
    </w:tbl>
    <w:p/>
    <w:tbl>
      <w:tblPr>
        <w:tblW w:type="auto" w:w="0"/>
        <w:tblLayout w:type="fixed"/>
        <w:tblLook w:firstColumn="1" w:firstRow="1" w:lastColumn="0" w:lastRow="0" w:noHBand="0" w:noVBand="1" w:val="04A0"/>
      </w:tblPr>
      <w:tblGrid>
        <w:gridCol w:w="2376"/>
        <w:gridCol w:w="2376"/>
        <w:gridCol w:w="2376"/>
        <w:gridCol w:w="2477"/>
      </w:tblGrid>
      <w:tr>
        <w:trPr>
          <w:cantSplit/>
          <w:tblHeader/>
        </w:trPr>
        <w:tc>
          <w:tcPr>
            <w:tcW w:type="dxa" w:w="2376"/>
            <w:shd w:fill="E8EDF0"/>
          </w:tcPr>
          <w:p>
            <w:pPr>
              <w:spacing w:after="100"/>
            </w:pPr>
            <w:r>
              <w:rPr>
                <w:b/>
                <w:sz w:val="20"/>
              </w:rPr>
              <w:t>Critical</w:t>
            </w:r>
          </w:p>
        </w:tc>
        <w:tc>
          <w:tcPr>
            <w:tcW w:type="dxa" w:w="2376"/>
            <w:shd w:fill="E8EDF0"/>
          </w:tcPr>
          <w:p>
            <w:pPr>
              <w:spacing w:after="100"/>
            </w:pPr>
            <w:r>
              <w:rPr>
                <w:b/>
                <w:sz w:val="20"/>
              </w:rPr>
              <w:t>High</w:t>
            </w:r>
          </w:p>
        </w:tc>
        <w:tc>
          <w:tcPr>
            <w:tcW w:type="dxa" w:w="2376"/>
            <w:shd w:fill="E8EDF0"/>
          </w:tcPr>
          <w:p>
            <w:pPr>
              <w:spacing w:after="100"/>
            </w:pPr>
            <w:r>
              <w:rPr>
                <w:b/>
                <w:sz w:val="20"/>
              </w:rPr>
              <w:t>Medium</w:t>
            </w:r>
          </w:p>
        </w:tc>
        <w:tc>
          <w:tcPr>
            <w:tcW w:type="dxa" w:w="2477"/>
            <w:shd w:fill="E8EDF0"/>
          </w:tcPr>
          <w:p>
            <w:pPr>
              <w:spacing w:after="100"/>
            </w:pPr>
            <w:r>
              <w:rPr>
                <w:b/>
                <w:sz w:val="20"/>
              </w:rPr>
              <w:t>Low</w:t>
            </w:r>
          </w:p>
        </w:tc>
      </w:tr>
      <w:tr>
        <w:trPr>
          <w:cantSplit/>
        </w:trPr>
        <w:tc>
          <w:tcPr>
            <w:tcW w:type="dxa" w:w="2376"/>
            <w:shd w:fill="FFFFFF"/>
          </w:tcPr>
          <w:p>
            <w:pPr>
              <w:spacing w:after="100"/>
            </w:pPr>
            <w:r>
              <w:rPr>
                <w:b w:val="0"/>
                <w:sz w:val="20"/>
              </w:rPr>
              <w:t>0</w:t>
            </w:r>
          </w:p>
        </w:tc>
        <w:tc>
          <w:tcPr>
            <w:tcW w:type="dxa" w:w="2376"/>
            <w:shd w:fill="FFFFFF"/>
          </w:tcPr>
          <w:p>
            <w:pPr>
              <w:spacing w:after="100"/>
            </w:pPr>
            <w:r>
              <w:rPr>
                <w:b w:val="0"/>
                <w:sz w:val="20"/>
              </w:rPr>
              <w:t>3</w:t>
            </w:r>
          </w:p>
        </w:tc>
        <w:tc>
          <w:tcPr>
            <w:tcW w:type="dxa" w:w="2376"/>
            <w:shd w:fill="FFFFFF"/>
          </w:tcPr>
          <w:p>
            <w:pPr>
              <w:spacing w:after="100"/>
            </w:pPr>
            <w:r>
              <w:rPr>
                <w:b w:val="0"/>
                <w:sz w:val="20"/>
              </w:rPr>
              <w:t>6</w:t>
            </w:r>
          </w:p>
        </w:tc>
        <w:tc>
          <w:tcPr>
            <w:tcW w:type="dxa" w:w="2477"/>
            <w:shd w:fill="FFFFFF"/>
          </w:tcPr>
          <w:p>
            <w:pPr>
              <w:spacing w:after="100"/>
            </w:pPr>
            <w:r>
              <w:rPr>
                <w:b w:val="0"/>
                <w:sz w:val="20"/>
              </w:rPr>
              <w:t>3</w:t>
            </w:r>
          </w:p>
        </w:tc>
      </w:tr>
    </w:tbl>
    <w:p/>
    <w:p>
      <w:r>
        <w:t>Counts retain the original finding severities. Nine findings are fixed and verified locally, three are fixed but waiting for manual confirmation, and zero remain without an implementation fix. The three pending findings are still unclosed for release. The separate dependency scan has zero advisories.</w:t>
      </w:r>
    </w:p>
    <w:p>
      <w:pPr>
        <w:pStyle w:val="Heading1"/>
      </w:pPr>
      <w:r>
        <w:t>5 Findings summary</w:t>
      </w:r>
    </w:p>
    <w:p>
      <w:pPr>
        <w:pStyle w:val="Heading2"/>
      </w:pPr>
      <w:r>
        <w:t>KK 01 Password protection</w:t>
      </w:r>
    </w:p>
    <w:p>
      <w:r>
        <w:rPr>
          <w:b/>
        </w:rPr>
        <w:t>HIGH | WAITING FOR CONFIRMATION</w:t>
      </w:r>
    </w:p>
    <w:p>
      <w:r>
        <w:t>Passwords now use salted, deliberately expensive hashing. Local runtime and migration tests pass. Confirm the hosting CPU allowance and strengthen all old database records before release.</w:t>
      </w:r>
    </w:p>
    <w:p>
      <w:pPr>
        <w:pStyle w:val="Heading2"/>
      </w:pPr>
      <w:r>
        <w:t>KK 02 Malicious logos</w:t>
      </w:r>
    </w:p>
    <w:p>
      <w:r>
        <w:rPr>
          <w:b/>
        </w:rPr>
        <w:t>HIGH | VERIFIED LOCALLY</w:t>
      </w:r>
    </w:p>
    <w:p>
      <w:r>
        <w:t>Logo previews now treat SVG content as an image. The regression test confirms the old executable preview behavior is removed. Complete representative upload checks during release validation.</w:t>
      </w:r>
    </w:p>
    <w:p>
      <w:pPr>
        <w:pStyle w:val="Heading2"/>
      </w:pPr>
      <w:r>
        <w:t>KK 03 Google account matching</w:t>
      </w:r>
    </w:p>
    <w:p>
      <w:r>
        <w:rPr>
          <w:b/>
        </w:rPr>
        <w:t>HIGH | WAITING FOR CONFIRMATION</w:t>
      </w:r>
    </w:p>
    <w:p>
      <w:r>
        <w:t>Google accounts no longer silently merge with password accounts. Unsafe identities and collisions are rejected. Real Google testing and review of historically linked accounts remain required.</w:t>
      </w:r>
    </w:p>
    <w:p>
      <w:pPr>
        <w:pStyle w:val="Heading2"/>
      </w:pPr>
      <w:r>
        <w:t>KK 04 Google login request checks</w:t>
      </w:r>
    </w:p>
    <w:p>
      <w:r>
        <w:rPr>
          <w:b/>
        </w:rPr>
        <w:t>MEDIUM | WAITING FOR CONFIRMATION</w:t>
      </w:r>
    </w:p>
    <w:p>
      <w:r>
        <w:t>Login requests are bound to the initiating browser and can be used only once. Local provider mocks pass; confirm the actual HTTPS provider and cookie lifecycle.</w:t>
      </w:r>
    </w:p>
    <w:p>
      <w:r>
        <w:br w:type="page"/>
      </w:r>
    </w:p>
    <w:p>
      <w:pPr>
        <w:pStyle w:val="Heading1"/>
      </w:pPr>
      <w:r>
        <w:t>Findings summary continued</w:t>
      </w:r>
    </w:p>
    <w:p>
      <w:pPr>
        <w:pStyle w:val="Heading2"/>
      </w:pPr>
      <w:r>
        <w:t>KK 05 Expiration</w:t>
      </w:r>
    </w:p>
    <w:p>
      <w:r>
        <w:rPr>
          <w:b/>
        </w:rPr>
        <w:t>MEDIUM | VERIFIED LOCALLY</w:t>
      </w:r>
    </w:p>
    <w:p>
      <w:r>
        <w:t>Expired sessions and codes are rejected. Verification consumes the code transactionally, and sign-out revokes the server session.</w:t>
      </w:r>
    </w:p>
    <w:p>
      <w:pPr>
        <w:pStyle w:val="Heading2"/>
      </w:pPr>
      <w:r>
        <w:t>KK 06 Repeated account attempts</w:t>
      </w:r>
    </w:p>
    <w:p>
      <w:r>
        <w:rPr>
          <w:b/>
        </w:rPr>
        <w:t>MEDIUM | VERIFIED LOCALLY</w:t>
      </w:r>
    </w:p>
    <w:p>
      <w:r>
        <w:t>Shared request limits, strong code generation, protected code storage and single-use verification reduce guessing and email abuse. Approved sender and real delivery still need release checks.</w:t>
      </w:r>
    </w:p>
    <w:p>
      <w:pPr>
        <w:pStyle w:val="Heading2"/>
      </w:pPr>
      <w:r>
        <w:t>KK 07 Project and file limits</w:t>
      </w:r>
    </w:p>
    <w:p>
      <w:r>
        <w:rPr>
          <w:b/>
        </w:rPr>
        <w:t>MEDIUM | VERIFIED LOCALLY</w:t>
      </w:r>
    </w:p>
    <w:p>
      <w:r>
        <w:t>The app rejects oversized or malformed project data and unsafe custom model fixtures. Concurrent saves cannot exceed the ten-project limit. Supported custom formats now have explicit restrictions.</w:t>
      </w:r>
    </w:p>
    <w:p>
      <w:pPr>
        <w:pStyle w:val="Heading2"/>
      </w:pPr>
      <w:r>
        <w:t>KK 08 Shared browser privacy</w:t>
      </w:r>
    </w:p>
    <w:p>
      <w:r>
        <w:rPr>
          <w:b/>
        </w:rPr>
        <w:t>MEDIUM | VERIFIED LOCALLY</w:t>
      </w:r>
    </w:p>
    <w:p>
      <w:r>
        <w:t>Sign-out and account changes clear private browser state. Both the storage regressions and a two-tab built-editor test pass. Export important old drafts before rollout.</w:t>
      </w:r>
    </w:p>
    <w:p>
      <w:pPr>
        <w:pStyle w:val="Heading2"/>
      </w:pPr>
      <w:r>
        <w:t>KK 09 Software packages</w:t>
      </w:r>
    </w:p>
    <w:p>
      <w:r>
        <w:rPr>
          <w:b/>
        </w:rPr>
        <w:t>MEDIUM | VERIFIED LOCALLY</w:t>
      </w:r>
    </w:p>
    <w:p>
      <w:r>
        <w:t>Unused packages were removed, versions pinned and vulnerable packages updated. The final advisory scan reports zero alerts; tests and the build pass.</w:t>
      </w:r>
    </w:p>
    <w:p>
      <w:pPr>
        <w:pStyle w:val="Heading2"/>
      </w:pPr>
      <w:r>
        <w:t>KK 10 Private response caching</w:t>
      </w:r>
    </w:p>
    <w:p>
      <w:r>
        <w:rPr>
          <w:b/>
        </w:rPr>
        <w:t>LOW | VERIFIED LOCALLY</w:t>
      </w:r>
    </w:p>
    <w:p>
      <w:r>
        <w:t>Account and project responses explicitly prohibit caching. Actual local middleware tests confirm this behavior.</w:t>
      </w:r>
    </w:p>
    <w:p>
      <w:pPr>
        <w:pStyle w:val="Heading2"/>
      </w:pPr>
      <w:r>
        <w:t>KK 11 Browser protections</w:t>
      </w:r>
    </w:p>
    <w:p>
      <w:r>
        <w:rPr>
          <w:b/>
        </w:rPr>
        <w:t>LOW | VERIFIED LOCALLY</w:t>
      </w:r>
    </w:p>
    <w:p>
      <w:r>
        <w:t>Content, framing, transport and permission protections are configured. The built editor passes the local content-policy smoke test. Actual deployment headers remain a release check.</w:t>
      </w:r>
    </w:p>
    <w:p>
      <w:pPr>
        <w:pStyle w:val="Heading2"/>
      </w:pPr>
      <w:r>
        <w:t>KK 12 Account membership privacy</w:t>
      </w:r>
    </w:p>
    <w:p>
      <w:r>
        <w:rPr>
          <w:b/>
        </w:rPr>
        <w:t>LOW | VERIFIED LOCALLY</w:t>
      </w:r>
    </w:p>
    <w:p>
      <w:r>
        <w:t>Registration returns the same acknowledgement for known and unknown emails. Shared limits reduce repeated probing. No real customer addresses were tested.</w:t>
      </w:r>
    </w:p>
    <w:p>
      <w:r>
        <w:br w:type="page"/>
      </w:r>
    </w:p>
    <w:p>
      <w:pPr>
        <w:pStyle w:val="Heading1"/>
      </w:pPr>
      <w:r>
        <w:t>6 Fixes completed</w:t>
      </w:r>
    </w:p>
    <w:tbl>
      <w:tblPr>
        <w:tblW w:type="auto" w:w="0"/>
        <w:tblLayout w:type="fixed"/>
        <w:tblLook w:firstColumn="1" w:firstRow="1" w:lastColumn="0" w:lastRow="0" w:noHBand="0" w:noVBand="1" w:val="04A0"/>
      </w:tblPr>
      <w:tblGrid>
        <w:gridCol w:w="3312"/>
        <w:gridCol w:w="6293"/>
      </w:tblGrid>
      <w:tr>
        <w:trPr>
          <w:cantSplit/>
          <w:tblHeader/>
        </w:trPr>
        <w:tc>
          <w:tcPr>
            <w:tcW w:type="dxa" w:w="3312"/>
            <w:shd w:fill="E8EDF0"/>
          </w:tcPr>
          <w:p>
            <w:pPr>
              <w:spacing w:after="100"/>
            </w:pPr>
            <w:r>
              <w:rPr>
                <w:b/>
                <w:sz w:val="20"/>
              </w:rPr>
              <w:t>State</w:t>
            </w:r>
          </w:p>
        </w:tc>
        <w:tc>
          <w:tcPr>
            <w:tcW w:type="dxa" w:w="6293"/>
            <w:shd w:fill="E8EDF0"/>
          </w:tcPr>
          <w:p>
            <w:pPr>
              <w:spacing w:after="100"/>
            </w:pPr>
            <w:r>
              <w:rPr>
                <w:b/>
                <w:sz w:val="20"/>
              </w:rPr>
              <w:t>Findings</w:t>
            </w:r>
          </w:p>
        </w:tc>
      </w:tr>
      <w:tr>
        <w:trPr>
          <w:cantSplit/>
        </w:trPr>
        <w:tc>
          <w:tcPr>
            <w:tcW w:type="dxa" w:w="3312"/>
            <w:shd w:fill="FFFFFF"/>
          </w:tcPr>
          <w:p>
            <w:pPr>
              <w:spacing w:after="100"/>
            </w:pPr>
            <w:r>
              <w:rPr>
                <w:b w:val="0"/>
                <w:sz w:val="20"/>
              </w:rPr>
              <w:t>Fixed and verified locally</w:t>
            </w:r>
          </w:p>
        </w:tc>
        <w:tc>
          <w:tcPr>
            <w:tcW w:type="dxa" w:w="6293"/>
            <w:shd w:fill="FFFFFF"/>
          </w:tcPr>
          <w:p>
            <w:pPr>
              <w:spacing w:after="100"/>
            </w:pPr>
            <w:r>
              <w:rPr>
                <w:b w:val="0"/>
                <w:sz w:val="20"/>
              </w:rPr>
              <w:t>9: KK 02, KK 05, KK 06, KK 07, KK 08, KK 09, KK 10, KK 11, KK 12</w:t>
            </w:r>
          </w:p>
        </w:tc>
      </w:tr>
      <w:tr>
        <w:trPr>
          <w:cantSplit/>
        </w:trPr>
        <w:tc>
          <w:tcPr>
            <w:tcW w:type="dxa" w:w="3312"/>
            <w:shd w:fill="FFFFFF"/>
          </w:tcPr>
          <w:p>
            <w:pPr>
              <w:spacing w:after="100"/>
            </w:pPr>
            <w:r>
              <w:rPr>
                <w:b w:val="0"/>
                <w:sz w:val="20"/>
              </w:rPr>
              <w:t>Fixed but waiting for confirmation</w:t>
            </w:r>
          </w:p>
        </w:tc>
        <w:tc>
          <w:tcPr>
            <w:tcW w:type="dxa" w:w="6293"/>
            <w:shd w:fill="FFFFFF"/>
          </w:tcPr>
          <w:p>
            <w:pPr>
              <w:spacing w:after="100"/>
            </w:pPr>
            <w:r>
              <w:rPr>
                <w:b w:val="0"/>
                <w:sz w:val="20"/>
              </w:rPr>
              <w:t>3: KK 01, KK 03, KK 04</w:t>
            </w:r>
          </w:p>
        </w:tc>
      </w:tr>
      <w:tr>
        <w:trPr>
          <w:cantSplit/>
        </w:trPr>
        <w:tc>
          <w:tcPr>
            <w:tcW w:type="dxa" w:w="3312"/>
            <w:shd w:fill="FFFFFF"/>
          </w:tcPr>
          <w:p>
            <w:pPr>
              <w:spacing w:after="100"/>
            </w:pPr>
            <w:r>
              <w:rPr>
                <w:b w:val="0"/>
                <w:sz w:val="20"/>
              </w:rPr>
              <w:t>Still open without a fix</w:t>
            </w:r>
          </w:p>
        </w:tc>
        <w:tc>
          <w:tcPr>
            <w:tcW w:type="dxa" w:w="6293"/>
            <w:shd w:fill="FFFFFF"/>
          </w:tcPr>
          <w:p>
            <w:pPr>
              <w:spacing w:after="100"/>
            </w:pPr>
            <w:r>
              <w:rPr>
                <w:b w:val="0"/>
                <w:sz w:val="20"/>
              </w:rPr>
              <w:t>0</w:t>
            </w:r>
          </w:p>
        </w:tc>
      </w:tr>
      <w:tr>
        <w:trPr>
          <w:cantSplit/>
        </w:trPr>
        <w:tc>
          <w:tcPr>
            <w:tcW w:type="dxa" w:w="3312"/>
            <w:shd w:fill="FFFFFF"/>
          </w:tcPr>
          <w:p>
            <w:pPr>
              <w:spacing w:after="100"/>
            </w:pPr>
            <w:r>
              <w:rPr>
                <w:b w:val="0"/>
                <w:sz w:val="20"/>
              </w:rPr>
              <w:t>Accepted or deferred findings</w:t>
            </w:r>
          </w:p>
        </w:tc>
        <w:tc>
          <w:tcPr>
            <w:tcW w:type="dxa" w:w="6293"/>
            <w:shd w:fill="FFFFFF"/>
          </w:tcPr>
          <w:p>
            <w:pPr>
              <w:spacing w:after="100"/>
            </w:pPr>
            <w:r>
              <w:rPr>
                <w:b w:val="0"/>
                <w:sz w:val="20"/>
              </w:rPr>
              <w:t>0; future review topics are separate.</w:t>
            </w:r>
          </w:p>
        </w:tc>
      </w:tr>
    </w:tbl>
    <w:p/>
    <w:p>
      <w:r>
        <w:t>The fixes are isolated on security-audit. No change was merged into main or deployed by this remediation. Local database tests use synthetic accounts and isolated data. Configuration secrets are excluded from the report.</w:t>
      </w:r>
    </w:p>
    <w:p>
      <w:pPr>
        <w:pStyle w:val="Heading1"/>
      </w:pPr>
      <w:r>
        <w:t>7 Release blockers</w:t>
      </w:r>
    </w:p>
    <w:p>
      <w:r>
        <w:rPr>
          <w:b/>
        </w:rPr>
        <w:t>Must anything be resolved before public release? YES.</w:t>
      </w:r>
    </w:p>
    <w:p>
      <w:pPr>
        <w:pStyle w:val="ListBullet"/>
      </w:pPr>
      <w:r>
        <w:t>Apply the database migration, configure required secrets and approved email sender, strengthen dormant password records, review old Google-linked accounts and revoke affected sessions. Confirm hosting capacity for password hashing.</w:t>
      </w:r>
    </w:p>
    <w:p>
      <w:pPr>
        <w:pStyle w:val="ListBullet"/>
      </w:pPr>
      <w:r>
        <w:t>Complete real Google and email lifecycle checks on HTTPS staging, including new and returning users, account collisions, cancellation, delivery failures and expired codes.</w:t>
      </w:r>
    </w:p>
    <w:p>
      <w:pPr>
        <w:pStyle w:val="ListBullet"/>
      </w:pPr>
      <w:r>
        <w:t>Deploy the reviewed client and API together, then verify real headers, two-account cloud operations, sign-out cleanup and representative imports/exports on supported browsers.</w:t>
      </w:r>
    </w:p>
    <w:p>
      <w:r>
        <w:br w:type="page"/>
      </w:r>
    </w:p>
    <w:p>
      <w:pPr>
        <w:pStyle w:val="Heading1"/>
      </w:pPr>
      <w:r>
        <w:t>8 What this audit does not guarantee</w:t>
      </w:r>
    </w:p>
    <w:p>
      <w:r>
        <w:t>A security audit reduces risk but cannot prove that software contains zero vulnerabilities. This was a focused first review, not complete certification. Passing local tests does not certify the existing public deployment.</w:t>
      </w:r>
    </w:p>
    <w:p>
      <w:r>
        <w:t>Real provider behavior, production database changes, infrastructure permissions, traffic capacity, complete model-format compatibility, recovery and incident response were not tested. No password-reset feature is included. Mocked browser accounts do not reproduce provider authentication.</w:t>
      </w:r>
    </w:p>
    <w:p>
      <w:pPr>
        <w:pStyle w:val="Heading1"/>
      </w:pPr>
      <w:r>
        <w:t>9 Recommended next security review</w:t>
      </w:r>
    </w:p>
    <w:p>
      <w:r>
        <w:t>After the release gates pass, review monitoring, incident response, backups and recovery, cloud and build permissions, privacy requirements, service-overload resilience and deeper file-format/business-logic testing. Repeat the review when project sharing, payments or server-side file conversion are introduced.</w:t>
      </w:r>
    </w:p>
    <w:p>
      <w:pPr>
        <w:pStyle w:val="Heading1"/>
      </w:pPr>
      <w:r>
        <w:t>10 Final conclusion</w:t>
      </w:r>
    </w:p>
    <w:p>
      <w:r>
        <w:t>The local security posture has improved substantially: all original findings have code fixes and all measured local gates pass. The remaining major uncertainty is whether the fixes and account migrations work correctly with the real deployment and providers.</w:t>
      </w:r>
    </w:p>
    <w:p>
      <w:r>
        <w:t>Proceed with controlled release validation. Approve a GREEN public launch only after the documented release gates have evidence. Until then the recommendation remains AMBER.</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KreateKaro  |  Security remediation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KreateKaro Pre Release Security Audit Report</dc:title>
  <dc:subject/>
  <dc:creator>Authorized AI assisted security assessment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