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360"/>
        <w:jc w:val="center"/>
      </w:pPr>
      <w:r>
        <w:rPr>
          <w:rFonts w:ascii="Arial" w:hAnsi="Arial"/>
          <w:b/>
          <w:color w:val="0B1D3A"/>
          <w:sz w:val="40"/>
        </w:rPr>
        <w:t>OptiFlow Production Architecture &amp; On-Premise Strategy</w:t>
      </w:r>
    </w:p>
    <w:p>
      <w:pPr>
        <w:spacing w:after="120"/>
      </w:pPr>
      <w:r>
        <w:t>This document outlines the recommended production-grade technology stack for OptiFlow, specifically designed for seamless switching between Cloud and On-Premise deployments.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60"/>
      </w:pPr>
      <w:r>
        <w:rPr>
          <w:rFonts w:ascii="Arial" w:hAnsi="Arial"/>
          <w:b/>
          <w:color w:val="053364"/>
          <w:sz w:val="28"/>
        </w:rPr>
        <w:t>Recommended Full-Stack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0B1D3A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3168"/>
            <w:shd w:val="clear" w:color="auto" w:fill="0B1D3A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600"/>
            <w:shd w:val="clear" w:color="auto" w:fill="0B1D3A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592"/>
          </w:tcPr>
          <w:p>
            <w:pPr>
              <w:spacing w:before="80" w:after="80"/>
            </w:pPr>
            <w:r/>
            <w:r>
              <w:rPr>
                <w:b/>
              </w:rPr>
              <w:t>Frontend UI</w:t>
            </w:r>
            <w:r/>
          </w:p>
        </w:tc>
        <w:tc>
          <w:tcPr>
            <w:tcW w:type="dxa" w:w="3168"/>
          </w:tcPr>
          <w:p>
            <w:pPr>
              <w:spacing w:before="80" w:after="80"/>
            </w:pPr>
            <w:r/>
            <w:r>
              <w:rPr>
                <w:b/>
              </w:rPr>
              <w:t>React (Vite) + TailwindCSS</w:t>
            </w:r>
            <w:r/>
          </w:p>
        </w:tc>
        <w:tc>
          <w:tcPr>
            <w:tcW w:type="dxa" w:w="3600"/>
          </w:tcPr>
          <w:p>
            <w:pPr>
              <w:spacing w:before="80" w:after="80"/>
            </w:pPr>
            <w:r>
              <w:t>High-performance dashboard, fast rendering for large tables, responsive UI.</w:t>
            </w:r>
          </w:p>
        </w:tc>
      </w:tr>
      <w:tr>
        <w:tc>
          <w:tcPr>
            <w:tcW w:type="dxa" w:w="2592"/>
          </w:tcPr>
          <w:p>
            <w:pPr>
              <w:spacing w:before="80" w:after="80"/>
            </w:pPr>
            <w:r/>
            <w:r>
              <w:rPr>
                <w:b/>
              </w:rPr>
              <w:t>Web Server / Proxy</w:t>
            </w:r>
            <w:r/>
          </w:p>
        </w:tc>
        <w:tc>
          <w:tcPr>
            <w:tcW w:type="dxa" w:w="3168"/>
          </w:tcPr>
          <w:p>
            <w:pPr>
              <w:spacing w:before="80" w:after="80"/>
            </w:pPr>
            <w:r/>
            <w:r>
              <w:rPr>
                <w:b/>
              </w:rPr>
              <w:t>NGINX</w:t>
            </w:r>
            <w:r/>
          </w:p>
        </w:tc>
        <w:tc>
          <w:tcPr>
            <w:tcW w:type="dxa" w:w="3600"/>
          </w:tcPr>
          <w:p>
            <w:pPr>
              <w:spacing w:before="80" w:after="80"/>
            </w:pPr>
            <w:r>
              <w:t>Serves static frontend build, routes API traffic, handles HTTPS/SSL certificates.</w:t>
            </w:r>
          </w:p>
        </w:tc>
      </w:tr>
      <w:tr>
        <w:tc>
          <w:tcPr>
            <w:tcW w:type="dxa" w:w="2592"/>
          </w:tcPr>
          <w:p>
            <w:pPr>
              <w:spacing w:before="80" w:after="80"/>
            </w:pPr>
            <w:r/>
            <w:r>
              <w:rPr>
                <w:b/>
              </w:rPr>
              <w:t>Backend Framework</w:t>
            </w:r>
            <w:r/>
          </w:p>
        </w:tc>
        <w:tc>
          <w:tcPr>
            <w:tcW w:type="dxa" w:w="3168"/>
          </w:tcPr>
          <w:p>
            <w:pPr>
              <w:spacing w:before="80" w:after="80"/>
            </w:pPr>
            <w:r/>
            <w:r>
              <w:rPr>
                <w:b/>
              </w:rPr>
              <w:t>Python (FastAPI)</w:t>
            </w:r>
            <w:r/>
          </w:p>
        </w:tc>
        <w:tc>
          <w:tcPr>
            <w:tcW w:type="dxa" w:w="3600"/>
          </w:tcPr>
          <w:p>
            <w:pPr>
              <w:spacing w:before="80" w:after="80"/>
            </w:pPr>
            <w:r>
              <w:t>Async Python API layer; high performance, automatic OpenAPI documentation, strict Pydantic validation.</w:t>
            </w:r>
          </w:p>
        </w:tc>
      </w:tr>
      <w:tr>
        <w:tc>
          <w:tcPr>
            <w:tcW w:type="dxa" w:w="2592"/>
          </w:tcPr>
          <w:p>
            <w:pPr>
              <w:spacing w:before="80" w:after="80"/>
            </w:pPr>
            <w:r/>
            <w:r>
              <w:rPr>
                <w:b/>
              </w:rPr>
              <w:t>Database</w:t>
            </w:r>
            <w:r/>
          </w:p>
        </w:tc>
        <w:tc>
          <w:tcPr>
            <w:tcW w:type="dxa" w:w="3168"/>
          </w:tcPr>
          <w:p>
            <w:pPr>
              <w:spacing w:before="80" w:after="80"/>
            </w:pPr>
            <w:r/>
            <w:r>
              <w:rPr>
                <w:b/>
              </w:rPr>
              <w:t>PostgreSQL</w:t>
            </w:r>
            <w:r/>
          </w:p>
        </w:tc>
        <w:tc>
          <w:tcPr>
            <w:tcW w:type="dxa" w:w="3600"/>
          </w:tcPr>
          <w:p>
            <w:pPr>
              <w:spacing w:before="80" w:after="80"/>
            </w:pPr>
            <w:r>
              <w:t>Primary store for SOH, historical sales, store planograms, dispatch logs, and SKU catalog.</w:t>
            </w:r>
          </w:p>
        </w:tc>
      </w:tr>
      <w:tr>
        <w:tc>
          <w:tcPr>
            <w:tcW w:type="dxa" w:w="2592"/>
          </w:tcPr>
          <w:p>
            <w:pPr>
              <w:spacing w:before="80" w:after="80"/>
            </w:pPr>
            <w:r/>
            <w:r>
              <w:rPr>
                <w:b/>
              </w:rPr>
              <w:t>ORM &amp; Migrations</w:t>
            </w:r>
            <w:r/>
          </w:p>
        </w:tc>
        <w:tc>
          <w:tcPr>
            <w:tcW w:type="dxa" w:w="3168"/>
          </w:tcPr>
          <w:p>
            <w:pPr>
              <w:spacing w:before="80" w:after="80"/>
            </w:pPr>
            <w:r/>
            <w:r>
              <w:rPr>
                <w:b/>
              </w:rPr>
              <w:t>SQLAlchemy + Alembic</w:t>
            </w:r>
            <w:r/>
          </w:p>
        </w:tc>
        <w:tc>
          <w:tcPr>
            <w:tcW w:type="dxa" w:w="3600"/>
          </w:tcPr>
          <w:p>
            <w:pPr>
              <w:spacing w:before="80" w:after="80"/>
            </w:pPr>
            <w:r>
              <w:t>Python object mapping and database schema version control.</w:t>
            </w:r>
          </w:p>
        </w:tc>
      </w:tr>
      <w:tr>
        <w:tc>
          <w:tcPr>
            <w:tcW w:type="dxa" w:w="2592"/>
          </w:tcPr>
          <w:p>
            <w:pPr>
              <w:spacing w:before="80" w:after="80"/>
            </w:pPr>
            <w:r/>
            <w:r>
              <w:rPr>
                <w:b/>
              </w:rPr>
              <w:t>Async Task Queue</w:t>
            </w:r>
            <w:r/>
          </w:p>
        </w:tc>
        <w:tc>
          <w:tcPr>
            <w:tcW w:type="dxa" w:w="3168"/>
          </w:tcPr>
          <w:p>
            <w:pPr>
              <w:spacing w:before="80" w:after="80"/>
            </w:pPr>
            <w:r/>
            <w:r>
              <w:rPr>
                <w:b/>
              </w:rPr>
              <w:t>Celery + Redis</w:t>
            </w:r>
            <w:r/>
          </w:p>
        </w:tc>
        <w:tc>
          <w:tcPr>
            <w:tcW w:type="dxa" w:w="3600"/>
          </w:tcPr>
          <w:p>
            <w:pPr>
              <w:spacing w:before="80" w:after="80"/>
            </w:pPr>
            <w:r>
              <w:t>Background queue for processing heavy allocation algorithms without freezing the UI.</w:t>
            </w:r>
          </w:p>
        </w:tc>
      </w:tr>
      <w:tr>
        <w:tc>
          <w:tcPr>
            <w:tcW w:type="dxa" w:w="2592"/>
          </w:tcPr>
          <w:p>
            <w:pPr>
              <w:spacing w:before="80" w:after="80"/>
            </w:pPr>
            <w:r/>
            <w:r>
              <w:rPr>
                <w:b/>
              </w:rPr>
              <w:t>Packaging &amp; Deploy</w:t>
            </w:r>
            <w:r/>
          </w:p>
        </w:tc>
        <w:tc>
          <w:tcPr>
            <w:tcW w:type="dxa" w:w="3168"/>
          </w:tcPr>
          <w:p>
            <w:pPr>
              <w:spacing w:before="80" w:after="80"/>
            </w:pPr>
            <w:r/>
            <w:r>
              <w:rPr>
                <w:b/>
              </w:rPr>
              <w:t>Docker + Docker Compose</w:t>
            </w:r>
            <w:r/>
          </w:p>
        </w:tc>
        <w:tc>
          <w:tcPr>
            <w:tcW w:type="dxa" w:w="3600"/>
          </w:tcPr>
          <w:p>
            <w:pPr>
              <w:spacing w:before="80" w:after="80"/>
            </w:pPr>
            <w:r>
              <w:t>Wraps the entire stack into isolated containers for 1-click cloud or on-prem deployment.</w:t>
            </w:r>
          </w:p>
        </w:tc>
      </w:tr>
    </w:tbl>
    <w:p>
      <w:pPr>
        <w:spacing w:after="120"/>
      </w:pP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60"/>
      </w:pPr>
      <w:r>
        <w:rPr>
          <w:rFonts w:ascii="Arial" w:hAnsi="Arial"/>
          <w:b/>
          <w:color w:val="053364"/>
          <w:sz w:val="28"/>
        </w:rPr>
        <w:t>Cloud vs. On-Premise Deployment Strategy</w:t>
      </w:r>
    </w:p>
    <w:p>
      <w:pPr>
        <w:spacing w:after="120"/>
      </w:pPr>
      <w:r>
        <w:t>Because the entire application is containerized with Docker, the deployment architecture is identical in both environments.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4"/>
        </w:rPr>
        <w:t>1. Cloud Deployment (AWS / GCP / Azure)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Hosting</w:t>
      </w:r>
      <w:r>
        <w:t>: The Docker containers run on a virtual cloud server (e.g., AWS EC2 or GCP Compute Engine).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Database</w:t>
      </w:r>
      <w:r>
        <w:t>: Managed database service (e.g., AWS RDS PostgreSQL).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Access</w:t>
      </w:r>
      <w:r>
        <w:t>: Accessible over the public web via secure HTTPS (</w:t>
      </w:r>
      <w:r>
        <w:rPr>
          <w:rFonts w:ascii="Courier New" w:hAnsi="Courier New"/>
          <w:color w:val="C53030"/>
          <w:sz w:val="19"/>
        </w:rPr>
        <w:t>https://optiflow.yourdomain.com</w:t>
      </w:r>
      <w:r>
        <w:t>).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4"/>
        </w:rPr>
        <w:t>2. On-Premise Deployment (Local Warehouse / Data Center)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Hosting</w:t>
      </w:r>
      <w:r>
        <w:t>: The exact same Docker containers run on the client's internal physical server or local Virtual Machine (VMware / Proxmox).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Database</w:t>
      </w:r>
      <w:r>
        <w:t>: PostgreSQL runs inside a Docker container with local volume storage or connects to the client's internal PostgreSQL cluster.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Access</w:t>
      </w:r>
      <w:r>
        <w:t>: Accessible strictly over the company's internal network/Intranet (</w:t>
      </w:r>
      <w:r>
        <w:rPr>
          <w:rFonts w:ascii="Courier New" w:hAnsi="Courier New"/>
          <w:color w:val="C53030"/>
          <w:sz w:val="19"/>
        </w:rPr>
        <w:t>http://192.168.1.50</w:t>
      </w:r>
      <w:r>
        <w:t xml:space="preserve"> or </w:t>
      </w:r>
      <w:r>
        <w:rPr>
          <w:rFonts w:ascii="Courier New" w:hAnsi="Courier New"/>
          <w:color w:val="C53030"/>
          <w:sz w:val="19"/>
        </w:rPr>
        <w:t>http://optiflow.local</w:t>
      </w:r>
      <w:r>
        <w:t>).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60"/>
      </w:pPr>
      <w:r>
        <w:rPr>
          <w:rFonts w:ascii="Arial" w:hAnsi="Arial"/>
          <w:b/>
          <w:color w:val="053364"/>
          <w:sz w:val="28"/>
        </w:rPr>
        <w:t>Key Architectural Benefits</w:t>
      </w:r>
    </w:p>
    <w:p>
      <w:pPr>
        <w:spacing w:after="80"/>
        <w:ind w:left="576"/>
      </w:pPr>
      <w:r>
        <w:rPr>
          <w:b/>
          <w:color w:val="053364"/>
        </w:rPr>
        <w:t xml:space="preserve">1.  </w:t>
      </w:r>
      <w:r/>
      <w:r>
        <w:rPr>
          <w:b/>
        </w:rPr>
        <w:t>Zero Licensing Costs</w:t>
      </w:r>
      <w:r>
        <w:t>: The entire stack utilizes 100% open-source technologies with no recurring vendor software fees.</w:t>
      </w:r>
    </w:p>
    <w:p>
      <w:pPr>
        <w:spacing w:after="80"/>
        <w:ind w:left="576"/>
      </w:pPr>
      <w:r>
        <w:rPr>
          <w:b/>
          <w:color w:val="053364"/>
        </w:rPr>
        <w:t xml:space="preserve">2.  </w:t>
      </w:r>
      <w:r/>
      <w:r>
        <w:rPr>
          <w:b/>
        </w:rPr>
        <w:t>Non-Blocking User Experience</w:t>
      </w:r>
      <w:r>
        <w:t>: Heavy allocation algorithms run asynchronously in background Celery workers, keeping the manager dashboard fast and responsive.</w:t>
      </w:r>
    </w:p>
    <w:p>
      <w:pPr>
        <w:spacing w:after="80"/>
        <w:ind w:left="576"/>
      </w:pPr>
      <w:r>
        <w:rPr>
          <w:b/>
          <w:color w:val="053364"/>
        </w:rPr>
        <w:t xml:space="preserve">3.  </w:t>
      </w:r>
      <w:r/>
      <w:r>
        <w:rPr>
          <w:b/>
        </w:rPr>
        <w:t>Data Integrity &amp; Scale</w:t>
      </w:r>
      <w:r>
        <w:t>: PostgreSQL provides ACID compliance for inventory movements and scales to handle millions of historical sales records.</w:t>
      </w:r>
    </w:p>
    <w:p>
      <w:pPr>
        <w:spacing w:after="80"/>
        <w:ind w:left="576"/>
      </w:pPr>
      <w:r>
        <w:rPr>
          <w:b/>
          <w:color w:val="053364"/>
        </w:rPr>
        <w:t xml:space="preserve">4.  </w:t>
      </w:r>
      <w:r/>
      <w:r>
        <w:rPr>
          <w:b/>
        </w:rPr>
        <w:t>Instant On-Premise Portability</w:t>
      </w:r>
      <w:r>
        <w:t>: Moving from Cloud to On-Premise requires zero code modifications—only environment configurations.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