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DualisCheckUp: Plan Técnico de Reposicionamiento a Bienestar</w:t>
      </w:r>
    </w:p>
    <w:p>
      <w:pPr>
        <w:pStyle w:val="BodyText"/>
        <w:bidi w:val="0"/>
        <w:rPr/>
      </w:pPr>
      <w:r>
        <w:rPr>
          <w:rStyle w:val="Strong"/>
        </w:rPr>
        <w:t>Versión:</w:t>
      </w:r>
      <w:r>
        <w:rPr/>
        <w:t xml:space="preserve"> 1.0 | </w:t>
      </w:r>
      <w:r>
        <w:rPr>
          <w:rStyle w:val="Strong"/>
        </w:rPr>
        <w:t>Fecha:</w:t>
      </w:r>
      <w:r>
        <w:rPr/>
        <w:t xml:space="preserve"> 15/10/2026 | </w:t>
      </w:r>
      <w:r>
        <w:rPr>
          <w:rStyle w:val="Strong"/>
        </w:rPr>
        <w:t>Base:</w:t>
      </w:r>
      <w:r>
        <w:rPr/>
        <w:t xml:space="preserve"> rama </w:t>
      </w:r>
      <w:r>
        <w:rPr>
          <w:rStyle w:val="SourceText"/>
        </w:rPr>
        <w:t>feat/phase-11-multi-profile</w:t>
      </w:r>
      <w:r>
        <w:rPr/>
        <w:t xml:space="preserve"> (commit </w:t>
      </w:r>
      <w:r>
        <w:rPr>
          <w:rStyle w:val="SourceText"/>
        </w:rPr>
        <w:t>58849fc</w:t>
      </w:r>
      <w:r>
        <w:rPr/>
        <w:t>) y auditoría de uso previsto (</w:t>
      </w:r>
      <w:r>
        <w:rPr>
          <w:rStyle w:val="SourceText"/>
        </w:rPr>
        <w:t>ANEXO-AUDITORIA-USO-PREVISTO.md</w:t>
      </w:r>
      <w:r>
        <w:rPr/>
        <w:t xml:space="preserve">) </w:t>
      </w:r>
      <w:r>
        <w:rPr>
          <w:rStyle w:val="Strong"/>
        </w:rPr>
        <w:t>Destinatario:</w:t>
      </w:r>
      <w:r>
        <w:rPr/>
        <w:t xml:space="preserve"> equipo técnico, producto y consultoría regulatoria</w:t>
      </w:r>
    </w:p>
    <w:p>
      <w:pPr>
        <w:pStyle w:val="BlockQuotation"/>
        <w:bidi w:val="0"/>
        <w:rPr/>
      </w:pPr>
      <w:r>
        <w:rPr>
          <w:rStyle w:val="Strong"/>
        </w:rPr>
        <w:t>Aviso.</w:t>
      </w:r>
      <w:r>
        <w:rPr/>
        <w:t xml:space="preserve"> Este plan no es asesoría legal ni regulatoria. Es un plan de ingeniería para que el producto deje de cumplir la definición de </w:t>
      </w:r>
      <w:r>
        <w:rPr>
          <w:rStyle w:val="Emphasis"/>
        </w:rPr>
        <w:t>software como dispositivo médico</w:t>
      </w:r>
      <w:r>
        <w:rPr/>
        <w:t xml:space="preserve"> (SaMD). Un consultor regulatorio (ANVISA, MDR UE, FDA) y un abogado de protección de datos deben validarlo antes del lanzamiento.</w:t>
      </w:r>
    </w:p>
    <w:p>
      <w:pPr>
        <w:pStyle w:val="HorizontalLine"/>
        <w:bidi w:val="0"/>
        <w:rPr/>
      </w:pPr>
      <w:r>
        <w:rPr/>
      </w:r>
    </w:p>
    <w:p>
      <w:pPr>
        <w:pStyle w:val="Heading2"/>
        <w:bidi w:val="0"/>
        <w:rPr/>
      </w:pPr>
      <w:r>
        <w:rPr/>
        <w:t>1. Objetivo</w:t>
      </w:r>
    </w:p>
    <w:p>
      <w:pPr>
        <w:pStyle w:val="BodyText"/>
        <w:bidi w:val="0"/>
        <w:rPr/>
      </w:pPr>
      <w:r>
        <w:rPr/>
        <w:t xml:space="preserve">Reposicionar DualisCheckUp como </w:t>
      </w:r>
      <w:r>
        <w:rPr>
          <w:rStyle w:val="Strong"/>
        </w:rPr>
        <w:t>aplicación de bienestar y autoconocimiento</w:t>
      </w:r>
      <w:r>
        <w:rPr/>
        <w:t xml:space="preserve"> (categoría "Salud y bienestar" / </w:t>
      </w:r>
      <w:r>
        <w:rPr>
          <w:rStyle w:val="Emphasis"/>
        </w:rPr>
        <w:t>general wellness</w:t>
      </w:r>
      <w:r>
        <w:rPr/>
        <w:t>). Así puede lanzarse en Brasil, la Unión Europea y Estados Unidos sin registro como dispositivo médico.</w:t>
      </w:r>
    </w:p>
    <w:p>
      <w:pPr>
        <w:pStyle w:val="BodyText"/>
        <w:bidi w:val="0"/>
        <w:rPr/>
      </w:pPr>
      <w:r>
        <w:rPr/>
        <w:t xml:space="preserve">La clasificación regulatoria depende del </w:t>
      </w:r>
      <w:r>
        <w:rPr>
          <w:rStyle w:val="Strong"/>
        </w:rPr>
        <w:t>uso previsto</w:t>
      </w:r>
      <w:r>
        <w:rPr/>
        <w:t>, y el regulador lo deduce de dos cosas:</w:t>
      </w:r>
    </w:p>
    <w:p>
      <w:pPr>
        <w:pStyle w:val="BodyText"/>
        <w:numPr>
          <w:ilvl w:val="0"/>
          <w:numId w:val="1"/>
        </w:numPr>
        <w:tabs>
          <w:tab w:val="clear" w:pos="1134"/>
          <w:tab w:val="left" w:pos="709" w:leader="none"/>
        </w:tabs>
        <w:bidi w:val="0"/>
        <w:spacing w:before="0" w:after="0"/>
        <w:ind w:hanging="283" w:left="709"/>
        <w:rPr/>
      </w:pPr>
      <w:r>
        <w:rPr>
          <w:rStyle w:val="Strong"/>
        </w:rPr>
        <w:t>lo que el software hace</w:t>
      </w:r>
      <w:r>
        <w:rPr/>
        <w:t>: lógica, salidas y algoritmos;</w:t>
      </w:r>
    </w:p>
    <w:p>
      <w:pPr>
        <w:pStyle w:val="BodyText"/>
        <w:numPr>
          <w:ilvl w:val="0"/>
          <w:numId w:val="1"/>
        </w:numPr>
        <w:tabs>
          <w:tab w:val="clear" w:pos="1134"/>
          <w:tab w:val="left" w:pos="709" w:leader="none"/>
        </w:tabs>
        <w:bidi w:val="0"/>
        <w:ind w:hanging="283" w:left="709"/>
        <w:rPr/>
      </w:pPr>
      <w:r>
        <w:rPr>
          <w:rStyle w:val="Strong"/>
        </w:rPr>
        <w:t>lo que la empresa dice</w:t>
      </w:r>
      <w:r>
        <w:rPr/>
        <w:t>: interfaz, términos, ficha de tienda, documentación interna y material comercial.</w:t>
      </w:r>
    </w:p>
    <w:p>
      <w:pPr>
        <w:pStyle w:val="BodyText"/>
        <w:bidi w:val="0"/>
        <w:rPr/>
      </w:pPr>
      <w:r>
        <w:rPr/>
        <w:t>Este plan cambia las dos.</w:t>
      </w:r>
    </w:p>
    <w:p>
      <w:pPr>
        <w:pStyle w:val="Heading3"/>
        <w:bidi w:val="0"/>
        <w:rPr/>
      </w:pPr>
      <w:r>
        <w:rPr/>
        <w:t>1.1 Declaración de uso previsto (texto canónico)</w:t>
      </w:r>
    </w:p>
    <w:p>
      <w:pPr>
        <w:pStyle w:val="BodyText"/>
        <w:bidi w:val="0"/>
        <w:rPr/>
      </w:pPr>
      <w:r>
        <w:rPr/>
        <w:t>Debe aparecer idéntica en Términos, onboarding, fichas de tienda, sitio web, pitch y documentación interna.</w:t>
      </w:r>
    </w:p>
    <w:p>
      <w:pPr>
        <w:pStyle w:val="BodyText"/>
        <w:bidi w:val="0"/>
        <w:rPr/>
      </w:pPr>
      <w:r>
        <w:rPr>
          <w:rStyle w:val="Strong"/>
        </w:rPr>
        <w:t>pt-BR</w:t>
      </w:r>
    </w:p>
    <w:p>
      <w:pPr>
        <w:pStyle w:val="BlockQuotation"/>
        <w:bidi w:val="0"/>
        <w:rPr/>
      </w:pPr>
      <w:r>
        <w:rPr/>
        <w:t>O DualisCheckUp é um aplicativo de bem-estar e autoconhecimento. Ele ajuda você a registrar diariamente como se sente física e emocionalmente, acompanhar hábitos como hidratação e sono, visualizar seus próprios registros ao longo do tempo e acessar conteúdos educativos gerais sobre hábitos saudáveis. O DualisCheckUp não é um dispositivo médico: não avalia, não classifica nem interpreta sintomas, não indica nível de urgência, não faz diagnóstico, não recomenda tratamento e não substitui um profissional de saúde. Em caso de emergência, ligue 192 (SAMU). Se você estiver em sofrimento emocional, ligue 188 (CVV).</w:t>
      </w:r>
    </w:p>
    <w:p>
      <w:pPr>
        <w:pStyle w:val="BodyText"/>
        <w:bidi w:val="0"/>
        <w:rPr/>
      </w:pPr>
      <w:r>
        <w:rPr>
          <w:rStyle w:val="Strong"/>
        </w:rPr>
        <w:t>en</w:t>
      </w:r>
    </w:p>
    <w:p>
      <w:pPr>
        <w:pStyle w:val="BlockQuotation"/>
        <w:bidi w:val="0"/>
        <w:rPr/>
      </w:pPr>
      <w:r>
        <w:rPr/>
        <w:t>DualisCheckUp is a wellness and self-awareness app. It helps you keep a daily journal of how you feel physically and emotionally, track habits such as hydration and sleep, view your own entries over time, and access general educational content about healthy habits. DualisCheckUp is not a medical device: it does not assess, classify or interpret symptoms, does not indicate urgency levels, does not diagnose, does not recommend treatment and does not replace a healthcare professional. In an emergency, call your local emergency number. If you are in emotional distress, contact your local crisis line.</w:t>
      </w:r>
    </w:p>
    <w:p>
      <w:pPr>
        <w:pStyle w:val="HorizontalLine"/>
        <w:bidi w:val="0"/>
        <w:rPr/>
      </w:pPr>
      <w:r>
        <w:rPr/>
      </w:r>
    </w:p>
    <w:p>
      <w:pPr>
        <w:pStyle w:val="Heading2"/>
        <w:bidi w:val="0"/>
        <w:rPr/>
      </w:pPr>
      <w:r>
        <w:rPr/>
        <w:t>2. Reglas de diseño (aplican a todo cambio futuro)</w:t>
      </w:r>
    </w:p>
    <w:tbl>
      <w:tblPr>
        <w:tblW w:w="5000" w:type="pct"/>
        <w:jc w:val="left"/>
        <w:tblInd w:w="75" w:type="dxa"/>
        <w:tblLayout w:type="fixed"/>
        <w:tblCellMar>
          <w:top w:w="75" w:type="dxa"/>
          <w:left w:w="75" w:type="dxa"/>
          <w:bottom w:w="75" w:type="dxa"/>
          <w:right w:w="75" w:type="dxa"/>
        </w:tblCellMar>
      </w:tblPr>
      <w:tblGrid>
        <w:gridCol w:w="452"/>
        <w:gridCol w:w="3867"/>
        <w:gridCol w:w="3012"/>
        <w:gridCol w:w="4008"/>
      </w:tblGrid>
      <w:tr>
        <w:trPr>
          <w:tblHeader w:val="true"/>
        </w:trPr>
        <w:tc>
          <w:tcPr>
            <w:tcW w:w="452"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w:t>
            </w:r>
          </w:p>
        </w:tc>
        <w:tc>
          <w:tcPr>
            <w:tcW w:w="3867"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Regla</w:t>
            </w:r>
          </w:p>
        </w:tc>
        <w:tc>
          <w:tcPr>
            <w:tcW w:w="3012"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Ejemplo permitido</w:t>
            </w:r>
          </w:p>
        </w:tc>
        <w:tc>
          <w:tcPr>
            <w:tcW w:w="4008"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Ejemplo prohibido</w:t>
            </w:r>
          </w:p>
        </w:tc>
      </w:tr>
      <w:tr>
        <w:trPr/>
        <w:tc>
          <w:tcPr>
            <w:tcW w:w="45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R1</w:t>
            </w:r>
          </w:p>
        </w:tc>
        <w:tc>
          <w:tcPr>
            <w:tcW w:w="386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La app </w:t>
            </w:r>
            <w:r>
              <w:rPr>
                <w:rStyle w:val="Strong"/>
              </w:rPr>
              <w:t>no emite juicio individual</w:t>
            </w:r>
            <w:r>
              <w:rPr/>
              <w:t xml:space="preserve"> sobre la salud de la persona.</w:t>
            </w:r>
          </w:p>
        </w:tc>
        <w:tc>
          <w:tcPr>
            <w:tcW w:w="30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"Você registrou dor de cabeça 4 dias esta semana."</w:t>
            </w:r>
          </w:p>
        </w:tc>
        <w:tc>
          <w:tcPr>
            <w:tcW w:w="400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"Seu nível de risco é 4", "Procure pronto atendimento".</w:t>
            </w:r>
          </w:p>
        </w:tc>
      </w:tr>
      <w:tr>
        <w:trPr/>
        <w:tc>
          <w:tcPr>
            <w:tcW w:w="45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R2</w:t>
            </w:r>
          </w:p>
        </w:tc>
        <w:tc>
          <w:tcPr>
            <w:tcW w:w="386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Todo número clínico es </w:t>
            </w:r>
            <w:r>
              <w:rPr>
                <w:rStyle w:val="Strong"/>
              </w:rPr>
              <w:t>auto-reportado</w:t>
            </w:r>
            <w:r>
              <w:rPr/>
              <w:t xml:space="preserve"> y se presenta así.</w:t>
            </w:r>
          </w:p>
        </w:tc>
        <w:tc>
          <w:tcPr>
            <w:tcW w:w="30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"Intensidade que você informou: 4/5"</w:t>
            </w:r>
          </w:p>
        </w:tc>
        <w:tc>
          <w:tcPr>
            <w:tcW w:w="400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"Intensidade calculada", "escala clínica".</w:t>
            </w:r>
          </w:p>
        </w:tc>
      </w:tr>
      <w:tr>
        <w:trPr/>
        <w:tc>
          <w:tcPr>
            <w:tcW w:w="45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R3</w:t>
            </w:r>
          </w:p>
        </w:tc>
        <w:tc>
          <w:tcPr>
            <w:tcW w:w="386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No se nombran condiciones</w:t>
            </w:r>
            <w:r>
              <w:rPr/>
              <w:t xml:space="preserve"> a partir de lo que registra el usuario.</w:t>
            </w:r>
          </w:p>
        </w:tc>
        <w:tc>
          <w:tcPr>
            <w:tcW w:w="30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"Peito", "Cabeça e pescoço"</w:t>
            </w:r>
          </w:p>
        </w:tc>
        <w:tc>
          <w:tcPr>
            <w:tcW w:w="400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"Suspeita de AVC", "Dor torácica crítica", "Sistema cardiovascular".</w:t>
            </w:r>
          </w:p>
        </w:tc>
      </w:tr>
      <w:tr>
        <w:trPr/>
        <w:tc>
          <w:tcPr>
            <w:tcW w:w="45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R4</w:t>
            </w:r>
          </w:p>
        </w:tc>
        <w:tc>
          <w:tcPr>
            <w:tcW w:w="386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La </w:t>
            </w:r>
            <w:r>
              <w:rPr>
                <w:rStyle w:val="Strong"/>
              </w:rPr>
              <w:t>seguridad es estática y universal</w:t>
            </w:r>
            <w:r>
              <w:rPr/>
              <w:t>: igual para todos y siempre visible.</w:t>
            </w:r>
          </w:p>
        </w:tc>
        <w:tc>
          <w:tcPr>
            <w:tcW w:w="30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Botón "Ajuda urgente" en toda pantalla</w:t>
            </w:r>
          </w:p>
        </w:tc>
        <w:tc>
          <w:tcPr>
            <w:tcW w:w="400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Pantalla roja que aparece solo si el algoritmo decide.</w:t>
            </w:r>
          </w:p>
        </w:tc>
      </w:tr>
      <w:tr>
        <w:trPr/>
        <w:tc>
          <w:tcPr>
            <w:tcW w:w="45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R5</w:t>
            </w:r>
          </w:p>
        </w:tc>
        <w:tc>
          <w:tcPr>
            <w:tcW w:w="386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La IA </w:t>
            </w:r>
            <w:r>
              <w:rPr>
                <w:rStyle w:val="Strong"/>
              </w:rPr>
              <w:t>organiza</w:t>
            </w:r>
            <w:r>
              <w:rPr/>
              <w:t xml:space="preserve"> las anotaciones; no evalúa nada.</w:t>
            </w:r>
          </w:p>
        </w:tc>
        <w:tc>
          <w:tcPr>
            <w:tcW w:w="30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Etiquetar área del cuerpo y término usado</w:t>
            </w:r>
          </w:p>
        </w:tc>
        <w:tc>
          <w:tcPr>
            <w:tcW w:w="400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urgencyScore</w:t>
            </w:r>
            <w:r>
              <w:rPr/>
              <w:t xml:space="preserve">, </w:t>
            </w:r>
            <w:r>
              <w:rPr>
                <w:rStyle w:val="SourceText"/>
              </w:rPr>
              <w:t>clinicalConcept</w:t>
            </w:r>
            <w:r>
              <w:rPr/>
              <w:t xml:space="preserve">, </w:t>
            </w:r>
            <w:r>
              <w:rPr>
                <w:rStyle w:val="SourceText"/>
              </w:rPr>
              <w:t>isEmergencyCandidate</w:t>
            </w:r>
            <w:r>
              <w:rPr/>
              <w:t>.</w:t>
            </w:r>
          </w:p>
        </w:tc>
      </w:tr>
      <w:tr>
        <w:trPr/>
        <w:tc>
          <w:tcPr>
            <w:tcW w:w="45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R6</w:t>
            </w:r>
          </w:p>
        </w:tc>
        <w:tc>
          <w:tcPr>
            <w:tcW w:w="386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El contenido educativo es </w:t>
            </w:r>
            <w:r>
              <w:rPr>
                <w:rStyle w:val="Strong"/>
              </w:rPr>
              <w:t>general</w:t>
            </w:r>
            <w:r>
              <w:rPr/>
              <w:t xml:space="preserve"> y con </w:t>
            </w:r>
            <w:r>
              <w:rPr>
                <w:rStyle w:val="Strong"/>
              </w:rPr>
              <w:t>fuente real</w:t>
            </w:r>
            <w:r>
              <w:rPr/>
              <w:t>.</w:t>
            </w:r>
          </w:p>
        </w:tc>
        <w:tc>
          <w:tcPr>
            <w:tcW w:w="30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"Fonte: Ministério da Saúde"</w:t>
            </w:r>
          </w:p>
        </w:tc>
        <w:tc>
          <w:tcPr>
            <w:tcW w:w="400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Autores con CRM/CRP no verificados; "recomendado para seus sintomas".</w:t>
            </w:r>
          </w:p>
        </w:tc>
      </w:tr>
      <w:tr>
        <w:trPr/>
        <w:tc>
          <w:tcPr>
            <w:tcW w:w="452"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R7</w:t>
            </w:r>
          </w:p>
        </w:tc>
        <w:tc>
          <w:tcPr>
            <w:tcW w:w="3867"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Los datos siguen siendo </w:t>
            </w:r>
            <w:r>
              <w:rPr>
                <w:rStyle w:val="Strong"/>
              </w:rPr>
              <w:t>datos sensibles de salud</w:t>
            </w:r>
            <w:r>
              <w:rPr/>
              <w:t>.</w:t>
            </w:r>
          </w:p>
        </w:tc>
        <w:tc>
          <w:tcPr>
            <w:tcW w:w="3012"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Consentimiento Art. 11 I LGPD, RLS, cifrado</w:t>
            </w:r>
          </w:p>
        </w:tc>
        <w:tc>
          <w:tcPr>
            <w:tcW w:w="4008"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Usar datos de salud para publicidad.</w:t>
            </w:r>
          </w:p>
        </w:tc>
      </w:tr>
    </w:tbl>
    <w:p>
      <w:pPr>
        <w:pStyle w:val="BodyText"/>
        <w:bidi w:val="0"/>
        <w:rPr/>
      </w:pPr>
      <w:r>
        <w:rPr>
          <w:rStyle w:val="Strong"/>
        </w:rPr>
        <w:t>Términos vetados en la interfaz y en material externo:</w:t>
      </w:r>
      <w:r>
        <w:rPr/>
        <w:t xml:space="preserve"> triagem/triaje/triage, diagnóstico, prontuário, clínico/a (como adjetivo del producto), paciente, risco/gravidade/crítico (sobre el usuario), urgência (como salida), "recomendação de cuidado", Manchester, ESI, SaMD, RDC 657, CFM 2.314, "concordância clínica", "precisas".</w:t>
      </w:r>
    </w:p>
    <w:p>
      <w:pPr>
        <w:pStyle w:val="BodyText"/>
        <w:bidi w:val="0"/>
        <w:rPr/>
      </w:pPr>
      <w:r>
        <w:rPr>
          <w:rStyle w:val="Strong"/>
        </w:rPr>
        <w:t>Excepción:</w:t>
      </w:r>
      <w:r>
        <w:rPr/>
        <w:t xml:space="preserve"> "emergência", "192", "188" y "pronto-socorro" solo pueden aparecer en la pantalla de recursos de ayuda (frente F3).</w:t>
      </w:r>
    </w:p>
    <w:p>
      <w:pPr>
        <w:pStyle w:val="HorizontalLine"/>
        <w:bidi w:val="0"/>
        <w:rPr/>
      </w:pPr>
      <w:r>
        <w:rPr/>
      </w:r>
    </w:p>
    <w:p>
      <w:pPr>
        <w:pStyle w:val="Heading2"/>
        <w:bidi w:val="0"/>
        <w:rPr/>
      </w:pPr>
      <w:r>
        <w:rPr/>
        <w:t>3. Inventario completo de cambios</w:t>
      </w:r>
    </w:p>
    <w:p>
      <w:pPr>
        <w:pStyle w:val="BodyText"/>
        <w:bidi w:val="0"/>
        <w:rPr/>
      </w:pPr>
      <w:r>
        <w:rPr/>
        <w:t>Cada frente indica qué cambia, dónde, cómo y el criterio de aceptación. Los IDs entre corchetes remiten a la auditoría (B = lógica, C = copy, L = legal, I = identificadores, D = documentación).</w:t>
      </w:r>
    </w:p>
    <w:p>
      <w:pPr>
        <w:pStyle w:val="BodyText"/>
        <w:bidi w:val="0"/>
        <w:rPr/>
      </w:pPr>
      <w:r>
        <w:rPr/>
        <w:t>Esfuerzo:</w:t>
      </w:r>
    </w:p>
    <w:p>
      <w:pPr>
        <w:pStyle w:val="BodyText"/>
        <w:numPr>
          <w:ilvl w:val="0"/>
          <w:numId w:val="2"/>
        </w:numPr>
        <w:tabs>
          <w:tab w:val="clear" w:pos="1134"/>
          <w:tab w:val="left" w:pos="709" w:leader="none"/>
        </w:tabs>
        <w:bidi w:val="0"/>
        <w:spacing w:before="0" w:after="0"/>
        <w:ind w:hanging="283" w:left="709"/>
        <w:rPr/>
      </w:pPr>
      <w:r>
        <w:rPr>
          <w:rStyle w:val="Strong"/>
        </w:rPr>
        <w:t>S:</w:t>
      </w:r>
      <w:r>
        <w:rPr/>
        <w:t xml:space="preserve"> 1 a 2 días-persona.</w:t>
      </w:r>
    </w:p>
    <w:p>
      <w:pPr>
        <w:pStyle w:val="BodyText"/>
        <w:numPr>
          <w:ilvl w:val="0"/>
          <w:numId w:val="2"/>
        </w:numPr>
        <w:tabs>
          <w:tab w:val="clear" w:pos="1134"/>
          <w:tab w:val="left" w:pos="709" w:leader="none"/>
        </w:tabs>
        <w:bidi w:val="0"/>
        <w:spacing w:before="0" w:after="0"/>
        <w:ind w:hanging="283" w:left="709"/>
        <w:rPr/>
      </w:pPr>
      <w:r>
        <w:rPr>
          <w:rStyle w:val="Strong"/>
        </w:rPr>
        <w:t>M:</w:t>
      </w:r>
      <w:r>
        <w:rPr/>
        <w:t xml:space="preserve"> 3 a 5 días-persona.</w:t>
      </w:r>
    </w:p>
    <w:p>
      <w:pPr>
        <w:pStyle w:val="BodyText"/>
        <w:numPr>
          <w:ilvl w:val="0"/>
          <w:numId w:val="2"/>
        </w:numPr>
        <w:tabs>
          <w:tab w:val="clear" w:pos="1134"/>
          <w:tab w:val="left" w:pos="709" w:leader="none"/>
        </w:tabs>
        <w:bidi w:val="0"/>
        <w:ind w:hanging="283" w:left="709"/>
        <w:rPr/>
      </w:pPr>
      <w:r>
        <w:rPr>
          <w:rStyle w:val="Strong"/>
        </w:rPr>
        <w:t>L:</w:t>
      </w:r>
      <w:r>
        <w:rPr/>
        <w:t xml:space="preserve"> 6 a 10 días-persona.</w:t>
      </w:r>
    </w:p>
    <w:p>
      <w:pPr>
        <w:pStyle w:val="Heading3"/>
        <w:bidi w:val="0"/>
        <w:rPr/>
      </w:pPr>
      <w:r>
        <w:rPr/>
        <w:t>F0. Contenido educativo y atribución de autores (URGENTE) — S</w:t>
      </w:r>
    </w:p>
    <w:tbl>
      <w:tblPr>
        <w:tblW w:w="5000" w:type="pct"/>
        <w:jc w:val="left"/>
        <w:tblInd w:w="75" w:type="dxa"/>
        <w:tblLayout w:type="fixed"/>
        <w:tblCellMar>
          <w:top w:w="75" w:type="dxa"/>
          <w:left w:w="75" w:type="dxa"/>
          <w:bottom w:w="75" w:type="dxa"/>
          <w:right w:w="75" w:type="dxa"/>
        </w:tblCellMar>
      </w:tblPr>
      <w:tblGrid>
        <w:gridCol w:w="1680"/>
        <w:gridCol w:w="4307"/>
        <w:gridCol w:w="5352"/>
      </w:tblGrid>
      <w:tr>
        <w:trPr>
          <w:tblHeader w:val="true"/>
        </w:trPr>
        <w:tc>
          <w:tcPr>
            <w:tcW w:w="1680"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w:t>
            </w:r>
          </w:p>
        </w:tc>
        <w:tc>
          <w:tcPr>
            <w:tcW w:w="4307"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Dónde</w:t>
            </w:r>
          </w:p>
        </w:tc>
        <w:tc>
          <w:tcPr>
            <w:tcW w:w="5352"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Detalle</w:t>
            </w:r>
          </w:p>
        </w:tc>
      </w:tr>
      <w:tr>
        <w:trPr/>
        <w:tc>
          <w:tcPr>
            <w:tcW w:w="168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Quitar autores con CRM/CRP no verificados [C-20]</w:t>
            </w:r>
          </w:p>
        </w:tc>
        <w:tc>
          <w:tcPr>
            <w:tcW w:w="430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backend/src/modules/triage/data/medical-articles.seed.{pt,en,es}.ts</w:t>
            </w:r>
            <w:r>
              <w:rPr/>
              <w:t xml:space="preserve">; </w:t>
            </w:r>
            <w:r>
              <w:rPr>
                <w:rStyle w:val="SourceText"/>
              </w:rPr>
              <w:t>mobile/lib/features/triage_outcome/data/triage_outcome_remote_data_source.dart:235-401</w:t>
            </w:r>
            <w:r>
              <w:rPr/>
              <w:t xml:space="preserve">; </w:t>
            </w:r>
            <w:r>
              <w:rPr>
                <w:rStyle w:val="SourceText"/>
              </w:rPr>
              <w:t>curated_articles_catalog.dart</w:t>
            </w:r>
          </w:p>
        </w:tc>
        <w:tc>
          <w:tcPr>
            <w:tcW w:w="535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Hoy hay </w:t>
            </w:r>
            <w:r>
              <w:rPr>
                <w:rStyle w:val="Strong"/>
              </w:rPr>
              <w:t>48 menciones</w:t>
            </w:r>
            <w:r>
              <w:rPr/>
              <w:t xml:space="preserve"> de CRM/CRP en estos archivos (p. ej. "CRM-SP 165.340", "CRP-06/123456"). Los enlaces apuntan a gov.br, Drauzio Varella, etc. Mostrar solo la </w:t>
            </w:r>
            <w:r>
              <w:rPr>
                <w:rStyle w:val="Strong"/>
              </w:rPr>
              <w:t>fuente real del enlace</w:t>
            </w:r>
            <w:r>
              <w:rPr/>
              <w:t xml:space="preserve"> ("Fonte: Ministério da Saúde"). Si se quieren autores, deben existir contratos con profesionales verificados.</w:t>
            </w:r>
          </w:p>
        </w:tc>
      </w:tr>
      <w:tr>
        <w:trPr/>
        <w:tc>
          <w:tcPr>
            <w:tcW w:w="168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Revisión editorial [C-21]</w:t>
            </w:r>
          </w:p>
        </w:tc>
        <w:tc>
          <w:tcPr>
            <w:tcW w:w="430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seeds de artículos</w:t>
            </w:r>
          </w:p>
        </w:tc>
        <w:tc>
          <w:tcPr>
            <w:tcW w:w="535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Quitar imperativos clínicos personalizados ("requerem eletrocardiograma imediato", "capaz de diagnosticar").</w:t>
            </w:r>
          </w:p>
        </w:tc>
      </w:tr>
      <w:tr>
        <w:trPr/>
        <w:tc>
          <w:tcPr>
            <w:tcW w:w="1680"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Cambiar cómo se presentan [C-19]</w:t>
            </w:r>
          </w:p>
        </w:tc>
        <w:tc>
          <w:tcPr>
            <w:tcW w:w="4307"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ourceText"/>
              </w:rPr>
              <w:t>.arb</w:t>
            </w:r>
            <w:r>
              <w:rPr/>
              <w:t xml:space="preserve"> </w:t>
            </w:r>
            <w:r>
              <w:rPr>
                <w:rStyle w:val="SourceText"/>
              </w:rPr>
              <w:t>outcomeArticles*</w:t>
            </w:r>
            <w:r>
              <w:rPr/>
              <w:t xml:space="preserve">; hardcoded en </w:t>
            </w:r>
            <w:r>
              <w:rPr>
                <w:rStyle w:val="SourceText"/>
              </w:rPr>
              <w:t>triage_outcome_screen.dart:180-191</w:t>
            </w:r>
            <w:r>
              <w:rPr/>
              <w:t xml:space="preserve">, </w:t>
            </w:r>
            <w:r>
              <w:rPr>
                <w:rStyle w:val="SourceText"/>
              </w:rPr>
              <w:t>today_triage_result_tab.dart:773-943</w:t>
            </w:r>
          </w:p>
        </w:tc>
        <w:tc>
          <w:tcPr>
            <w:tcW w:w="5352"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"Artigos Médicos Recomendados" pasa a </w:t>
            </w:r>
            <w:r>
              <w:rPr>
                <w:rStyle w:val="Strong"/>
              </w:rPr>
              <w:t>"Leituras sobre bem-estar"</w:t>
            </w:r>
            <w:r>
              <w:rPr/>
              <w:t xml:space="preserve">, con la nota </w:t>
            </w:r>
            <w:r>
              <w:rPr>
                <w:rStyle w:val="Strong"/>
              </w:rPr>
              <w:t>"Conteúdos educativos gerais. Não são orientação para o seu caso."</w:t>
            </w:r>
            <w:r>
              <w:rPr/>
              <w:t xml:space="preserve"> Eliminar "equipe clínica" y "especialistas renomados".</w:t>
            </w:r>
          </w:p>
        </w:tc>
      </w:tr>
    </w:tbl>
    <w:p>
      <w:pPr>
        <w:pStyle w:val="BodyText"/>
        <w:bidi w:val="0"/>
        <w:rPr/>
      </w:pPr>
      <w:r>
        <w:rPr>
          <w:rStyle w:val="Strong"/>
        </w:rPr>
        <w:t>Aceptación:</w:t>
      </w:r>
      <w:r>
        <w:rPr/>
        <w:t xml:space="preserve"> ningún nombre de profesional ni número de registro en la app ni en la API. Cada artículo muestra una fuente verificable.</w:t>
      </w:r>
    </w:p>
    <w:p>
      <w:pPr>
        <w:pStyle w:val="Heading3"/>
        <w:bidi w:val="0"/>
        <w:rPr/>
      </w:pPr>
      <w:r>
        <w:rPr/>
        <w:t>F1. Documentos legales y consentimiento — S</w:t>
      </w:r>
    </w:p>
    <w:tbl>
      <w:tblPr>
        <w:tblW w:w="5000" w:type="pct"/>
        <w:jc w:val="left"/>
        <w:tblInd w:w="75" w:type="dxa"/>
        <w:tblLayout w:type="fixed"/>
        <w:tblCellMar>
          <w:top w:w="75" w:type="dxa"/>
          <w:left w:w="75" w:type="dxa"/>
          <w:bottom w:w="75" w:type="dxa"/>
          <w:right w:w="75" w:type="dxa"/>
        </w:tblCellMar>
      </w:tblPr>
      <w:tblGrid>
        <w:gridCol w:w="2009"/>
        <w:gridCol w:w="2814"/>
        <w:gridCol w:w="6516"/>
      </w:tblGrid>
      <w:tr>
        <w:trPr>
          <w:tblHeader w:val="true"/>
        </w:trPr>
        <w:tc>
          <w:tcPr>
            <w:tcW w:w="2009"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w:t>
            </w:r>
          </w:p>
        </w:tc>
        <w:tc>
          <w:tcPr>
            <w:tcW w:w="2814"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Dónde</w:t>
            </w:r>
          </w:p>
        </w:tc>
        <w:tc>
          <w:tcPr>
            <w:tcW w:w="6516"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Detalle</w:t>
            </w:r>
          </w:p>
        </w:tc>
      </w:tr>
      <w:tr>
        <w:trPr/>
        <w:tc>
          <w:tcPr>
            <w:tcW w:w="200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Términos de uso [L-01, L-02]</w:t>
            </w:r>
          </w:p>
        </w:tc>
        <w:tc>
          <w:tcPr>
            <w:tcW w:w="28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mobile/lib/features/privacy/presentation/screens/terms_of_service_screen.dart:105-139</w:t>
            </w:r>
          </w:p>
        </w:tc>
        <w:tc>
          <w:tcPr>
            <w:tcW w:w="651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Hoy dice "estratificação de risco preventivo, </w:t>
            </w:r>
            <w:r>
              <w:rPr>
                <w:rStyle w:val="Strong"/>
              </w:rPr>
              <w:t>classificada conforme a Resolução RDC Anvisa nº 657/2022</w:t>
            </w:r>
            <w:r>
              <w:rPr/>
              <w:t xml:space="preserve"> e CFM 2.314/2022", una auto-declaración de SaMD. Reemplazar por la sección "2. Natureza do Serviço" con la declaración §1.1. Eliminar RDC 657, CFM 2.314, "árvores de triagem" y "algoritmos de triagem".</w:t>
            </w:r>
          </w:p>
        </w:tc>
      </w:tr>
      <w:tr>
        <w:trPr/>
        <w:tc>
          <w:tcPr>
            <w:tcW w:w="200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Consentimiento en registro [L-03, C-05]</w:t>
            </w:r>
          </w:p>
        </w:tc>
        <w:tc>
          <w:tcPr>
            <w:tcW w:w="28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lgpd_consent_checkbox.dart:60-79</w:t>
            </w:r>
            <w:r>
              <w:rPr/>
              <w:t xml:space="preserve">; </w:t>
            </w:r>
            <w:r>
              <w:rPr>
                <w:rStyle w:val="SourceText"/>
              </w:rPr>
              <w:t>.arb</w:t>
            </w:r>
            <w:r>
              <w:rPr/>
              <w:t xml:space="preserve"> </w:t>
            </w:r>
            <w:r>
              <w:rPr>
                <w:rStyle w:val="SourceText"/>
              </w:rPr>
              <w:t>lgpdConsentCheckbox</w:t>
            </w:r>
          </w:p>
        </w:tc>
        <w:tc>
          <w:tcPr>
            <w:tcW w:w="651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Finalidad: </w:t>
            </w:r>
            <w:r>
              <w:rPr>
                <w:rStyle w:val="Strong"/>
              </w:rPr>
              <w:t>"registrar e visualizar meu diário de bem-estar"</w:t>
            </w:r>
            <w:r>
              <w:rPr/>
              <w:t>. Bases normativas citadas: solo LGPD (Art. 7, 11, 14, 18) y CDC.</w:t>
            </w:r>
          </w:p>
        </w:tc>
      </w:tr>
      <w:tr>
        <w:trPr/>
        <w:tc>
          <w:tcPr>
            <w:tcW w:w="200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Política de privacidad [L-04]</w:t>
            </w:r>
          </w:p>
        </w:tc>
        <w:tc>
          <w:tcPr>
            <w:tcW w:w="28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privacy_policy_screen.dart:81-171</w:t>
            </w:r>
          </w:p>
        </w:tc>
        <w:tc>
          <w:tcPr>
            <w:tcW w:w="651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Nuevas finalidades: diario de bienestar; organización automática de anotaciones con IA </w:t>
            </w:r>
            <w:r>
              <w:rPr>
                <w:rStyle w:val="Strong"/>
              </w:rPr>
              <w:t>sin evaluación de salud</w:t>
            </w:r>
            <w:r>
              <w:rPr/>
              <w:t>; consistencia del historial. Agregar encargados (Google) y la transferencia internacional (F9).</w:t>
            </w:r>
          </w:p>
        </w:tc>
      </w:tr>
      <w:tr>
        <w:trPr/>
        <w:tc>
          <w:tcPr>
            <w:tcW w:w="200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Disclaimer de la API [L-05]</w:t>
            </w:r>
          </w:p>
        </w:tc>
        <w:tc>
          <w:tcPr>
            <w:tcW w:w="28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backend/src/modules/legal/legal.service.ts</w:t>
            </w:r>
            <w:r>
              <w:rPr/>
              <w:t xml:space="preserve"> (líneas 70-640)</w:t>
            </w:r>
          </w:p>
        </w:tc>
        <w:tc>
          <w:tcPr>
            <w:tcW w:w="651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Eliminar "risk stratification tools", "not an </w:t>
            </w:r>
            <w:r>
              <w:rPr>
                <w:rStyle w:val="Strong"/>
              </w:rPr>
              <w:t>autonomous</w:t>
            </w:r>
            <w:r>
              <w:rPr/>
              <w:t xml:space="preserve"> diagnostic medical device" (que implica que sí es un dispositivo, aunque no autónomo), "protocolos clínicos reconhecidos" y </w:t>
            </w:r>
            <w:r>
              <w:rPr>
                <w:rStyle w:val="SourceText"/>
              </w:rPr>
              <w:t>regulatoryBody: 'Anvisa / International SaMD Standards'</w:t>
            </w:r>
            <w:r>
              <w:rPr/>
              <w:t xml:space="preserve">. Reemplazar por la §1.1 en 3 idiomas. Subir </w:t>
            </w:r>
            <w:r>
              <w:rPr>
                <w:rStyle w:val="SourceText"/>
              </w:rPr>
              <w:t>DISCLAIMER_VERSION</w:t>
            </w:r>
            <w:r>
              <w:rPr/>
              <w:t xml:space="preserve"> para forzar el re-consentimiento.</w:t>
            </w:r>
          </w:p>
        </w:tc>
      </w:tr>
      <w:tr>
        <w:trPr/>
        <w:tc>
          <w:tcPr>
            <w:tcW w:w="200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Base legal LGPD [L-06]</w:t>
            </w:r>
          </w:p>
        </w:tc>
        <w:tc>
          <w:tcPr>
            <w:tcW w:w="281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legal.service.ts:311, 371</w:t>
            </w:r>
          </w:p>
        </w:tc>
        <w:tc>
          <w:tcPr>
            <w:tcW w:w="651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Cambiar Art. 11, II, "f" (tutela de la salud, que exige profesional o servicio de salud) por </w:t>
            </w:r>
            <w:r>
              <w:rPr>
                <w:rStyle w:val="Strong"/>
              </w:rPr>
              <w:t>Art. 11, I (consentimiento específico y destacado)</w:t>
            </w:r>
            <w:r>
              <w:rPr/>
              <w:t>. Validar con el DPO.</w:t>
            </w:r>
          </w:p>
        </w:tc>
      </w:tr>
      <w:tr>
        <w:trPr/>
        <w:tc>
          <w:tcPr>
            <w:tcW w:w="2009"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Afirmaciones comerciales [L-07]</w:t>
            </w:r>
          </w:p>
        </w:tc>
        <w:tc>
          <w:tcPr>
            <w:tcW w:w="2814"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ourceText"/>
              </w:rPr>
              <w:t>privacy_policy_screen.dart:156</w:t>
            </w:r>
          </w:p>
        </w:tc>
        <w:tc>
          <w:tcPr>
            <w:tcW w:w="6516"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Verificar "PCI-DSS Nível 1" antes de mantenerlo.</w:t>
            </w:r>
          </w:p>
        </w:tc>
      </w:tr>
    </w:tbl>
    <w:p>
      <w:pPr>
        <w:pStyle w:val="BodyText"/>
        <w:bidi w:val="0"/>
        <w:rPr/>
      </w:pPr>
      <w:r>
        <w:rPr>
          <w:rStyle w:val="Strong"/>
        </w:rPr>
        <w:t>Aceptación:</w:t>
      </w:r>
    </w:p>
    <w:p>
      <w:pPr>
        <w:pStyle w:val="BodyText"/>
        <w:numPr>
          <w:ilvl w:val="0"/>
          <w:numId w:val="3"/>
        </w:numPr>
        <w:tabs>
          <w:tab w:val="clear" w:pos="1134"/>
          <w:tab w:val="left" w:pos="709" w:leader="none"/>
        </w:tabs>
        <w:bidi w:val="0"/>
        <w:spacing w:before="0" w:after="0"/>
        <w:ind w:hanging="283" w:left="709"/>
        <w:rPr/>
      </w:pPr>
      <w:r>
        <w:rPr/>
        <w:t>Ningún texto legal cita RDC 657, CFM 2.314, SaMD ni "estratificação".</w:t>
      </w:r>
    </w:p>
    <w:p>
      <w:pPr>
        <w:pStyle w:val="BodyText"/>
        <w:numPr>
          <w:ilvl w:val="0"/>
          <w:numId w:val="3"/>
        </w:numPr>
        <w:tabs>
          <w:tab w:val="clear" w:pos="1134"/>
          <w:tab w:val="left" w:pos="709" w:leader="none"/>
        </w:tabs>
        <w:bidi w:val="0"/>
        <w:ind w:hanging="283" w:left="709"/>
        <w:rPr/>
      </w:pPr>
      <w:r>
        <w:rPr/>
        <w:t xml:space="preserve">Al subir </w:t>
      </w:r>
      <w:r>
        <w:rPr>
          <w:rStyle w:val="SourceText"/>
        </w:rPr>
        <w:t>DISCLAIMER_VERSION</w:t>
      </w:r>
      <w:r>
        <w:rPr/>
        <w:t>, todos los usuarios vuelven a aceptar.</w:t>
      </w:r>
    </w:p>
    <w:p>
      <w:pPr>
        <w:pStyle w:val="Heading3"/>
        <w:bidi w:val="0"/>
        <w:rPr/>
      </w:pPr>
      <w:r>
        <w:rPr/>
        <w:t>F2. Textos de la interfaz (pt/en/es) — M</w:t>
      </w:r>
    </w:p>
    <w:p>
      <w:pPr>
        <w:pStyle w:val="BodyText"/>
        <w:bidi w:val="0"/>
        <w:rPr/>
      </w:pPr>
      <w:r>
        <w:rPr/>
        <w:t xml:space="preserve">Todos los cambios se aplican en </w:t>
      </w:r>
      <w:r>
        <w:rPr>
          <w:rStyle w:val="SourceText"/>
        </w:rPr>
        <w:t>mobile/lib/l10n/app_{pt,en,es}.arb</w:t>
      </w:r>
      <w:r>
        <w:rPr/>
        <w:t>. Los textos fijos en código (hardcoded) se mueven a l10n.</w:t>
      </w:r>
    </w:p>
    <w:tbl>
      <w:tblPr>
        <w:tblW w:w="5000" w:type="pct"/>
        <w:jc w:val="left"/>
        <w:tblInd w:w="75" w:type="dxa"/>
        <w:tblLayout w:type="fixed"/>
        <w:tblCellMar>
          <w:top w:w="75" w:type="dxa"/>
          <w:left w:w="75" w:type="dxa"/>
          <w:bottom w:w="75" w:type="dxa"/>
          <w:right w:w="75" w:type="dxa"/>
        </w:tblCellMar>
      </w:tblPr>
      <w:tblGrid>
        <w:gridCol w:w="1774"/>
        <w:gridCol w:w="1147"/>
        <w:gridCol w:w="8418"/>
      </w:tblGrid>
      <w:tr>
        <w:trPr>
          <w:tblHeader w:val="true"/>
        </w:trPr>
        <w:tc>
          <w:tcPr>
            <w:tcW w:w="1774"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Pantalla</w:t>
            </w:r>
          </w:p>
        </w:tc>
        <w:tc>
          <w:tcPr>
            <w:tcW w:w="1147"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IDs</w:t>
            </w:r>
          </w:p>
        </w:tc>
        <w:tc>
          <w:tcPr>
            <w:tcW w:w="8418"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Cambios principales (pt-BR)</w:t>
            </w:r>
          </w:p>
        </w:tc>
      </w:tr>
      <w:tr>
        <w:trPr/>
        <w:tc>
          <w:tcPr>
            <w:tcW w:w="177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Onboarding</w:t>
            </w:r>
          </w:p>
        </w:tc>
        <w:tc>
          <w:tcPr>
            <w:tcW w:w="114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C-01…C-04</w:t>
            </w:r>
          </w:p>
        </w:tc>
        <w:tc>
          <w:tcPr>
            <w:tcW w:w="84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"Triagem Preventiva Unificada" → </w:t>
            </w:r>
            <w:r>
              <w:rPr>
                <w:rStyle w:val="Strong"/>
              </w:rPr>
              <w:t>"Diário de Bem-Estar Integrado"</w:t>
            </w:r>
            <w:r>
              <w:rPr/>
              <w:t xml:space="preserve">; "Registros Médicos Blindados" → </w:t>
            </w:r>
            <w:r>
              <w:rPr>
                <w:rStyle w:val="Strong"/>
              </w:rPr>
              <w:t>"Seus Dados Protegidos"</w:t>
            </w:r>
            <w:r>
              <w:rPr/>
              <w:t xml:space="preserve">; "Orientações Preventivas Precisas" → </w:t>
            </w:r>
            <w:r>
              <w:rPr>
                <w:rStyle w:val="Strong"/>
              </w:rPr>
              <w:t>"Conteúdos para Hábitos Saudáveis"</w:t>
            </w:r>
            <w:r>
              <w:rPr/>
              <w:t>.</w:t>
            </w:r>
          </w:p>
        </w:tc>
      </w:tr>
      <w:tr>
        <w:trPr/>
        <w:tc>
          <w:tcPr>
            <w:tcW w:w="177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Login / registro</w:t>
            </w:r>
          </w:p>
        </w:tc>
        <w:tc>
          <w:tcPr>
            <w:tcW w:w="114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C-34</w:t>
            </w:r>
          </w:p>
        </w:tc>
        <w:tc>
          <w:tcPr>
            <w:tcW w:w="84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"Acesse seu prontuário e histórico de triagens" → </w:t>
            </w:r>
            <w:r>
              <w:rPr>
                <w:rStyle w:val="Strong"/>
              </w:rPr>
              <w:t>"Acesse seu diário de bem-estar com segurança."</w:t>
            </w:r>
          </w:p>
        </w:tc>
      </w:tr>
      <w:tr>
        <w:trPr/>
        <w:tc>
          <w:tcPr>
            <w:tcW w:w="177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Home</w:t>
            </w:r>
          </w:p>
        </w:tc>
        <w:tc>
          <w:tcPr>
            <w:tcW w:w="114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C-30, C-31, C-33</w:t>
            </w:r>
          </w:p>
        </w:tc>
        <w:tc>
          <w:tcPr>
            <w:tcW w:w="84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Nombre de respaldo "Paciente" → </w:t>
            </w:r>
            <w:r>
              <w:rPr>
                <w:rStyle w:val="Strong"/>
              </w:rPr>
              <w:t>"Olá!"</w:t>
            </w:r>
            <w:r>
              <w:rPr/>
              <w:t xml:space="preserve">; "Prontuário Ativo &amp; Protegido" → </w:t>
            </w:r>
            <w:r>
              <w:rPr>
                <w:rStyle w:val="Strong"/>
              </w:rPr>
              <w:t>"Seus registros estão protegidos"</w:t>
            </w:r>
            <w:r>
              <w:rPr/>
              <w:t xml:space="preserve">; "Triagem de Hoje Concluída" → </w:t>
            </w:r>
            <w:r>
              <w:rPr>
                <w:rStyle w:val="Strong"/>
              </w:rPr>
              <w:t>"Registro de hoje concluído"</w:t>
            </w:r>
            <w:r>
              <w:rPr/>
              <w:t>.</w:t>
            </w:r>
          </w:p>
        </w:tc>
      </w:tr>
      <w:tr>
        <w:trPr/>
        <w:tc>
          <w:tcPr>
            <w:tcW w:w="177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Wizard</w:t>
            </w:r>
          </w:p>
        </w:tc>
        <w:tc>
          <w:tcPr>
            <w:tcW w:w="114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C-11…C-15, C-38</w:t>
            </w:r>
          </w:p>
        </w:tc>
        <w:tc>
          <w:tcPr>
            <w:tcW w:w="84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"Autoavaliação" → </w:t>
            </w:r>
            <w:r>
              <w:rPr>
                <w:rStyle w:val="Strong"/>
              </w:rPr>
              <w:t>"Registro de hoje"</w:t>
            </w:r>
            <w:r>
              <w:rPr/>
              <w:t xml:space="preserve">. Opciones emocionales sin nombres de trastornos ("Depressiva", "Burnout", "Insônia" pasan a </w:t>
            </w:r>
            <w:r>
              <w:rPr>
                <w:rStyle w:val="Strong"/>
              </w:rPr>
              <w:t>"Pra baixo"</w:t>
            </w:r>
            <w:r>
              <w:rPr/>
              <w:t xml:space="preserve">, </w:t>
            </w:r>
            <w:r>
              <w:rPr>
                <w:rStyle w:val="Strong"/>
              </w:rPr>
              <w:t>"Esgotado(a)"</w:t>
            </w:r>
            <w:r>
              <w:rPr/>
              <w:t xml:space="preserve">, </w:t>
            </w:r>
            <w:r>
              <w:rPr>
                <w:rStyle w:val="Strong"/>
              </w:rPr>
              <w:t>"Sono ruim"</w:t>
            </w:r>
            <w:r>
              <w:rPr/>
              <w:t xml:space="preserve">). Áreas físicas en lenguaje común ("Sistema Cardiovascular" → </w:t>
            </w:r>
            <w:r>
              <w:rPr>
                <w:rStyle w:val="Strong"/>
              </w:rPr>
              <w:t>"Peito"</w:t>
            </w:r>
            <w:r>
              <w:rPr/>
              <w:t>).</w:t>
            </w:r>
          </w:p>
        </w:tc>
      </w:tr>
      <w:tr>
        <w:trPr/>
        <w:tc>
          <w:tcPr>
            <w:tcW w:w="177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Resultado</w:t>
            </w:r>
          </w:p>
        </w:tc>
        <w:tc>
          <w:tcPr>
            <w:tcW w:w="114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C-17, C-18, C-22, C-32</w:t>
            </w:r>
          </w:p>
        </w:tc>
        <w:tc>
          <w:tcPr>
            <w:tcW w:w="84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"Resultado da Triagem" → </w:t>
            </w:r>
            <w:r>
              <w:rPr>
                <w:rStyle w:val="Strong"/>
              </w:rPr>
              <w:t>"Resumo do seu registro"</w:t>
            </w:r>
            <w:r>
              <w:rPr/>
              <w:t xml:space="preserve">. Se elimina la tarjeta de recomendación de atención (F4). Navegación "Resultado do Dia" → </w:t>
            </w:r>
            <w:r>
              <w:rPr>
                <w:rStyle w:val="Strong"/>
              </w:rPr>
              <w:t>"Meu Dia"</w:t>
            </w:r>
            <w:r>
              <w:rPr/>
              <w:t>.</w:t>
            </w:r>
          </w:p>
        </w:tc>
      </w:tr>
      <w:tr>
        <w:trPr/>
        <w:tc>
          <w:tcPr>
            <w:tcW w:w="177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Historial y mapa corporal</w:t>
            </w:r>
          </w:p>
        </w:tc>
        <w:tc>
          <w:tcPr>
            <w:tcW w:w="114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C-23…C-25</w:t>
            </w:r>
          </w:p>
        </w:tc>
        <w:tc>
          <w:tcPr>
            <w:tcW w:w="84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"Sem dor" → </w:t>
            </w:r>
            <w:r>
              <w:rPr>
                <w:rStyle w:val="Strong"/>
              </w:rPr>
              <w:t>"Sem registro"</w:t>
            </w:r>
            <w:r>
              <w:rPr/>
              <w:t xml:space="preserve">; "Dispneia funcional" → </w:t>
            </w:r>
            <w:r>
              <w:rPr>
                <w:rStyle w:val="Strong"/>
              </w:rPr>
              <w:t>"Falta de ar, tosse"</w:t>
            </w:r>
            <w:r>
              <w:rPr/>
              <w:t xml:space="preserve">; "histórico de triagens" → </w:t>
            </w:r>
            <w:r>
              <w:rPr>
                <w:rStyle w:val="Strong"/>
              </w:rPr>
              <w:t>"histórico de registros"</w:t>
            </w:r>
            <w:r>
              <w:rPr/>
              <w:t>.</w:t>
            </w:r>
          </w:p>
        </w:tc>
      </w:tr>
      <w:tr>
        <w:trPr/>
        <w:tc>
          <w:tcPr>
            <w:tcW w:w="177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Ajustes, export, notificaciones</w:t>
            </w:r>
          </w:p>
        </w:tc>
        <w:tc>
          <w:tcPr>
            <w:tcW w:w="114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C-26…C-29, C-35, C-36</w:t>
            </w:r>
          </w:p>
        </w:tc>
        <w:tc>
          <w:tcPr>
            <w:tcW w:w="84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"histórico clínico" → </w:t>
            </w:r>
            <w:r>
              <w:rPr>
                <w:rStyle w:val="Strong"/>
              </w:rPr>
              <w:t>"registros de bem-estar"</w:t>
            </w:r>
            <w:r>
              <w:rPr/>
              <w:t xml:space="preserve">; emoji 🩺 → 🌿; "Avatares Clínicos" → </w:t>
            </w:r>
            <w:r>
              <w:rPr>
                <w:rStyle w:val="Strong"/>
              </w:rPr>
              <w:t>"Avatares"</w:t>
            </w:r>
            <w:r>
              <w:rPr/>
              <w:t xml:space="preserve">; "Perfis de Saúde" → </w:t>
            </w:r>
            <w:r>
              <w:rPr>
                <w:rStyle w:val="Strong"/>
              </w:rPr>
              <w:t>"Perfis"</w:t>
            </w:r>
            <w:r>
              <w:rPr/>
              <w:t>.</w:t>
            </w:r>
          </w:p>
        </w:tc>
      </w:tr>
      <w:tr>
        <w:trPr/>
        <w:tc>
          <w:tcPr>
            <w:tcW w:w="177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Offline</w:t>
            </w:r>
          </w:p>
        </w:tc>
        <w:tc>
          <w:tcPr>
            <w:tcW w:w="114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C-37</w:t>
            </w:r>
          </w:p>
        </w:tc>
        <w:tc>
          <w:tcPr>
            <w:tcW w:w="84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"Avaliação clínica preliminar em modo desconectado" → </w:t>
            </w:r>
            <w:r>
              <w:rPr>
                <w:rStyle w:val="Strong"/>
              </w:rPr>
              <w:t>"Registro salvo no aparelho; será sincronizado."</w:t>
            </w:r>
          </w:p>
        </w:tc>
      </w:tr>
      <w:tr>
        <w:trPr/>
        <w:tc>
          <w:tcPr>
            <w:tcW w:w="177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Anuncios</w:t>
            </w:r>
          </w:p>
        </w:tc>
        <w:tc>
          <w:tcPr>
            <w:tcW w:w="1147"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C-40</w:t>
            </w:r>
          </w:p>
        </w:tc>
        <w:tc>
          <w:tcPr>
            <w:tcW w:w="84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"Zero rastreamento clínico" → </w:t>
            </w:r>
            <w:r>
              <w:rPr>
                <w:rStyle w:val="Strong"/>
              </w:rPr>
              <w:t>"Anúncio não usa seus dados de saúde"</w:t>
            </w:r>
            <w:r>
              <w:rPr/>
              <w:t xml:space="preserve"> (garantizarlo técnicamente, ver F9).</w:t>
            </w:r>
          </w:p>
        </w:tc>
      </w:tr>
      <w:tr>
        <w:trPr/>
        <w:tc>
          <w:tcPr>
            <w:tcW w:w="1774"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iOS</w:t>
            </w:r>
          </w:p>
        </w:tc>
        <w:tc>
          <w:tcPr>
            <w:tcW w:w="1147"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C-41</w:t>
            </w:r>
          </w:p>
        </w:tc>
        <w:tc>
          <w:tcPr>
            <w:tcW w:w="8418"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ourceText"/>
              </w:rPr>
              <w:t>Info.plist</w:t>
            </w:r>
            <w:r>
              <w:rPr/>
              <w:t xml:space="preserve"> </w:t>
            </w:r>
            <w:r>
              <w:rPr>
                <w:rStyle w:val="SourceText"/>
              </w:rPr>
              <w:t>NSFaceIDUsageDescription</w:t>
            </w:r>
            <w:r>
              <w:rPr/>
              <w:t xml:space="preserve">: </w:t>
            </w:r>
            <w:r>
              <w:rPr>
                <w:rStyle w:val="Strong"/>
              </w:rPr>
              <w:t>"…proteger o acesso aos seus registros de bem-estar."</w:t>
            </w:r>
            <w:r>
              <w:rPr/>
              <w:t xml:space="preserve"> El revisor de Apple lo ve.</w:t>
            </w:r>
          </w:p>
        </w:tc>
      </w:tr>
    </w:tbl>
    <w:p>
      <w:pPr>
        <w:pStyle w:val="BodyText"/>
        <w:bidi w:val="0"/>
        <w:rPr/>
      </w:pPr>
      <w:r>
        <w:rPr>
          <w:rStyle w:val="Strong"/>
        </w:rPr>
        <w:t>Aceptación:</w:t>
      </w:r>
    </w:p>
    <w:p>
      <w:pPr>
        <w:pStyle w:val="BodyText"/>
        <w:numPr>
          <w:ilvl w:val="0"/>
          <w:numId w:val="4"/>
        </w:numPr>
        <w:tabs>
          <w:tab w:val="clear" w:pos="1134"/>
          <w:tab w:val="left" w:pos="709" w:leader="none"/>
        </w:tabs>
        <w:bidi w:val="0"/>
        <w:spacing w:before="0" w:after="0"/>
        <w:ind w:hanging="283" w:left="709"/>
        <w:rPr/>
      </w:pPr>
      <w:r>
        <w:rPr/>
        <w:t>El test de vocabulario (§5) pasa sin excepciones fuera de la pantalla de ayuda.</w:t>
      </w:r>
    </w:p>
    <w:p>
      <w:pPr>
        <w:pStyle w:val="BodyText"/>
        <w:numPr>
          <w:ilvl w:val="0"/>
          <w:numId w:val="4"/>
        </w:numPr>
        <w:tabs>
          <w:tab w:val="clear" w:pos="1134"/>
          <w:tab w:val="left" w:pos="709" w:leader="none"/>
        </w:tabs>
        <w:bidi w:val="0"/>
        <w:ind w:hanging="283" w:left="709"/>
        <w:rPr/>
      </w:pPr>
      <w:r>
        <w:rPr/>
        <w:t>No quedan textos en pt-BR fijos en el código de las pantallas tocadas.</w:t>
      </w:r>
    </w:p>
    <w:p>
      <w:pPr>
        <w:pStyle w:val="Heading3"/>
        <w:bidi w:val="0"/>
        <w:rPr/>
      </w:pPr>
      <w:r>
        <w:rPr/>
        <w:t>F3. Seguridad: recursos de ayuda siempre disponibles — M</w:t>
      </w:r>
    </w:p>
    <w:p>
      <w:pPr>
        <w:pStyle w:val="BodyText"/>
        <w:bidi w:val="0"/>
        <w:rPr/>
      </w:pPr>
      <w:r>
        <w:rPr/>
        <w:t xml:space="preserve">Hoy la pantalla de emergencia solo se abre </w:t>
      </w:r>
      <w:r>
        <w:rPr>
          <w:rStyle w:val="Strong"/>
        </w:rPr>
        <w:t>dentro del check-in</w:t>
      </w:r>
      <w:r>
        <w:rPr/>
        <w:t>, cuando el algoritmo decide (</w:t>
      </w:r>
      <w:r>
        <w:rPr>
          <w:rStyle w:val="SourceText"/>
        </w:rPr>
        <w:t>emergency_controller.dart:23</w:t>
      </w:r>
      <w:r>
        <w:rPr/>
        <w:t xml:space="preserve">, disparado desde </w:t>
      </w:r>
      <w:r>
        <w:rPr>
          <w:rStyle w:val="SourceText"/>
        </w:rPr>
        <w:t>triage_wizard_notifier.dart:92-103</w:t>
      </w:r>
      <w:r>
        <w:rPr/>
        <w:t>). Eso es triaje regulado y, además, no está disponible para todos.</w:t>
      </w:r>
    </w:p>
    <w:tbl>
      <w:tblPr>
        <w:tblW w:w="5000" w:type="pct"/>
        <w:jc w:val="left"/>
        <w:tblInd w:w="75" w:type="dxa"/>
        <w:tblLayout w:type="fixed"/>
        <w:tblCellMar>
          <w:top w:w="75" w:type="dxa"/>
          <w:left w:w="75" w:type="dxa"/>
          <w:bottom w:w="75" w:type="dxa"/>
          <w:right w:w="75" w:type="dxa"/>
        </w:tblCellMar>
      </w:tblPr>
      <w:tblGrid>
        <w:gridCol w:w="2179"/>
        <w:gridCol w:w="2674"/>
        <w:gridCol w:w="6486"/>
      </w:tblGrid>
      <w:tr>
        <w:trPr>
          <w:tblHeader w:val="true"/>
        </w:trPr>
        <w:tc>
          <w:tcPr>
            <w:tcW w:w="2179"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w:t>
            </w:r>
          </w:p>
        </w:tc>
        <w:tc>
          <w:tcPr>
            <w:tcW w:w="2674"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Dónde</w:t>
            </w:r>
          </w:p>
        </w:tc>
        <w:tc>
          <w:tcPr>
            <w:tcW w:w="6486"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Detalle</w:t>
            </w:r>
          </w:p>
        </w:tc>
      </w:tr>
      <w:tr>
        <w:trPr/>
        <w:tc>
          <w:tcPr>
            <w:tcW w:w="217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 xml:space="preserve">Botón </w:t>
            </w:r>
            <w:r>
              <w:rPr>
                <w:rStyle w:val="Strong"/>
              </w:rPr>
              <w:t>"Ajuda urgente"</w:t>
            </w:r>
            <w:r>
              <w:rPr/>
              <w:t xml:space="preserve"> global</w:t>
            </w:r>
          </w:p>
        </w:tc>
        <w:tc>
          <w:tcPr>
            <w:tcW w:w="26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AppBar / barra inferior de todas las pantallas autenticadas + login</w:t>
            </w:r>
          </w:p>
        </w:tc>
        <w:tc>
          <w:tcPr>
            <w:tcW w:w="648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Abre la pantalla de recursos. No depende de ningún dato del usuario.</w:t>
            </w:r>
          </w:p>
        </w:tc>
      </w:tr>
      <w:tr>
        <w:trPr/>
        <w:tc>
          <w:tcPr>
            <w:tcW w:w="217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Pantalla de recursos estática [B-14, C-07…C-10]</w:t>
            </w:r>
          </w:p>
        </w:tc>
        <w:tc>
          <w:tcPr>
            <w:tcW w:w="26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emergency_screen.dart</w:t>
            </w:r>
          </w:p>
        </w:tc>
        <w:tc>
          <w:tcPr>
            <w:tcW w:w="648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Se puede cerrar (quitar </w:t>
            </w:r>
            <w:r>
              <w:rPr>
                <w:rStyle w:val="SourceText"/>
              </w:rPr>
              <w:t>PopScope(canPop:false)</w:t>
            </w:r>
            <w:r>
              <w:rPr/>
              <w:t xml:space="preserve"> y el diálogo "Não recomendado"). Título </w:t>
            </w:r>
            <w:r>
              <w:rPr>
                <w:rStyle w:val="Strong"/>
              </w:rPr>
              <w:t>"Precisa de ajuda agora?"</w:t>
            </w:r>
            <w:r>
              <w:rPr/>
              <w:t xml:space="preserve">. Lista </w:t>
            </w:r>
            <w:r>
              <w:rPr>
                <w:rStyle w:val="Strong"/>
              </w:rPr>
              <w:t>estática</w:t>
            </w:r>
            <w:r>
              <w:rPr/>
              <w:t xml:space="preserve"> de señales de alarma con fuente oficial (Ministério da Saúde / SAMU). Botones de llamada. Sin badges de condición.</w:t>
            </w:r>
          </w:p>
        </w:tc>
      </w:tr>
      <w:tr>
        <w:trPr/>
        <w:tc>
          <w:tcPr>
            <w:tcW w:w="217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Números por país [B-15]</w:t>
            </w:r>
          </w:p>
        </w:tc>
        <w:tc>
          <w:tcPr>
            <w:tcW w:w="26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emergency_screen.dart:175-195</w:t>
            </w:r>
            <w:r>
              <w:rPr/>
              <w:t xml:space="preserve"> (hoy 192/193/188 fijos)</w:t>
            </w:r>
          </w:p>
        </w:tc>
        <w:tc>
          <w:tcPr>
            <w:tcW w:w="648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Tabla por región del dispositivo: BR 192/193/188/190; US 911/988; UE 112 + línea de crisis nacional; ES 112/024; PT 112/808 24 24 24; MX 911. Si no se reconoce el país: 112 y "número local de emergência".</w:t>
            </w:r>
          </w:p>
        </w:tc>
      </w:tr>
      <w:tr>
        <w:trPr/>
        <w:tc>
          <w:tcPr>
            <w:tcW w:w="217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Aviso contextual genérico [B-03, B-04]</w:t>
            </w:r>
          </w:p>
        </w:tc>
        <w:tc>
          <w:tcPr>
            <w:tcW w:w="26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red_flag_evaluator.dart</w:t>
            </w:r>
            <w:r>
              <w:rPr/>
              <w:t xml:space="preserve">; </w:t>
            </w:r>
            <w:r>
              <w:rPr>
                <w:rStyle w:val="SourceText"/>
              </w:rPr>
              <w:t>triage_wizard_notifier.dart</w:t>
            </w:r>
          </w:p>
        </w:tc>
        <w:tc>
          <w:tcPr>
            <w:tcW w:w="648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Si el usuario marca intensidad 5 (o 4 en pecho, respiración o cabeza), o escribe texto que coincide con las expresiones de alarma, se muestra </w:t>
            </w:r>
            <w:r>
              <w:rPr>
                <w:rStyle w:val="Strong"/>
              </w:rPr>
              <w:t>la misma tarjeta para todos</w:t>
            </w:r>
            <w:r>
              <w:rPr/>
              <w:t>: "Se isso for uma emergência, não use o app: ligue 192 agora." No bloquea, no nombra la condición y no asigna nivel. Se eliminan las referencias a Manchester/ESI.</w:t>
            </w:r>
          </w:p>
        </w:tc>
      </w:tr>
      <w:tr>
        <w:trPr/>
        <w:tc>
          <w:tcPr>
            <w:tcW w:w="217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Red de seguridad de suicidio [B-04]</w:t>
            </w:r>
          </w:p>
        </w:tc>
        <w:tc>
          <w:tcPr>
            <w:tcW w:w="26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red_flag_evaluator.dart</w:t>
            </w:r>
          </w:p>
        </w:tc>
        <w:tc>
          <w:tcPr>
            <w:tcW w:w="648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Se mantiene</w:t>
            </w:r>
            <w:r>
              <w:rPr/>
              <w:t xml:space="preserve"> la detección como seguridad de contenido; solo cambia el texto: recursos 188/192, sin bloquear.</w:t>
            </w:r>
          </w:p>
        </w:tc>
      </w:tr>
      <w:tr>
        <w:trPr/>
        <w:tc>
          <w:tcPr>
            <w:tcW w:w="217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Registro de auditoría mínimo [I-05]</w:t>
            </w:r>
          </w:p>
        </w:tc>
        <w:tc>
          <w:tcPr>
            <w:tcW w:w="26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tabla </w:t>
            </w:r>
            <w:r>
              <w:rPr>
                <w:rStyle w:val="SourceText"/>
              </w:rPr>
              <w:t>triage_emergency_events</w:t>
            </w:r>
            <w:r>
              <w:rPr/>
              <w:t xml:space="preserve"> → </w:t>
            </w:r>
            <w:r>
              <w:rPr>
                <w:rStyle w:val="SourceText"/>
              </w:rPr>
              <w:t>safety_resource_events</w:t>
            </w:r>
          </w:p>
        </w:tc>
        <w:tc>
          <w:tcPr>
            <w:tcW w:w="648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Registrar solo "recursos abiertos / llamada iniciada", el perfil y la fecha. Se eliminan </w:t>
            </w:r>
            <w:r>
              <w:rPr>
                <w:rStyle w:val="SourceText"/>
              </w:rPr>
              <w:t>severity_level</w:t>
            </w:r>
            <w:r>
              <w:rPr/>
              <w:t xml:space="preserve"> y </w:t>
            </w:r>
            <w:r>
              <w:rPr>
                <w:rStyle w:val="SourceText"/>
              </w:rPr>
              <w:t>trigger_category</w:t>
            </w:r>
            <w:r>
              <w:rPr/>
              <w:t xml:space="preserve"> (LGPD Art. 6 III, minimización). Se mantiene la garantía actual: el registro </w:t>
            </w:r>
            <w:r>
              <w:rPr>
                <w:rStyle w:val="Strong"/>
              </w:rPr>
              <w:t>nunca falla</w:t>
            </w:r>
            <w:r>
              <w:rPr/>
              <w:t>, ni sin sesión ni con token vencido.</w:t>
            </w:r>
          </w:p>
        </w:tc>
      </w:tr>
      <w:tr>
        <w:trPr/>
        <w:tc>
          <w:tcPr>
            <w:tcW w:w="2179"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Funcionamiento offline</w:t>
            </w:r>
          </w:p>
        </w:tc>
        <w:tc>
          <w:tcPr>
            <w:tcW w:w="267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assets / l10n</w:t>
            </w:r>
          </w:p>
        </w:tc>
        <w:tc>
          <w:tcPr>
            <w:tcW w:w="648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Pantalla, lista y números incluidos en la app, sin red.</w:t>
            </w:r>
          </w:p>
        </w:tc>
      </w:tr>
      <w:tr>
        <w:trPr/>
        <w:tc>
          <w:tcPr>
            <w:tcW w:w="2179"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Nunca detrás de un muro de pago</w:t>
            </w:r>
          </w:p>
        </w:tc>
        <w:tc>
          <w:tcPr>
            <w:tcW w:w="2674"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fase 15</w:t>
            </w:r>
          </w:p>
        </w:tc>
        <w:tc>
          <w:tcPr>
            <w:tcW w:w="6486"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Los recursos de ayuda son gratuitos en todos los planes.</w:t>
            </w:r>
          </w:p>
        </w:tc>
      </w:tr>
    </w:tbl>
    <w:p>
      <w:pPr>
        <w:pStyle w:val="BodyText"/>
        <w:bidi w:val="0"/>
        <w:rPr/>
      </w:pPr>
      <w:r>
        <w:rPr>
          <w:rStyle w:val="Strong"/>
        </w:rPr>
        <w:t>Aceptación:</w:t>
      </w:r>
    </w:p>
    <w:p>
      <w:pPr>
        <w:pStyle w:val="BodyText"/>
        <w:numPr>
          <w:ilvl w:val="0"/>
          <w:numId w:val="5"/>
        </w:numPr>
        <w:tabs>
          <w:tab w:val="clear" w:pos="1134"/>
          <w:tab w:val="left" w:pos="709" w:leader="none"/>
        </w:tabs>
        <w:bidi w:val="0"/>
        <w:spacing w:before="0" w:after="0"/>
        <w:ind w:hanging="283" w:left="709"/>
        <w:rPr/>
      </w:pPr>
      <w:r>
        <w:rPr/>
        <w:t xml:space="preserve">Un widget test confirma que desde </w:t>
      </w:r>
      <w:r>
        <w:rPr>
          <w:rStyle w:val="Strong"/>
        </w:rPr>
        <w:t>cada</w:t>
      </w:r>
      <w:r>
        <w:rPr/>
        <w:t xml:space="preserve"> pantalla principal se llega a la pantalla de recursos en 1 toque.</w:t>
      </w:r>
    </w:p>
    <w:p>
      <w:pPr>
        <w:pStyle w:val="BodyText"/>
        <w:numPr>
          <w:ilvl w:val="0"/>
          <w:numId w:val="5"/>
        </w:numPr>
        <w:tabs>
          <w:tab w:val="clear" w:pos="1134"/>
          <w:tab w:val="left" w:pos="709" w:leader="none"/>
        </w:tabs>
        <w:bidi w:val="0"/>
        <w:spacing w:before="0" w:after="0"/>
        <w:ind w:hanging="283" w:left="709"/>
        <w:rPr/>
      </w:pPr>
      <w:r>
        <w:rPr/>
        <w:t>La pantalla funciona en modo avión.</w:t>
      </w:r>
    </w:p>
    <w:p>
      <w:pPr>
        <w:pStyle w:val="BodyText"/>
        <w:numPr>
          <w:ilvl w:val="0"/>
          <w:numId w:val="5"/>
        </w:numPr>
        <w:tabs>
          <w:tab w:val="clear" w:pos="1134"/>
          <w:tab w:val="left" w:pos="709" w:leader="none"/>
        </w:tabs>
        <w:bidi w:val="0"/>
        <w:ind w:hanging="283" w:left="709"/>
        <w:rPr/>
      </w:pPr>
      <w:r>
        <w:rPr/>
        <w:t>Ningún flujo bloquea al usuario.</w:t>
      </w:r>
    </w:p>
    <w:p>
      <w:pPr>
        <w:pStyle w:val="Heading3"/>
        <w:bidi w:val="0"/>
        <w:rPr/>
      </w:pPr>
      <w:r>
        <w:rPr/>
        <w:t>F4. Motor de resultados: de "triaje" a "diario" — M</w:t>
      </w:r>
    </w:p>
    <w:tbl>
      <w:tblPr>
        <w:tblW w:w="5000" w:type="pct"/>
        <w:jc w:val="left"/>
        <w:tblInd w:w="75" w:type="dxa"/>
        <w:tblLayout w:type="fixed"/>
        <w:tblCellMar>
          <w:top w:w="75" w:type="dxa"/>
          <w:left w:w="75" w:type="dxa"/>
          <w:bottom w:w="75" w:type="dxa"/>
          <w:right w:w="75" w:type="dxa"/>
        </w:tblCellMar>
      </w:tblPr>
      <w:tblGrid>
        <w:gridCol w:w="1992"/>
        <w:gridCol w:w="3119"/>
        <w:gridCol w:w="6228"/>
      </w:tblGrid>
      <w:tr>
        <w:trPr>
          <w:tblHeader w:val="true"/>
        </w:trPr>
        <w:tc>
          <w:tcPr>
            <w:tcW w:w="1992"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w:t>
            </w:r>
          </w:p>
        </w:tc>
        <w:tc>
          <w:tcPr>
            <w:tcW w:w="3119"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Dónde</w:t>
            </w:r>
          </w:p>
        </w:tc>
        <w:tc>
          <w:tcPr>
            <w:tcW w:w="6228"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Detalle</w:t>
            </w:r>
          </w:p>
        </w:tc>
      </w:tr>
      <w:tr>
        <w:trPr/>
        <w:tc>
          <w:tcPr>
            <w:tcW w:w="199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Eliminar la recomendación de atención [B-01]</w:t>
            </w:r>
          </w:p>
        </w:tc>
        <w:tc>
          <w:tcPr>
            <w:tcW w:w="311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backend/src/modules/triage/services/triage-outcome.service.ts:700-718</w:t>
            </w:r>
          </w:p>
        </w:tc>
        <w:tc>
          <w:tcPr>
            <w:tcW w:w="622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Hoy convierte la intensidad en "auto_cuidado / consulta_rotina / pronto_atendimento / emergencia", y la IA puede forzar "emergencia". Se elimina el cálculo, y </w:t>
            </w:r>
            <w:r>
              <w:rPr>
                <w:rStyle w:val="SourceText"/>
              </w:rPr>
              <w:t>careDisposition</w:t>
            </w:r>
            <w:r>
              <w:rPr/>
              <w:t xml:space="preserve"> deja de escribirse y de devolverse. En su lugar va un </w:t>
            </w:r>
            <w:r>
              <w:rPr>
                <w:rStyle w:val="Strong"/>
              </w:rPr>
              <w:t>bloque estático igual para todos</w:t>
            </w:r>
            <w:r>
              <w:rPr/>
              <w:t>: "Este app não avalia sua saúde. Se algum desconforto persistir, piorar ou te preocupar, procure um profissional de saúde. Em emergência, ligue 192."</w:t>
            </w:r>
          </w:p>
        </w:tc>
      </w:tr>
      <w:tr>
        <w:trPr/>
        <w:tc>
          <w:tcPr>
            <w:tcW w:w="199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Check-in rápido [B-02]</w:t>
            </w:r>
          </w:p>
        </w:tc>
        <w:tc>
          <w:tcPr>
            <w:tcW w:w="311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triage-outcome.service.ts:833-840</w:t>
            </w:r>
          </w:p>
        </w:tc>
        <w:tc>
          <w:tcPr>
            <w:tcW w:w="622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Guardar solo el estado declarado (bem / mais ou menos / mal). Sin intensidad inferida ni recomendación.</w:t>
            </w:r>
          </w:p>
        </w:tc>
      </w:tr>
      <w:tr>
        <w:trPr/>
        <w:tc>
          <w:tcPr>
            <w:tcW w:w="199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Quitar la tarjeta de recomendación en la app [C-18]</w:t>
            </w:r>
          </w:p>
        </w:tc>
        <w:tc>
          <w:tcPr>
            <w:tcW w:w="311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disposition_card.dart</w:t>
            </w:r>
            <w:r>
              <w:rPr/>
              <w:t xml:space="preserve">, </w:t>
            </w:r>
            <w:r>
              <w:rPr>
                <w:rStyle w:val="SourceText"/>
              </w:rPr>
              <w:t>today_triage_summary_card.dart</w:t>
            </w:r>
            <w:r>
              <w:rPr/>
              <w:t xml:space="preserve">, </w:t>
            </w:r>
            <w:r>
              <w:rPr>
                <w:rStyle w:val="SourceText"/>
              </w:rPr>
              <w:t>triage_history_detail_modal.dart</w:t>
            </w:r>
            <w:r>
              <w:rPr/>
              <w:t xml:space="preserve">, </w:t>
            </w:r>
            <w:r>
              <w:rPr>
                <w:rStyle w:val="SourceText"/>
              </w:rPr>
              <w:t>retrospective_list_view.dart</w:t>
            </w:r>
          </w:p>
        </w:tc>
        <w:tc>
          <w:tcPr>
            <w:tcW w:w="622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El historial muestra </w:t>
            </w:r>
            <w:r>
              <w:rPr>
                <w:rStyle w:val="Strong"/>
              </w:rPr>
              <w:t>"Intensidade informada: n/5"</w:t>
            </w:r>
            <w:r>
              <w:rPr/>
              <w:t>.</w:t>
            </w:r>
          </w:p>
        </w:tc>
      </w:tr>
      <w:tr>
        <w:trPr/>
        <w:tc>
          <w:tcPr>
            <w:tcW w:w="199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Primacía orgánica [B-09]</w:t>
            </w:r>
          </w:p>
        </w:tc>
        <w:tc>
          <w:tcPr>
            <w:tcW w:w="311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triage-outcome.service.ts:633-690</w:t>
            </w:r>
            <w:r>
              <w:rPr/>
              <w:t xml:space="preserve">; </w:t>
            </w:r>
            <w:r>
              <w:rPr>
                <w:rStyle w:val="SourceText"/>
              </w:rPr>
              <w:t>organic_primacy_banner.dart</w:t>
            </w:r>
            <w:r>
              <w:rPr/>
              <w:t xml:space="preserve">; </w:t>
            </w:r>
            <w:r>
              <w:rPr>
                <w:rStyle w:val="SourceText"/>
              </w:rPr>
              <w:t>.arb</w:t>
            </w:r>
            <w:r>
              <w:rPr/>
              <w:t xml:space="preserve"> </w:t>
            </w:r>
            <w:r>
              <w:rPr>
                <w:rStyle w:val="SourceText"/>
              </w:rPr>
              <w:t>outcomeOrganicPrimacy*</w:t>
            </w:r>
          </w:p>
        </w:tc>
        <w:tc>
          <w:tcPr>
            <w:tcW w:w="622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 elimina el razonamiento diferencial ("descartar causas orgânicas", "somatização"). Nota estática si hay registro físico y emocional el mismo día.</w:t>
            </w:r>
          </w:p>
        </w:tc>
      </w:tr>
      <w:tr>
        <w:trPr/>
        <w:tc>
          <w:tcPr>
            <w:tcW w:w="199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Intensidad auto-reportada [B-10]</w:t>
            </w:r>
          </w:p>
        </w:tc>
        <w:tc>
          <w:tcPr>
            <w:tcW w:w="311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intensity-tier.constant.ts</w:t>
            </w:r>
            <w:r>
              <w:rPr/>
              <w:t xml:space="preserve">; </w:t>
            </w:r>
            <w:r>
              <w:rPr>
                <w:rStyle w:val="SourceText"/>
              </w:rPr>
              <w:t>mobile/lib/core/clinical/clinical_intensity_tier.dart</w:t>
            </w:r>
            <w:r>
              <w:rPr/>
              <w:t xml:space="preserve">; </w:t>
            </w:r>
            <w:r>
              <w:rPr>
                <w:rStyle w:val="SourceText"/>
              </w:rPr>
              <w:t>intensity_meter.dart</w:t>
            </w:r>
          </w:p>
        </w:tc>
        <w:tc>
          <w:tcPr>
            <w:tcW w:w="622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ClinicalIntensityTier</w:t>
            </w:r>
            <w:r>
              <w:rPr/>
              <w:t xml:space="preserve"> pasa a </w:t>
            </w:r>
            <w:r>
              <w:rPr>
                <w:rStyle w:val="SourceText"/>
              </w:rPr>
              <w:t>SelfReportedIntensityBand</w:t>
            </w:r>
            <w:r>
              <w:rPr/>
              <w:t xml:space="preserve">; se quita </w:t>
            </w:r>
            <w:r>
              <w:rPr>
                <w:rStyle w:val="SourceText"/>
              </w:rPr>
              <w:t>isCritical</w:t>
            </w:r>
            <w:r>
              <w:rPr/>
              <w:t>. Textos: "Intensidade que você informou".</w:t>
            </w:r>
          </w:p>
        </w:tc>
      </w:tr>
      <w:tr>
        <w:trPr/>
        <w:tc>
          <w:tcPr>
            <w:tcW w:w="199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Recurrencia "crítica" [B-11]</w:t>
            </w:r>
          </w:p>
        </w:tc>
        <w:tc>
          <w:tcPr>
            <w:tcW w:w="311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triage-history.service.ts:423-500</w:t>
            </w:r>
            <w:r>
              <w:rPr/>
              <w:t xml:space="preserve">; </w:t>
            </w:r>
            <w:r>
              <w:rPr>
                <w:rStyle w:val="SourceText"/>
              </w:rPr>
              <w:t>critical_recurrence_card.dart</w:t>
            </w:r>
          </w:p>
        </w:tc>
        <w:tc>
          <w:tcPr>
            <w:tcW w:w="622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Se convierte en el insight </w:t>
            </w:r>
            <w:r>
              <w:rPr>
                <w:rStyle w:val="Strong"/>
              </w:rPr>
              <w:t>"Padrões nos seus registros"</w:t>
            </w:r>
            <w:r>
              <w:rPr/>
              <w:t xml:space="preserve">, con texto descriptivo y sin juicio clínico. </w:t>
            </w:r>
            <w:r>
              <w:rPr>
                <w:rStyle w:val="SourceText"/>
              </w:rPr>
              <w:t>CriticalRecurrenceDto</w:t>
            </w:r>
            <w:r>
              <w:rPr/>
              <w:t xml:space="preserve"> pasa a </w:t>
            </w:r>
            <w:r>
              <w:rPr>
                <w:rStyle w:val="SourceText"/>
              </w:rPr>
              <w:t>JournalPatternDto</w:t>
            </w:r>
            <w:r>
              <w:rPr/>
              <w:t>.</w:t>
            </w:r>
          </w:p>
        </w:tc>
      </w:tr>
      <w:tr>
        <w:trPr/>
        <w:tc>
          <w:tcPr>
            <w:tcW w:w="199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Antiburla [B-12]</w:t>
            </w:r>
          </w:p>
        </w:tc>
        <w:tc>
          <w:tcPr>
            <w:tcW w:w="311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antiburla.service.ts</w:t>
            </w:r>
            <w:r>
              <w:rPr/>
              <w:t xml:space="preserve">; </w:t>
            </w:r>
            <w:r>
              <w:rPr>
                <w:rStyle w:val="SourceText"/>
              </w:rPr>
              <w:t>.arb</w:t>
            </w:r>
            <w:r>
              <w:rPr/>
              <w:t xml:space="preserve"> </w:t>
            </w:r>
            <w:r>
              <w:rPr>
                <w:rStyle w:val="SourceText"/>
              </w:rPr>
              <w:t>antiburla*</w:t>
            </w:r>
          </w:p>
        </w:tc>
        <w:tc>
          <w:tcPr>
            <w:tcW w:w="622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Se mantiene como consistencia del diario. Copy: "Isso já apareceu antes?". Renombrar internamente a </w:t>
            </w:r>
            <w:r>
              <w:rPr>
                <w:rStyle w:val="SourceText"/>
              </w:rPr>
              <w:t>RecurrenceCheck</w:t>
            </w:r>
            <w:r>
              <w:rPr/>
              <w:t>.</w:t>
            </w:r>
          </w:p>
        </w:tc>
      </w:tr>
      <w:tr>
        <w:trPr/>
        <w:tc>
          <w:tcPr>
            <w:tcW w:w="1992"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Regla por sexo biológico [B-13]</w:t>
            </w:r>
          </w:p>
        </w:tc>
        <w:tc>
          <w:tcPr>
            <w:tcW w:w="3119"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antiburla.service.ts:36-48</w:t>
            </w:r>
          </w:p>
        </w:tc>
        <w:tc>
          <w:tcPr>
            <w:tcW w:w="622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Eliminar.</w:t>
            </w:r>
            <w:r>
              <w:rPr/>
              <w:t xml:space="preserve"> Hoy "redirige la evaluación" por discordancia anatómica, lo que es juicio clínico y tiene riesgo de discriminación (LGPD Art. 6 IX).</w:t>
            </w:r>
          </w:p>
        </w:tc>
      </w:tr>
      <w:tr>
        <w:trPr/>
        <w:tc>
          <w:tcPr>
            <w:tcW w:w="1992"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Paso 5 del wizard [B-18]</w:t>
            </w:r>
          </w:p>
        </w:tc>
        <w:tc>
          <w:tcPr>
            <w:tcW w:w="3119"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wizard</w:t>
            </w:r>
          </w:p>
        </w:tc>
        <w:tc>
          <w:tcPr>
            <w:tcW w:w="6228"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"Desfecho/Ação" → </w:t>
            </w:r>
            <w:r>
              <w:rPr>
                <w:rStyle w:val="Strong"/>
              </w:rPr>
              <w:t>"Revisar e salvar seu registro"</w:t>
            </w:r>
            <w:r>
              <w:rPr/>
              <w:t>.</w:t>
            </w:r>
          </w:p>
        </w:tc>
      </w:tr>
    </w:tbl>
    <w:p>
      <w:pPr>
        <w:pStyle w:val="BodyText"/>
        <w:bidi w:val="0"/>
        <w:rPr/>
      </w:pPr>
      <w:r>
        <w:rPr>
          <w:rStyle w:val="Strong"/>
        </w:rPr>
        <w:t>Aceptación:</w:t>
      </w:r>
    </w:p>
    <w:p>
      <w:pPr>
        <w:pStyle w:val="BodyText"/>
        <w:numPr>
          <w:ilvl w:val="0"/>
          <w:numId w:val="6"/>
        </w:numPr>
        <w:tabs>
          <w:tab w:val="clear" w:pos="1134"/>
          <w:tab w:val="left" w:pos="709" w:leader="none"/>
        </w:tabs>
        <w:bidi w:val="0"/>
        <w:spacing w:before="0" w:after="0"/>
        <w:ind w:hanging="283" w:left="709"/>
        <w:rPr/>
      </w:pPr>
      <w:r>
        <w:rPr/>
        <w:t xml:space="preserve">Las respuestas de </w:t>
      </w:r>
      <w:r>
        <w:rPr>
          <w:rStyle w:val="SourceText"/>
        </w:rPr>
        <w:t>/v1/journal/</w:t>
      </w:r>
      <w:r>
        <w:rPr>
          <w:rStyle w:val="Emphasis"/>
        </w:rPr>
        <w:t xml:space="preserve"> (o </w:t>
      </w:r>
      <w:r>
        <w:rPr>
          <w:rStyle w:val="Emphasis"/>
        </w:rPr>
        <w:t>/v1/triage/</w:t>
      </w:r>
      <w:r>
        <w:rPr/>
        <w:t xml:space="preserve"> durante la transición) no contienen </w:t>
      </w:r>
      <w:r>
        <w:rPr>
          <w:rStyle w:val="SourceText"/>
        </w:rPr>
        <w:t>careDisposition</w:t>
      </w:r>
      <w:r>
        <w:rPr/>
        <w:t xml:space="preserve">, </w:t>
      </w:r>
      <w:r>
        <w:rPr>
          <w:rStyle w:val="SourceText"/>
        </w:rPr>
        <w:t>urgency</w:t>
      </w:r>
      <w:r>
        <w:rPr/>
        <w:t xml:space="preserve">, </w:t>
      </w:r>
      <w:r>
        <w:rPr>
          <w:rStyle w:val="SourceText"/>
        </w:rPr>
        <w:t>isCritical</w:t>
      </w:r>
      <w:r>
        <w:rPr/>
        <w:t xml:space="preserve"> ni </w:t>
      </w:r>
      <w:r>
        <w:rPr>
          <w:rStyle w:val="SourceText"/>
        </w:rPr>
        <w:t>organicPrimacy</w:t>
      </w:r>
      <w:r>
        <w:rPr/>
        <w:t>.</w:t>
      </w:r>
    </w:p>
    <w:p>
      <w:pPr>
        <w:pStyle w:val="BodyText"/>
        <w:numPr>
          <w:ilvl w:val="0"/>
          <w:numId w:val="6"/>
        </w:numPr>
        <w:tabs>
          <w:tab w:val="clear" w:pos="1134"/>
          <w:tab w:val="left" w:pos="709" w:leader="none"/>
        </w:tabs>
        <w:bidi w:val="0"/>
        <w:ind w:hanging="283" w:left="709"/>
        <w:rPr/>
      </w:pPr>
      <w:r>
        <w:rPr/>
        <w:t>Hay un test de contrato que lo verifica.</w:t>
      </w:r>
    </w:p>
    <w:p>
      <w:pPr>
        <w:pStyle w:val="Heading3"/>
        <w:bidi w:val="0"/>
        <w:rPr/>
      </w:pPr>
      <w:r>
        <w:rPr/>
        <w:t>F5. Inteligencia artificial — M</w:t>
      </w:r>
    </w:p>
    <w:tbl>
      <w:tblPr>
        <w:tblW w:w="5000" w:type="pct"/>
        <w:jc w:val="left"/>
        <w:tblInd w:w="75" w:type="dxa"/>
        <w:tblLayout w:type="fixed"/>
        <w:tblCellMar>
          <w:top w:w="75" w:type="dxa"/>
          <w:left w:w="75" w:type="dxa"/>
          <w:bottom w:w="75" w:type="dxa"/>
          <w:right w:w="75" w:type="dxa"/>
        </w:tblCellMar>
      </w:tblPr>
      <w:tblGrid>
        <w:gridCol w:w="1857"/>
        <w:gridCol w:w="3518"/>
        <w:gridCol w:w="5964"/>
      </w:tblGrid>
      <w:tr>
        <w:trPr>
          <w:tblHeader w:val="true"/>
        </w:trPr>
        <w:tc>
          <w:tcPr>
            <w:tcW w:w="1857"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w:t>
            </w:r>
          </w:p>
        </w:tc>
        <w:tc>
          <w:tcPr>
            <w:tcW w:w="3518"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Dónde</w:t>
            </w:r>
          </w:p>
        </w:tc>
        <w:tc>
          <w:tcPr>
            <w:tcW w:w="5964"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Detalle</w:t>
            </w:r>
          </w:p>
        </w:tc>
      </w:tr>
      <w:tr>
        <w:trPr/>
        <w:tc>
          <w:tcPr>
            <w:tcW w:w="185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Nuevo esquema de respuesta [B-05]</w:t>
            </w:r>
          </w:p>
        </w:tc>
        <w:tc>
          <w:tcPr>
            <w:tcW w:w="35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backend/src/modules/ai/services/ai-triage.service.ts:34-54</w:t>
            </w:r>
          </w:p>
        </w:tc>
        <w:tc>
          <w:tcPr>
            <w:tcW w:w="59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 isOffTopic, vertical, bodyAreaOrMood, layTerm, mentionsSelfHarm }</w:t>
            </w:r>
            <w:r>
              <w:rPr/>
              <w:t xml:space="preserve">. Se eliminan </w:t>
            </w:r>
            <w:r>
              <w:rPr>
                <w:rStyle w:val="SourceText"/>
              </w:rPr>
              <w:t>urgencyScore</w:t>
            </w:r>
            <w:r>
              <w:rPr/>
              <w:t xml:space="preserve">, </w:t>
            </w:r>
            <w:r>
              <w:rPr>
                <w:rStyle w:val="SourceText"/>
              </w:rPr>
              <w:t>clinicalConcept</w:t>
            </w:r>
            <w:r>
              <w:rPr/>
              <w:t xml:space="preserve"> e </w:t>
            </w:r>
            <w:r>
              <w:rPr>
                <w:rStyle w:val="SourceText"/>
              </w:rPr>
              <w:t>isEmergencyCandidate</w:t>
            </w:r>
            <w:r>
              <w:rPr/>
              <w:t>.</w:t>
            </w:r>
          </w:p>
        </w:tc>
      </w:tr>
      <w:tr>
        <w:trPr/>
        <w:tc>
          <w:tcPr>
            <w:tcW w:w="185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Nuevo prompt [B-06]</w:t>
            </w:r>
          </w:p>
        </w:tc>
        <w:tc>
          <w:tcPr>
            <w:tcW w:w="35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ai-triage.service.ts:111-120</w:t>
            </w:r>
          </w:p>
        </w:tc>
        <w:tc>
          <w:tcPr>
            <w:tcW w:w="59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Prompt de "etiquetado de diario": identificar área o emoción y el término usado, </w:t>
            </w:r>
            <w:r>
              <w:rPr>
                <w:rStyle w:val="Strong"/>
              </w:rPr>
              <w:t>sin</w:t>
            </w:r>
            <w:r>
              <w:rPr/>
              <w:t xml:space="preserve"> evaluar gravedad, diagnosticar ni sugerir conducta. El texto del usuario va como contenido separado, no interpolado (mitiga </w:t>
            </w:r>
            <w:r>
              <w:rPr>
                <w:rStyle w:val="Emphasis"/>
              </w:rPr>
              <w:t>prompt injection</w:t>
            </w:r>
            <w:r>
              <w:rPr/>
              <w:t>).</w:t>
            </w:r>
          </w:p>
        </w:tc>
      </w:tr>
      <w:tr>
        <w:trPr/>
        <w:tc>
          <w:tcPr>
            <w:tcW w:w="185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Base de conocimiento [B-07, B-08]</w:t>
            </w:r>
          </w:p>
        </w:tc>
        <w:tc>
          <w:tcPr>
            <w:tcW w:w="35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symptom-knowledge.schema.ts</w:t>
            </w:r>
            <w:r>
              <w:rPr/>
              <w:t xml:space="preserve"> (</w:t>
            </w:r>
            <w:r>
              <w:rPr>
                <w:rStyle w:val="SourceText"/>
              </w:rPr>
              <w:t>urgency_score</w:t>
            </w:r>
            <w:r>
              <w:rPr/>
              <w:t xml:space="preserve">, </w:t>
            </w:r>
            <w:r>
              <w:rPr>
                <w:rStyle w:val="SourceText"/>
              </w:rPr>
              <w:t>clinical_concept</w:t>
            </w:r>
            <w:r>
              <w:rPr/>
              <w:t xml:space="preserve">, </w:t>
            </w:r>
            <w:r>
              <w:rPr>
                <w:rStyle w:val="SourceText"/>
              </w:rPr>
              <w:t>is_emergency_candidate</w:t>
            </w:r>
            <w:r>
              <w:rPr/>
              <w:t xml:space="preserve">); </w:t>
            </w:r>
            <w:r>
              <w:rPr>
                <w:rStyle w:val="SourceText"/>
              </w:rPr>
              <w:t>symptom-knowledge.seed.ts</w:t>
            </w:r>
          </w:p>
        </w:tc>
        <w:tc>
          <w:tcPr>
            <w:tcW w:w="59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Migración: eliminar esas columnas o dejar de usarlas, y limpiar el seed. </w:t>
            </w:r>
            <w:r>
              <w:rPr>
                <w:rStyle w:val="Strong"/>
              </w:rPr>
              <w:t>Verificar además</w:t>
            </w:r>
            <w:r>
              <w:rPr/>
              <w:t xml:space="preserve"> que </w:t>
            </w:r>
            <w:r>
              <w:rPr>
                <w:rStyle w:val="SourceText"/>
              </w:rPr>
              <w:t>input_text</w:t>
            </w:r>
            <w:r>
              <w:rPr/>
              <w:t xml:space="preserve"> no guarde texto literal de usuarios en una tabla compartida entre usuarios. Si lo hace, guardar solo términos normalizados (minimización).</w:t>
            </w:r>
          </w:p>
        </w:tc>
      </w:tr>
      <w:tr>
        <w:trPr/>
        <w:tc>
          <w:tcPr>
            <w:tcW w:w="185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Tarjeta de IA en la app [B-16]</w:t>
            </w:r>
          </w:p>
        </w:tc>
        <w:tc>
          <w:tcPr>
            <w:tcW w:w="35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ai_insight_card.dart</w:t>
            </w:r>
          </w:p>
        </w:tc>
        <w:tc>
          <w:tcPr>
            <w:tcW w:w="596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"Informação Clínica Complementar" pasa a </w:t>
            </w:r>
            <w:r>
              <w:rPr>
                <w:rStyle w:val="Strong"/>
              </w:rPr>
              <w:t>"Como organizamos sua anotação"</w:t>
            </w:r>
            <w:r>
              <w:rPr/>
              <w:t xml:space="preserve">. Muestra </w:t>
            </w:r>
            <w:r>
              <w:rPr>
                <w:rStyle w:val="SourceText"/>
              </w:rPr>
              <w:t>layTerm</w:t>
            </w:r>
            <w:r>
              <w:rPr/>
              <w:t xml:space="preserve"> y el área, nunca un concepto médico.</w:t>
            </w:r>
          </w:p>
        </w:tc>
      </w:tr>
      <w:tr>
        <w:trPr/>
        <w:tc>
          <w:tcPr>
            <w:tcW w:w="185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Renombrar servicio [D-07]</w:t>
            </w:r>
          </w:p>
        </w:tc>
        <w:tc>
          <w:tcPr>
            <w:tcW w:w="351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AiTriageService</w:t>
            </w:r>
            <w:r>
              <w:rPr/>
              <w:t xml:space="preserve"> → </w:t>
            </w:r>
            <w:r>
              <w:rPr>
                <w:rStyle w:val="SourceText"/>
              </w:rPr>
              <w:t>AiTaggingService</w:t>
            </w:r>
            <w:r>
              <w:rPr/>
              <w:t xml:space="preserve">; endpoint </w:t>
            </w:r>
            <w:r>
              <w:rPr>
                <w:rStyle w:val="SourceText"/>
              </w:rPr>
              <w:t>/v1/ai/classify-symptom</w:t>
            </w:r>
            <w:r>
              <w:rPr/>
              <w:t xml:space="preserve"> → </w:t>
            </w:r>
            <w:r>
              <w:rPr>
                <w:rStyle w:val="SourceText"/>
              </w:rPr>
              <w:t>/v1/ai/tag-entry</w:t>
            </w:r>
            <w:r>
              <w:rPr/>
              <w:t xml:space="preserve"> (con alias)</w:t>
            </w:r>
          </w:p>
        </w:tc>
        <w:tc>
          <w:tcPr>
            <w:tcW w:w="5964" w:type="dxa"/>
            <w:tcBorders>
              <w:left w:val="single" w:sz="2" w:space="0" w:color="CBD5E1"/>
              <w:bottom w:val="single" w:sz="2" w:space="0" w:color="CBD5E1"/>
              <w:right w:val="single" w:sz="6" w:space="0" w:color="CBD5E1"/>
            </w:tcBorders>
            <w:vAlign w:val="center"/>
          </w:tcPr>
          <w:p>
            <w:pPr>
              <w:pStyle w:val="TableContents"/>
              <w:bidi w:val="0"/>
              <w:spacing w:before="0" w:after="283"/>
              <w:rPr>
                <w:sz w:val="4"/>
                <w:szCs w:val="4"/>
              </w:rPr>
            </w:pPr>
            <w:r>
              <w:rPr>
                <w:sz w:val="4"/>
                <w:szCs w:val="4"/>
              </w:rPr>
            </w:r>
          </w:p>
        </w:tc>
      </w:tr>
      <w:tr>
        <w:trPr/>
        <w:tc>
          <w:tcPr>
            <w:tcW w:w="1857"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Proveedor y residencia (ver F9)</w:t>
            </w:r>
          </w:p>
        </w:tc>
        <w:tc>
          <w:tcPr>
            <w:tcW w:w="3518"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ourceText"/>
              </w:rPr>
              <w:t>backend/src/common/ai/gemini.service.ts</w:t>
            </w:r>
          </w:p>
        </w:tc>
        <w:tc>
          <w:tcPr>
            <w:tcW w:w="5964"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Hoy usa </w:t>
            </w:r>
            <w:r>
              <w:rPr>
                <w:rStyle w:val="Strong"/>
              </w:rPr>
              <w:t>Gemini Developer API por API key</w:t>
            </w:r>
            <w:r>
              <w:rPr/>
              <w:t xml:space="preserve"> (</w:t>
            </w:r>
            <w:r>
              <w:rPr>
                <w:rStyle w:val="SourceText"/>
              </w:rPr>
              <w:t>gemini-2.5-flash</w:t>
            </w:r>
            <w:r>
              <w:rPr/>
              <w:t>), no Vertex AI en São Paulo.</w:t>
            </w:r>
          </w:p>
        </w:tc>
      </w:tr>
    </w:tbl>
    <w:p>
      <w:pPr>
        <w:pStyle w:val="BodyText"/>
        <w:bidi w:val="0"/>
        <w:rPr/>
      </w:pPr>
      <w:r>
        <w:rPr>
          <w:rStyle w:val="Strong"/>
        </w:rPr>
        <w:t>Aceptación:</w:t>
      </w:r>
    </w:p>
    <w:p>
      <w:pPr>
        <w:pStyle w:val="BodyText"/>
        <w:numPr>
          <w:ilvl w:val="0"/>
          <w:numId w:val="7"/>
        </w:numPr>
        <w:tabs>
          <w:tab w:val="clear" w:pos="1134"/>
          <w:tab w:val="left" w:pos="709" w:leader="none"/>
        </w:tabs>
        <w:bidi w:val="0"/>
        <w:spacing w:before="0" w:after="0"/>
        <w:ind w:hanging="283" w:left="709"/>
        <w:rPr/>
      </w:pPr>
      <w:r>
        <w:rPr/>
        <w:t>El JSON Schema del modelo no tiene campos de urgencia ni de concepto médico.</w:t>
      </w:r>
    </w:p>
    <w:p>
      <w:pPr>
        <w:pStyle w:val="BodyText"/>
        <w:numPr>
          <w:ilvl w:val="0"/>
          <w:numId w:val="7"/>
        </w:numPr>
        <w:tabs>
          <w:tab w:val="clear" w:pos="1134"/>
          <w:tab w:val="left" w:pos="709" w:leader="none"/>
        </w:tabs>
        <w:bidi w:val="0"/>
        <w:ind w:hanging="283" w:left="709"/>
        <w:rPr/>
      </w:pPr>
      <w:r>
        <w:rPr/>
        <w:t>La batería de pruebas de IA mide calidad del etiquetado, no concordancia clínica.</w:t>
      </w:r>
    </w:p>
    <w:p>
      <w:pPr>
        <w:pStyle w:val="Heading3"/>
        <w:bidi w:val="0"/>
        <w:rPr/>
      </w:pPr>
      <w:r>
        <w:rPr/>
        <w:t>F6. Modelo de datos, API y compatibilidad — L</w:t>
      </w:r>
    </w:p>
    <w:tbl>
      <w:tblPr>
        <w:tblW w:w="5000" w:type="pct"/>
        <w:jc w:val="left"/>
        <w:tblInd w:w="75" w:type="dxa"/>
        <w:tblLayout w:type="fixed"/>
        <w:tblCellMar>
          <w:top w:w="75" w:type="dxa"/>
          <w:left w:w="75" w:type="dxa"/>
          <w:bottom w:w="75" w:type="dxa"/>
          <w:right w:w="75" w:type="dxa"/>
        </w:tblCellMar>
      </w:tblPr>
      <w:tblGrid>
        <w:gridCol w:w="2555"/>
        <w:gridCol w:w="8784"/>
      </w:tblGrid>
      <w:tr>
        <w:trPr>
          <w:tblHeader w:val="true"/>
        </w:trPr>
        <w:tc>
          <w:tcPr>
            <w:tcW w:w="2555"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w:t>
            </w:r>
          </w:p>
        </w:tc>
        <w:tc>
          <w:tcPr>
            <w:tcW w:w="8784"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Detalle</w:t>
            </w:r>
          </w:p>
        </w:tc>
      </w:tr>
      <w:tr>
        <w:trPr/>
        <w:tc>
          <w:tcPr>
            <w:tcW w:w="255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 xml:space="preserve">Migración </w:t>
            </w:r>
            <w:r>
              <w:rPr>
                <w:rStyle w:val="SourceText"/>
              </w:rPr>
              <w:t>0015_wellness_repositioning.sql</w:t>
            </w:r>
          </w:p>
        </w:tc>
        <w:tc>
          <w:tcPr>
            <w:tcW w:w="878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(a) </w:t>
            </w:r>
            <w:r>
              <w:rPr>
                <w:rStyle w:val="SourceText"/>
              </w:rPr>
              <w:t>symptom_logs</w:t>
            </w:r>
            <w:r>
              <w:rPr/>
              <w:t xml:space="preserve">: dejar de escribir </w:t>
            </w:r>
            <w:r>
              <w:rPr>
                <w:rStyle w:val="SourceText"/>
              </w:rPr>
              <w:t>disposition</w:t>
            </w:r>
            <w:r>
              <w:rPr/>
              <w:t xml:space="preserve"> y </w:t>
            </w:r>
            <w:r>
              <w:rPr>
                <w:rStyle w:val="SourceText"/>
              </w:rPr>
              <w:t>organic_primacy_applied</w:t>
            </w:r>
            <w:r>
              <w:rPr/>
              <w:t xml:space="preserve">. Se conservan solo para la exportación LGPD de datos históricos, marcados como </w:t>
            </w:r>
            <w:r>
              <w:rPr>
                <w:rStyle w:val="SourceText"/>
              </w:rPr>
              <w:t>legacy</w:t>
            </w:r>
            <w:r>
              <w:rPr/>
              <w:t xml:space="preserve">, y se eliminan tras definir la política de retención. (b) </w:t>
            </w:r>
            <w:r>
              <w:rPr>
                <w:rStyle w:val="SourceText"/>
              </w:rPr>
              <w:t>triage_emergency_events</w:t>
            </w:r>
            <w:r>
              <w:rPr/>
              <w:t xml:space="preserve"> → </w:t>
            </w:r>
            <w:r>
              <w:rPr>
                <w:rStyle w:val="SourceText"/>
              </w:rPr>
              <w:t>safety_resource_events</w:t>
            </w:r>
            <w:r>
              <w:rPr/>
              <w:t xml:space="preserve"> con columnas mínimas. (c) </w:t>
            </w:r>
            <w:r>
              <w:rPr>
                <w:rStyle w:val="SourceText"/>
              </w:rPr>
              <w:t>symptom_knowledge</w:t>
            </w:r>
            <w:r>
              <w:rPr/>
              <w:t>: quitar las columnas clínicas.</w:t>
            </w:r>
          </w:p>
        </w:tc>
      </w:tr>
      <w:tr>
        <w:trPr/>
        <w:tc>
          <w:tcPr>
            <w:tcW w:w="255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Rutas de la API [I-01]</w:t>
            </w:r>
          </w:p>
        </w:tc>
        <w:tc>
          <w:tcPr>
            <w:tcW w:w="878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/v1/triage/</w:t>
            </w:r>
            <w:r>
              <w:rPr>
                <w:rStyle w:val="Emphasis"/>
              </w:rPr>
              <w:t xml:space="preserve"> → </w:t>
            </w:r>
            <w:r>
              <w:rPr>
                <w:rStyle w:val="Emphasis"/>
              </w:rPr>
              <w:t>/v1/journal/</w:t>
            </w:r>
            <w:r>
              <w:rPr/>
              <w:t xml:space="preserve">; </w:t>
            </w:r>
            <w:r>
              <w:rPr>
                <w:rStyle w:val="SourceText"/>
              </w:rPr>
              <w:t>/v1/triage/emergency-event</w:t>
            </w:r>
            <w:r>
              <w:rPr/>
              <w:t xml:space="preserve"> → </w:t>
            </w:r>
            <w:r>
              <w:rPr>
                <w:rStyle w:val="SourceText"/>
              </w:rPr>
              <w:t>/v1/journal/safety-event</w:t>
            </w:r>
            <w:r>
              <w:rPr/>
              <w:t xml:space="preserve">; </w:t>
            </w:r>
            <w:r>
              <w:rPr>
                <w:rStyle w:val="SourceText"/>
              </w:rPr>
              <w:t>/v1/ai/classify-symptom</w:t>
            </w:r>
            <w:r>
              <w:rPr/>
              <w:t xml:space="preserve"> → </w:t>
            </w:r>
            <w:r>
              <w:rPr>
                <w:rStyle w:val="SourceText"/>
              </w:rPr>
              <w:t>/v1/ai/tag-entry</w:t>
            </w:r>
            <w:r>
              <w:rPr/>
              <w:t xml:space="preserve">. Las rutas viejas quedan como </w:t>
            </w:r>
            <w:r>
              <w:rPr>
                <w:rStyle w:val="Strong"/>
              </w:rPr>
              <w:t>alias</w:t>
            </w:r>
            <w:r>
              <w:rPr/>
              <w:t xml:space="preserve"> durante 2 versiones de la app.</w:t>
            </w:r>
          </w:p>
        </w:tc>
      </w:tr>
      <w:tr>
        <w:trPr/>
        <w:tc>
          <w:tcPr>
            <w:tcW w:w="255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Rutas de la app [I-02]</w:t>
            </w:r>
          </w:p>
        </w:tc>
        <w:tc>
          <w:tcPr>
            <w:tcW w:w="878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/triage</w:t>
            </w:r>
            <w:r>
              <w:rPr/>
              <w:t xml:space="preserve"> → </w:t>
            </w:r>
            <w:r>
              <w:rPr>
                <w:rStyle w:val="SourceText"/>
              </w:rPr>
              <w:t>/checkin</w:t>
            </w:r>
            <w:r>
              <w:rPr/>
              <w:t xml:space="preserve">; </w:t>
            </w:r>
            <w:r>
              <w:rPr>
                <w:rStyle w:val="SourceText"/>
              </w:rPr>
              <w:t>/triage-outcome</w:t>
            </w:r>
            <w:r>
              <w:rPr/>
              <w:t xml:space="preserve"> → </w:t>
            </w:r>
            <w:r>
              <w:rPr>
                <w:rStyle w:val="SourceText"/>
              </w:rPr>
              <w:t>/checkin-summary</w:t>
            </w:r>
            <w:r>
              <w:rPr/>
              <w:t>. Quitar "Sintomas autolimitados" (</w:t>
            </w:r>
            <w:r>
              <w:rPr>
                <w:rStyle w:val="SourceText"/>
              </w:rPr>
              <w:t>app_router.dart:154</w:t>
            </w:r>
            <w:r>
              <w:rPr/>
              <w:t>).</w:t>
            </w:r>
          </w:p>
        </w:tc>
      </w:tr>
      <w:tr>
        <w:trPr/>
        <w:tc>
          <w:tcPr>
            <w:tcW w:w="255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Modelos en la app [I-03, I-04]</w:t>
            </w:r>
          </w:p>
        </w:tc>
        <w:tc>
          <w:tcPr>
            <w:tcW w:w="878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Eliminar </w:t>
            </w:r>
            <w:r>
              <w:rPr>
                <w:rStyle w:val="SourceText"/>
              </w:rPr>
              <w:t>CareDisposition</w:t>
            </w:r>
            <w:r>
              <w:rPr/>
              <w:t xml:space="preserve">, </w:t>
            </w:r>
            <w:r>
              <w:rPr>
                <w:rStyle w:val="SourceText"/>
              </w:rPr>
              <w:t>aiClinicalConcept</w:t>
            </w:r>
            <w:r>
              <w:rPr/>
              <w:t xml:space="preserve">, </w:t>
            </w:r>
            <w:r>
              <w:rPr>
                <w:rStyle w:val="SourceText"/>
              </w:rPr>
              <w:t>urgencyScore</w:t>
            </w:r>
            <w:r>
              <w:rPr/>
              <w:t xml:space="preserve"> e </w:t>
            </w:r>
            <w:r>
              <w:rPr>
                <w:rStyle w:val="SourceText"/>
              </w:rPr>
              <w:t>isEmergencyCandidate</w:t>
            </w:r>
            <w:r>
              <w:rPr/>
              <w:t xml:space="preserve"> de </w:t>
            </w:r>
            <w:r>
              <w:rPr>
                <w:rStyle w:val="SourceText"/>
              </w:rPr>
              <w:t>triage_outcome_models.dart</w:t>
            </w:r>
            <w:r>
              <w:rPr/>
              <w:t xml:space="preserve"> y </w:t>
            </w:r>
            <w:r>
              <w:rPr>
                <w:rStyle w:val="SourceText"/>
              </w:rPr>
              <w:t>symptom_classification.dart</w:t>
            </w:r>
            <w:r>
              <w:rPr/>
              <w:t>.</w:t>
            </w:r>
          </w:p>
        </w:tc>
      </w:tr>
      <w:tr>
        <w:trPr/>
        <w:tc>
          <w:tcPr>
            <w:tcW w:w="255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Versiones viejas de la app</w:t>
            </w:r>
          </w:p>
        </w:tc>
        <w:tc>
          <w:tcPr>
            <w:tcW w:w="878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Las versiones publicadas esperan </w:t>
            </w:r>
            <w:r>
              <w:rPr>
                <w:rStyle w:val="SourceText"/>
              </w:rPr>
              <w:t>careDisposition</w:t>
            </w:r>
            <w:r>
              <w:rPr/>
              <w:t xml:space="preserve">. </w:t>
            </w:r>
            <w:r>
              <w:rPr>
                <w:rStyle w:val="Strong"/>
              </w:rPr>
              <w:t>No hay mecanismo de versión mínima</w:t>
            </w:r>
            <w:r>
              <w:rPr/>
              <w:t xml:space="preserve"> en el código actual, así que hay que crearlo: el backend responde con la versión mínima soportada y la app vieja muestra "actualizar". Hasta que la versión nueva sea obligatoria, la API devuelve </w:t>
            </w:r>
            <w:r>
              <w:rPr>
                <w:rStyle w:val="SourceText"/>
              </w:rPr>
              <w:t>careDisposition: null</w:t>
            </w:r>
            <w:r>
              <w:rPr/>
              <w:t>, y hay que verificar que la versión actual lo tolere sin errores.</w:t>
            </w:r>
          </w:p>
        </w:tc>
      </w:tr>
      <w:tr>
        <w:trPr/>
        <w:tc>
          <w:tcPr>
            <w:tcW w:w="2555"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Base local (Drift)</w:t>
            </w:r>
          </w:p>
        </w:tc>
        <w:tc>
          <w:tcPr>
            <w:tcW w:w="8784"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Schema v5 si hace falta quitar campos de disposición del outbox.</w:t>
            </w:r>
          </w:p>
        </w:tc>
      </w:tr>
    </w:tbl>
    <w:p>
      <w:pPr>
        <w:pStyle w:val="BodyText"/>
        <w:bidi w:val="0"/>
        <w:rPr/>
      </w:pPr>
      <w:r>
        <w:rPr>
          <w:rStyle w:val="Strong"/>
        </w:rPr>
        <w:t>Aceptación:</w:t>
      </w:r>
    </w:p>
    <w:p>
      <w:pPr>
        <w:pStyle w:val="BodyText"/>
        <w:numPr>
          <w:ilvl w:val="0"/>
          <w:numId w:val="8"/>
        </w:numPr>
        <w:tabs>
          <w:tab w:val="clear" w:pos="1134"/>
          <w:tab w:val="left" w:pos="709" w:leader="none"/>
        </w:tabs>
        <w:bidi w:val="0"/>
        <w:spacing w:before="0" w:after="0"/>
        <w:ind w:hanging="283" w:left="709"/>
        <w:rPr/>
      </w:pPr>
      <w:r>
        <w:rPr/>
        <w:t>La migración es idempotente y está probada sobre una copia de producción en staging.</w:t>
      </w:r>
    </w:p>
    <w:p>
      <w:pPr>
        <w:pStyle w:val="BodyText"/>
        <w:numPr>
          <w:ilvl w:val="0"/>
          <w:numId w:val="8"/>
        </w:numPr>
        <w:tabs>
          <w:tab w:val="clear" w:pos="1134"/>
          <w:tab w:val="left" w:pos="709" w:leader="none"/>
        </w:tabs>
        <w:bidi w:val="0"/>
        <w:spacing w:before="0" w:after="0"/>
        <w:ind w:hanging="283" w:left="709"/>
        <w:rPr/>
      </w:pPr>
      <w:r>
        <w:rPr/>
        <w:t>Las versiones viejas de la app siguen funcionando o muestran "actualizar".</w:t>
      </w:r>
    </w:p>
    <w:p>
      <w:pPr>
        <w:pStyle w:val="BodyText"/>
        <w:numPr>
          <w:ilvl w:val="0"/>
          <w:numId w:val="8"/>
        </w:numPr>
        <w:tabs>
          <w:tab w:val="clear" w:pos="1134"/>
          <w:tab w:val="left" w:pos="709" w:leader="none"/>
        </w:tabs>
        <w:bidi w:val="0"/>
        <w:ind w:hanging="283" w:left="709"/>
        <w:rPr/>
      </w:pPr>
      <w:r>
        <w:rPr>
          <w:rStyle w:val="SourceText"/>
        </w:rPr>
        <w:t>test:rls</w:t>
      </w:r>
      <w:r>
        <w:rPr/>
        <w:t xml:space="preserve"> está en verde.</w:t>
      </w:r>
    </w:p>
    <w:p>
      <w:pPr>
        <w:pStyle w:val="Heading3"/>
        <w:bidi w:val="0"/>
        <w:rPr/>
      </w:pPr>
      <w:r>
        <w:rPr/>
        <w:t>F7. Documentación interna y agentes — M</w:t>
      </w:r>
    </w:p>
    <w:p>
      <w:pPr>
        <w:pStyle w:val="BodyText"/>
        <w:bidi w:val="0"/>
        <w:rPr/>
      </w:pPr>
      <w:r>
        <w:rPr/>
        <w:t>Estos documentos también cuentan como evidencia de uso previsto (MDR Art. 2(12), FDA "objective intent").</w:t>
      </w:r>
    </w:p>
    <w:tbl>
      <w:tblPr>
        <w:tblW w:w="5000" w:type="pct"/>
        <w:jc w:val="left"/>
        <w:tblInd w:w="75" w:type="dxa"/>
        <w:tblLayout w:type="fixed"/>
        <w:tblCellMar>
          <w:top w:w="75" w:type="dxa"/>
          <w:left w:w="75" w:type="dxa"/>
          <w:bottom w:w="75" w:type="dxa"/>
          <w:right w:w="75" w:type="dxa"/>
        </w:tblCellMar>
      </w:tblPr>
      <w:tblGrid>
        <w:gridCol w:w="2658"/>
        <w:gridCol w:w="8681"/>
      </w:tblGrid>
      <w:tr>
        <w:trPr>
          <w:tblHeader w:val="true"/>
        </w:trPr>
        <w:tc>
          <w:tcPr>
            <w:tcW w:w="2658"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Documento</w:t>
            </w:r>
          </w:p>
        </w:tc>
        <w:tc>
          <w:tcPr>
            <w:tcW w:w="8681"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w:t>
            </w:r>
          </w:p>
        </w:tc>
      </w:tr>
      <w:tr>
        <w:trPr/>
        <w:tc>
          <w:tcPr>
            <w:tcW w:w="265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ourceText"/>
              </w:rPr>
              <w:t>CLAUDE.md</w:t>
            </w:r>
            <w:r>
              <w:rPr/>
              <w:t xml:space="preserve"> [D-01]</w:t>
            </w:r>
          </w:p>
        </w:tc>
        <w:tc>
          <w:tcPr>
            <w:tcW w:w="868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Reemplazar "AI-powered preventive triage", "Level 4/5 … emergency red screen" y "19-category clinical taxonomy" por la §1.1. "Clinical Safety" pasa a "Safety: help resources always reachable".</w:t>
            </w:r>
          </w:p>
        </w:tc>
      </w:tr>
      <w:tr>
        <w:trPr/>
        <w:tc>
          <w:tcPr>
            <w:tcW w:w="265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rStyle w:val="SourceText"/>
              </w:rPr>
              <w:t>.planning/PROJECT.md</w:t>
            </w:r>
            <w:r>
              <w:rPr/>
              <w:t xml:space="preserve">, </w:t>
            </w:r>
            <w:r>
              <w:rPr>
                <w:rStyle w:val="SourceText"/>
              </w:rPr>
              <w:t>REQUIREMENTS.md</w:t>
            </w:r>
            <w:r>
              <w:rPr/>
              <w:t xml:space="preserve">, </w:t>
            </w:r>
            <w:r>
              <w:rPr>
                <w:rStyle w:val="SourceText"/>
              </w:rPr>
              <w:t>ROADMAP.md</w:t>
            </w:r>
            <w:r>
              <w:rPr/>
              <w:t xml:space="preserve"> [D-02…D-04]</w:t>
            </w:r>
          </w:p>
        </w:tc>
        <w:tc>
          <w:tcPr>
            <w:tcW w:w="868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Reescribir los requisitos TRG-02, SOM-02, OUT-01, REC-01, EMRG-01..03 y DISC-01 según F3 y F4. La fase 3 pasa a "Always-on Safety Resources".</w:t>
            </w:r>
          </w:p>
        </w:tc>
      </w:tr>
      <w:tr>
        <w:trPr/>
        <w:tc>
          <w:tcPr>
            <w:tcW w:w="265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Agente "Médico Clínico" [D-05]</w:t>
            </w:r>
          </w:p>
        </w:tc>
        <w:tc>
          <w:tcPr>
            <w:tcW w:w="868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.agents/agents/doctor/*</w:t>
            </w:r>
            <w:r>
              <w:rPr/>
              <w:t xml:space="preserve"> se convierte en un </w:t>
            </w:r>
            <w:r>
              <w:rPr>
                <w:rStyle w:val="Strong"/>
              </w:rPr>
              <w:t>agente de seguridad de contenido</w:t>
            </w:r>
            <w:r>
              <w:rPr/>
              <w:t>. Verifica que los recursos de ayuda sean accesibles, que no haya salidas de urgencia ni diagnóstico y que no aparezca vocabulario vetado. Casos nuevos, p. ej.: "texto con dolor de pecho → la app muestra recursos genéricos y no nombra ninguna condición".</w:t>
            </w:r>
          </w:p>
        </w:tc>
      </w:tr>
      <w:tr>
        <w:trPr/>
        <w:tc>
          <w:tcPr>
            <w:tcW w:w="2658"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Métricas de la batería [D-06]</w:t>
            </w:r>
          </w:p>
        </w:tc>
        <w:tc>
          <w:tcPr>
            <w:tcW w:w="868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Eliminar "Concordancia Clínica 100%", que es justamente evidencia de desempeño de un SaMD. Nuevas métricas: vocabulario vetado = 0; recursos de ayuda a ≤1 toque desde todas las pantallas.</w:t>
            </w:r>
          </w:p>
        </w:tc>
      </w:tr>
      <w:tr>
        <w:trPr/>
        <w:tc>
          <w:tcPr>
            <w:tcW w:w="2658"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Agente revisor de IA [D-07]</w:t>
            </w:r>
          </w:p>
        </w:tc>
        <w:tc>
          <w:tcPr>
            <w:tcW w:w="8681"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Calibra el etiquetado, no el triaje.</w:t>
            </w:r>
          </w:p>
        </w:tc>
      </w:tr>
    </w:tbl>
    <w:p>
      <w:pPr>
        <w:pStyle w:val="Heading3"/>
        <w:bidi w:val="0"/>
        <w:rPr/>
      </w:pPr>
      <w:r>
        <w:rPr/>
        <w:t>F8. Cambios en el roadmap (fases 12 a 15)</w:t>
      </w:r>
    </w:p>
    <w:tbl>
      <w:tblPr>
        <w:tblW w:w="5000" w:type="pct"/>
        <w:jc w:val="left"/>
        <w:tblInd w:w="75" w:type="dxa"/>
        <w:tblLayout w:type="fixed"/>
        <w:tblCellMar>
          <w:top w:w="75" w:type="dxa"/>
          <w:left w:w="75" w:type="dxa"/>
          <w:bottom w:w="75" w:type="dxa"/>
          <w:right w:w="75" w:type="dxa"/>
        </w:tblCellMar>
      </w:tblPr>
      <w:tblGrid>
        <w:gridCol w:w="2164"/>
        <w:gridCol w:w="1912"/>
        <w:gridCol w:w="7263"/>
      </w:tblGrid>
      <w:tr>
        <w:trPr>
          <w:tblHeader w:val="true"/>
        </w:trPr>
        <w:tc>
          <w:tcPr>
            <w:tcW w:w="2164"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Fase / función</w:t>
            </w:r>
          </w:p>
        </w:tc>
        <w:tc>
          <w:tcPr>
            <w:tcW w:w="1912"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Decisión</w:t>
            </w:r>
          </w:p>
        </w:tc>
        <w:tc>
          <w:tcPr>
            <w:tcW w:w="7263"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Cómo</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3. Alerta de riesgo</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Reformular</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Ver F3.</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11. Multi-perfil</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Mantener</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Ya implementado. Revisar COPPA (EE. UU., menores de 13) y la edad de consentimiento GDPR Art. 8 por país.</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12. Cartera de vacunas</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Mantener</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Registro personal. Recordatorios solo del calendario oficial (PNI), mostrado tal cual.</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12. Alergias con verificación cruzada</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Quitar el cruce</w:t>
            </w:r>
            <w:r>
              <w:rPr/>
              <w:t xml:space="preserve"> / mantener el registro</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Detectar conflictos alergia-medicamento es una función de dispositivo médico.</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13. Condiciones CID</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Mantener, reformulado</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"Minhas condições (informadas por você)". Nunca sugerir códigos a partir de síntomas.</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13. Alarmas de medicamento</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Mantener</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Recordatorios de lo que el usuario configuró, sin ajuste de dosis.</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13. PDF SBAR para el médico</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Reformular</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"Resumo dos meus registros", sin las secciones Assessment y Recommendation.</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14. OCR de exámenes</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Reformular o derivar a un socio</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Solo transcripción </w:t>
            </w:r>
            <w:r>
              <w:rPr>
                <w:rStyle w:val="Strong"/>
              </w:rPr>
              <w:t>confirmada por el usuario</w:t>
            </w:r>
            <w:r>
              <w:rPr/>
              <w:t xml:space="preserve"> y rango impreso por el laboratorio. Sin colores normal/alterado, sin alertas y sin comentarios de IA. Si el negocio necesita interpretación, hacerlo con un socio regulado.</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14. Lector de recetas</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Reformular (alto riesgo)</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Solo prellenar un formulario editable, con confirmación campo por campo. Nunca crear alarmas automáticas. Recomendación: posponerlo hasta tener al consultor.</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14. Resumen de prospecto (bula) con IA</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trong"/>
              </w:rPr>
              <w:t>Quitar</w:t>
            </w:r>
            <w:r>
              <w:rPr/>
              <w:t xml:space="preserve"> o derivar a un socio</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Enlazar al Bulário Eletrônico de ANVISA, o licenciar contenido de un proveedor regulado.</w:t>
            </w:r>
          </w:p>
        </w:tc>
      </w:tr>
      <w:tr>
        <w:trPr/>
        <w:tc>
          <w:tcPr>
            <w:tcW w:w="2164"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15. Voz</w:t>
            </w:r>
          </w:p>
        </w:tc>
        <w:tc>
          <w:tcPr>
            <w:tcW w:w="191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Reformular</w:t>
            </w:r>
          </w:p>
        </w:tc>
        <w:tc>
          <w:tcPr>
            <w:tcW w:w="726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"Registro por voz". Sin biometría de voz salvo necesidad; si se usa, es dato biométrico.</w:t>
            </w:r>
          </w:p>
        </w:tc>
      </w:tr>
      <w:tr>
        <w:trPr/>
        <w:tc>
          <w:tcPr>
            <w:tcW w:w="2164"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15. Biometría y suscripciones</w:t>
            </w:r>
          </w:p>
        </w:tc>
        <w:tc>
          <w:tcPr>
            <w:tcW w:w="1912"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Mantener</w:t>
            </w:r>
          </w:p>
        </w:tc>
        <w:tc>
          <w:tcPr>
            <w:tcW w:w="7263"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Sin promesas clínicas en el muro de pago. Recursos de ayuda gratuitos.</w:t>
            </w:r>
          </w:p>
        </w:tc>
      </w:tr>
    </w:tbl>
    <w:p>
      <w:pPr>
        <w:pStyle w:val="Heading3"/>
        <w:bidi w:val="0"/>
        <w:rPr/>
      </w:pPr>
      <w:r>
        <w:rPr/>
        <w:t>F9. Privacidad y cumplimiento (obligatorio igual) — M</w:t>
      </w:r>
    </w:p>
    <w:tbl>
      <w:tblPr>
        <w:tblW w:w="5000" w:type="pct"/>
        <w:jc w:val="left"/>
        <w:tblInd w:w="75" w:type="dxa"/>
        <w:tblLayout w:type="fixed"/>
        <w:tblCellMar>
          <w:top w:w="75" w:type="dxa"/>
          <w:left w:w="75" w:type="dxa"/>
          <w:bottom w:w="75" w:type="dxa"/>
          <w:right w:w="75" w:type="dxa"/>
        </w:tblCellMar>
      </w:tblPr>
      <w:tblGrid>
        <w:gridCol w:w="1661"/>
        <w:gridCol w:w="9678"/>
      </w:tblGrid>
      <w:tr>
        <w:trPr>
          <w:tblHeader w:val="true"/>
        </w:trPr>
        <w:tc>
          <w:tcPr>
            <w:tcW w:w="1661"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w:t>
            </w:r>
          </w:p>
        </w:tc>
        <w:tc>
          <w:tcPr>
            <w:tcW w:w="9678"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Detalle</w:t>
            </w:r>
          </w:p>
        </w:tc>
      </w:tr>
      <w:tr>
        <w:trPr/>
        <w:tc>
          <w:tcPr>
            <w:tcW w:w="1661"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IA y residencia de datos</w:t>
            </w:r>
          </w:p>
        </w:tc>
        <w:tc>
          <w:tcPr>
            <w:tcW w:w="967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Migrar de la Gemini Developer API (API key) a </w:t>
            </w:r>
            <w:r>
              <w:rPr>
                <w:rStyle w:val="Strong"/>
              </w:rPr>
              <w:t>Vertex AI</w:t>
            </w:r>
            <w:r>
              <w:rPr/>
              <w:t xml:space="preserve"> en región Brasil o UE. Si no se migra: declarar la transferencia internacional (LGPD Art. 33, Res. CD/ANPD 19/2024) con cláusulas contractuales. Confirmar un plan </w:t>
            </w:r>
            <w:r>
              <w:rPr>
                <w:rStyle w:val="Strong"/>
              </w:rPr>
              <w:t>sin entrenamiento con datos del usuario</w:t>
            </w:r>
            <w:r>
              <w:rPr/>
              <w:t xml:space="preserve"> y firmar un DPA. Hoy contradice la promesa de residencia en São Paulo.</w:t>
            </w:r>
          </w:p>
        </w:tc>
      </w:tr>
      <w:tr>
        <w:trPr/>
        <w:tc>
          <w:tcPr>
            <w:tcW w:w="1661"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RIPD / DPIA</w:t>
            </w:r>
          </w:p>
        </w:tc>
        <w:tc>
          <w:tcPr>
            <w:tcW w:w="967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Informe de impacto (LGPD Art. 38; GDPR Art. 35).</w:t>
            </w:r>
          </w:p>
        </w:tc>
      </w:tr>
      <w:tr>
        <w:trPr/>
        <w:tc>
          <w:tcPr>
            <w:tcW w:w="1661"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DPO</w:t>
            </w:r>
          </w:p>
        </w:tc>
        <w:tc>
          <w:tcPr>
            <w:tcW w:w="967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Encargado publicado (LGPD Art. 41). Representante en la UE (GDPR Art. 27) si no hay establecimiento allí.</w:t>
            </w:r>
          </w:p>
        </w:tc>
      </w:tr>
      <w:tr>
        <w:trPr/>
        <w:tc>
          <w:tcPr>
            <w:tcW w:w="1661"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Incidentes</w:t>
            </w:r>
          </w:p>
        </w:tc>
        <w:tc>
          <w:tcPr>
            <w:tcW w:w="967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Procedimiento de notificación: ANPD en 3 días hábiles; GDPR en 72 h; FTC HBNR en ≤60 días.</w:t>
            </w:r>
          </w:p>
        </w:tc>
      </w:tr>
      <w:tr>
        <w:trPr/>
        <w:tc>
          <w:tcPr>
            <w:tcW w:w="1661"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Publicidad (AdMob)</w:t>
            </w:r>
          </w:p>
        </w:tc>
        <w:tc>
          <w:tcPr>
            <w:tcW w:w="967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Solo anuncios contextuales. Ningún dato de salud a la red publicitaria (Apple 5.1.3, FTC HBNR, My Health My Data Act). Sin geolocalización cerca de centros de salud.</w:t>
            </w:r>
          </w:p>
        </w:tc>
      </w:tr>
      <w:tr>
        <w:trPr/>
        <w:tc>
          <w:tcPr>
            <w:tcW w:w="1661"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Menores</w:t>
            </w:r>
          </w:p>
        </w:tc>
        <w:tc>
          <w:tcPr>
            <w:tcW w:w="9678"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COPPA (EE. UU.), GDPR Art. 8 y LGPD Art. 14 para dependientes.</w:t>
            </w:r>
          </w:p>
        </w:tc>
      </w:tr>
      <w:tr>
        <w:trPr/>
        <w:tc>
          <w:tcPr>
            <w:tcW w:w="1661"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Base de datos de producción</w:t>
            </w:r>
          </w:p>
        </w:tc>
        <w:tc>
          <w:tcPr>
            <w:tcW w:w="9678"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 xml:space="preserve">Confirmar que el rol de la app </w:t>
            </w:r>
            <w:r>
              <w:rPr>
                <w:rStyle w:val="Strong"/>
              </w:rPr>
              <w:t>no</w:t>
            </w:r>
            <w:r>
              <w:rPr/>
              <w:t xml:space="preserve"> tiene </w:t>
            </w:r>
            <w:r>
              <w:rPr>
                <w:rStyle w:val="SourceText"/>
              </w:rPr>
              <w:t>BYPASSRLS</w:t>
            </w:r>
            <w:r>
              <w:rPr/>
              <w:t xml:space="preserve"> antes de desplegar las migraciones 0013 a 0015.</w:t>
            </w:r>
          </w:p>
        </w:tc>
      </w:tr>
    </w:tbl>
    <w:p>
      <w:pPr>
        <w:pStyle w:val="Heading3"/>
        <w:bidi w:val="0"/>
        <w:rPr/>
      </w:pPr>
      <w:r>
        <w:rPr/>
        <w:t>F10. Tiendas y marca</w:t>
      </w:r>
    </w:p>
    <w:tbl>
      <w:tblPr>
        <w:tblW w:w="5000" w:type="pct"/>
        <w:jc w:val="left"/>
        <w:tblInd w:w="75" w:type="dxa"/>
        <w:tblLayout w:type="fixed"/>
        <w:tblCellMar>
          <w:top w:w="75" w:type="dxa"/>
          <w:left w:w="75" w:type="dxa"/>
          <w:bottom w:w="75" w:type="dxa"/>
          <w:right w:w="75" w:type="dxa"/>
        </w:tblCellMar>
      </w:tblPr>
      <w:tblGrid>
        <w:gridCol w:w="2405"/>
        <w:gridCol w:w="8934"/>
      </w:tblGrid>
      <w:tr>
        <w:trPr>
          <w:tblHeader w:val="true"/>
        </w:trPr>
        <w:tc>
          <w:tcPr>
            <w:tcW w:w="2405"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Cambio</w:t>
            </w:r>
          </w:p>
        </w:tc>
        <w:tc>
          <w:tcPr>
            <w:tcW w:w="8934"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Detalle</w:t>
            </w:r>
          </w:p>
        </w:tc>
      </w:tr>
      <w:tr>
        <w:trPr/>
        <w:tc>
          <w:tcPr>
            <w:tcW w:w="240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Ficha de App Store / Google Play</w:t>
            </w:r>
          </w:p>
        </w:tc>
        <w:tc>
          <w:tcPr>
            <w:tcW w:w="893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Categoría </w:t>
            </w:r>
            <w:r>
              <w:rPr>
                <w:rStyle w:val="Strong"/>
              </w:rPr>
              <w:t>Salud y forma física / Health &amp; Fitness</w:t>
            </w:r>
            <w:r>
              <w:rPr/>
              <w:t>. Descripción basada en la §1.1. Subtítulo "Diário de bem-estar". Evitar "CheckUp" como promesa de chequeo médico [I-06].</w:t>
            </w:r>
          </w:p>
        </w:tc>
      </w:tr>
      <w:tr>
        <w:trPr/>
        <w:tc>
          <w:tcPr>
            <w:tcW w:w="2405"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Declaraciones</w:t>
            </w:r>
          </w:p>
        </w:tc>
        <w:tc>
          <w:tcPr>
            <w:tcW w:w="893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Apple: etiqueta de privacidad. Google: Health apps declaration y Data safety.</w:t>
            </w:r>
          </w:p>
        </w:tc>
      </w:tr>
      <w:tr>
        <w:trPr/>
        <w:tc>
          <w:tcPr>
            <w:tcW w:w="2405"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Revisión de Apple 1.4.1</w:t>
            </w:r>
          </w:p>
        </w:tc>
        <w:tc>
          <w:tcPr>
            <w:tcW w:w="8934"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Respuesta preparada que explique el uso previsto y la ausencia de diagnóstico.</w:t>
            </w:r>
          </w:p>
        </w:tc>
      </w:tr>
    </w:tbl>
    <w:p>
      <w:pPr>
        <w:pStyle w:val="HorizontalLine"/>
        <w:bidi w:val="0"/>
        <w:rPr/>
      </w:pPr>
      <w:r>
        <w:rPr/>
      </w:r>
    </w:p>
    <w:p>
      <w:pPr>
        <w:pStyle w:val="Heading2"/>
        <w:bidi w:val="0"/>
        <w:rPr/>
      </w:pPr>
      <w:r>
        <w:rPr/>
        <w:t>4. Etapas de ejecución</w:t>
      </w:r>
    </w:p>
    <w:tbl>
      <w:tblPr>
        <w:tblW w:w="5000" w:type="pct"/>
        <w:jc w:val="left"/>
        <w:tblInd w:w="75" w:type="dxa"/>
        <w:tblLayout w:type="fixed"/>
        <w:tblCellMar>
          <w:top w:w="75" w:type="dxa"/>
          <w:left w:w="75" w:type="dxa"/>
          <w:bottom w:w="75" w:type="dxa"/>
          <w:right w:w="75" w:type="dxa"/>
        </w:tblCellMar>
      </w:tblPr>
      <w:tblGrid>
        <w:gridCol w:w="1880"/>
        <w:gridCol w:w="1494"/>
        <w:gridCol w:w="2813"/>
        <w:gridCol w:w="5152"/>
      </w:tblGrid>
      <w:tr>
        <w:trPr>
          <w:tblHeader w:val="true"/>
        </w:trPr>
        <w:tc>
          <w:tcPr>
            <w:tcW w:w="1880"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Etapa</w:t>
            </w:r>
          </w:p>
        </w:tc>
        <w:tc>
          <w:tcPr>
            <w:tcW w:w="1494"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Duración estimada</w:t>
            </w:r>
          </w:p>
        </w:tc>
        <w:tc>
          <w:tcPr>
            <w:tcW w:w="2813"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Frentes</w:t>
            </w:r>
          </w:p>
        </w:tc>
        <w:tc>
          <w:tcPr>
            <w:tcW w:w="5152"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Resultado</w:t>
            </w:r>
          </w:p>
        </w:tc>
      </w:tr>
      <w:tr>
        <w:trPr/>
        <w:tc>
          <w:tcPr>
            <w:tcW w:w="188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1. Riesgo inmediato</w:t>
            </w:r>
          </w:p>
        </w:tc>
        <w:tc>
          <w:tcPr>
            <w:tcW w:w="149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Semana 1</w:t>
            </w:r>
          </w:p>
        </w:tc>
        <w:tc>
          <w:tcPr>
            <w:tcW w:w="28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F0, F1, F2 (onboarding, login, legal), F7</w:t>
            </w:r>
          </w:p>
        </w:tc>
        <w:tc>
          <w:tcPr>
            <w:tcW w:w="515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Desaparece la mayor parte de la evidencia escrita de uso médico. Se cierra el riesgo de atribución falsa.</w:t>
            </w:r>
          </w:p>
        </w:tc>
      </w:tr>
      <w:tr>
        <w:trPr/>
        <w:tc>
          <w:tcPr>
            <w:tcW w:w="188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2. Comportamiento</w:t>
            </w:r>
          </w:p>
        </w:tc>
        <w:tc>
          <w:tcPr>
            <w:tcW w:w="149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Semanas 2-3</w:t>
            </w:r>
          </w:p>
        </w:tc>
        <w:tc>
          <w:tcPr>
            <w:tcW w:w="28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F3, F4, F5</w:t>
            </w:r>
          </w:p>
        </w:tc>
        <w:tc>
          <w:tcPr>
            <w:tcW w:w="515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La app deja de </w:t>
            </w:r>
            <w:r>
              <w:rPr>
                <w:rStyle w:val="Strong"/>
              </w:rPr>
              <w:t>hacer</w:t>
            </w:r>
            <w:r>
              <w:rPr/>
              <w:t xml:space="preserve"> triaje. La ayuda queda disponible para todos.</w:t>
            </w:r>
          </w:p>
        </w:tc>
      </w:tr>
      <w:tr>
        <w:trPr/>
        <w:tc>
          <w:tcPr>
            <w:tcW w:w="188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3. Datos y API</w:t>
            </w:r>
          </w:p>
        </w:tc>
        <w:tc>
          <w:tcPr>
            <w:tcW w:w="149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Semana 4</w:t>
            </w:r>
          </w:p>
        </w:tc>
        <w:tc>
          <w:tcPr>
            <w:tcW w:w="28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F6, resto de F2</w:t>
            </w:r>
          </w:p>
        </w:tc>
        <w:tc>
          <w:tcPr>
            <w:tcW w:w="515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Rutas y modelos sin vocabulario clínico; compatibilidad con versiones viejas.</w:t>
            </w:r>
          </w:p>
        </w:tc>
      </w:tr>
      <w:tr>
        <w:trPr/>
        <w:tc>
          <w:tcPr>
            <w:tcW w:w="188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4. Validación</w:t>
            </w:r>
          </w:p>
        </w:tc>
        <w:tc>
          <w:tcPr>
            <w:tcW w:w="149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Semana 5</w:t>
            </w:r>
          </w:p>
        </w:tc>
        <w:tc>
          <w:tcPr>
            <w:tcW w:w="28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Pruebas §5, sesión en vivo, revisión del consultor</w:t>
            </w:r>
          </w:p>
        </w:tc>
        <w:tc>
          <w:tcPr>
            <w:tcW w:w="515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Versión candidata y documentación para el consultor.</w:t>
            </w:r>
          </w:p>
        </w:tc>
      </w:tr>
      <w:tr>
        <w:trPr/>
        <w:tc>
          <w:tcPr>
            <w:tcW w:w="1880"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En paralelo</w:t>
            </w:r>
          </w:p>
        </w:tc>
        <w:tc>
          <w:tcPr>
            <w:tcW w:w="1494"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Semanas 1-5</w:t>
            </w:r>
          </w:p>
        </w:tc>
        <w:tc>
          <w:tcPr>
            <w:tcW w:w="2813"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F9, F10</w:t>
            </w:r>
          </w:p>
        </w:tc>
        <w:tc>
          <w:tcPr>
            <w:tcW w:w="5152"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Cumplimiento de datos y fichas de tienda.</w:t>
            </w:r>
          </w:p>
        </w:tc>
      </w:tr>
      <w:tr>
        <w:trPr/>
        <w:tc>
          <w:tcPr>
            <w:tcW w:w="1880"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Decisión de negocio</w:t>
            </w:r>
          </w:p>
        </w:tc>
        <w:tc>
          <w:tcPr>
            <w:tcW w:w="1494"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Antes de la fase 14</w:t>
            </w:r>
          </w:p>
        </w:tc>
        <w:tc>
          <w:tcPr>
            <w:tcW w:w="2813"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F8</w:t>
            </w:r>
          </w:p>
        </w:tc>
        <w:tc>
          <w:tcPr>
            <w:tcW w:w="5152"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Roadmap ajustado.</w:t>
            </w:r>
          </w:p>
        </w:tc>
      </w:tr>
    </w:tbl>
    <w:p>
      <w:pPr>
        <w:pStyle w:val="BodyText"/>
        <w:bidi w:val="0"/>
        <w:rPr/>
      </w:pPr>
      <w:r>
        <w:rPr/>
        <w:t>Las estimaciones suponen el equipo actual trabajando con agentes en paralelo, como en la fase 11. La revisión del consultor externo no está incluida en los plazos.</w:t>
      </w:r>
    </w:p>
    <w:p>
      <w:pPr>
        <w:pStyle w:val="HorizontalLine"/>
        <w:bidi w:val="0"/>
        <w:rPr/>
      </w:pPr>
      <w:r>
        <w:rPr/>
      </w:r>
    </w:p>
    <w:p>
      <w:pPr>
        <w:pStyle w:val="Heading2"/>
        <w:bidi w:val="0"/>
        <w:rPr/>
      </w:pPr>
      <w:r>
        <w:rPr/>
        <w:t>5. Plan de pruebas</w:t>
      </w:r>
    </w:p>
    <w:tbl>
      <w:tblPr>
        <w:tblW w:w="5000" w:type="pct"/>
        <w:jc w:val="left"/>
        <w:tblInd w:w="75" w:type="dxa"/>
        <w:tblLayout w:type="fixed"/>
        <w:tblCellMar>
          <w:top w:w="75" w:type="dxa"/>
          <w:left w:w="75" w:type="dxa"/>
          <w:bottom w:w="75" w:type="dxa"/>
          <w:right w:w="75" w:type="dxa"/>
        </w:tblCellMar>
      </w:tblPr>
      <w:tblGrid>
        <w:gridCol w:w="1983"/>
        <w:gridCol w:w="2366"/>
        <w:gridCol w:w="6990"/>
      </w:tblGrid>
      <w:tr>
        <w:trPr>
          <w:tblHeader w:val="true"/>
        </w:trPr>
        <w:tc>
          <w:tcPr>
            <w:tcW w:w="1983"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Prueba</w:t>
            </w:r>
          </w:p>
        </w:tc>
        <w:tc>
          <w:tcPr>
            <w:tcW w:w="2366"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Tipo</w:t>
            </w:r>
          </w:p>
        </w:tc>
        <w:tc>
          <w:tcPr>
            <w:tcW w:w="6990"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Qué verifica</w:t>
            </w:r>
          </w:p>
        </w:tc>
      </w:tr>
      <w:tr>
        <w:trPr/>
        <w:tc>
          <w:tcPr>
            <w:tcW w:w="198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Vocabulario vetado</w:t>
            </w:r>
          </w:p>
        </w:tc>
        <w:tc>
          <w:tcPr>
            <w:tcW w:w="236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Test automático (Dart + Node)</w:t>
            </w:r>
          </w:p>
        </w:tc>
        <w:tc>
          <w:tcPr>
            <w:tcW w:w="69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Recorre </w:t>
            </w:r>
            <w:r>
              <w:rPr>
                <w:rStyle w:val="SourceText"/>
              </w:rPr>
              <w:t>.arb</w:t>
            </w:r>
            <w:r>
              <w:rPr/>
              <w:t xml:space="preserve">, textos en </w:t>
            </w:r>
            <w:r>
              <w:rPr>
                <w:rStyle w:val="SourceText"/>
              </w:rPr>
              <w:t>lib/</w:t>
            </w:r>
            <w:r>
              <w:rPr/>
              <w:t xml:space="preserve"> y respuestas de la API buscando los términos de §2. Falla si aparecen fuera de la pantalla de ayuda.</w:t>
            </w:r>
          </w:p>
        </w:tc>
      </w:tr>
      <w:tr>
        <w:trPr/>
        <w:tc>
          <w:tcPr>
            <w:tcW w:w="198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Contrato de la API</w:t>
            </w:r>
          </w:p>
        </w:tc>
        <w:tc>
          <w:tcPr>
            <w:tcW w:w="236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e2e backend</w:t>
            </w:r>
          </w:p>
        </w:tc>
        <w:tc>
          <w:tcPr>
            <w:tcW w:w="69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Ninguna respuesta incluye </w:t>
            </w:r>
            <w:r>
              <w:rPr>
                <w:rStyle w:val="SourceText"/>
              </w:rPr>
              <w:t>careDisposition</w:t>
            </w:r>
            <w:r>
              <w:rPr/>
              <w:t xml:space="preserve">, </w:t>
            </w:r>
            <w:r>
              <w:rPr>
                <w:rStyle w:val="SourceText"/>
              </w:rPr>
              <w:t>urgencyScore</w:t>
            </w:r>
            <w:r>
              <w:rPr/>
              <w:t xml:space="preserve">, </w:t>
            </w:r>
            <w:r>
              <w:rPr>
                <w:rStyle w:val="SourceText"/>
              </w:rPr>
              <w:t>clinicalConcept</w:t>
            </w:r>
            <w:r>
              <w:rPr/>
              <w:t xml:space="preserve">, </w:t>
            </w:r>
            <w:r>
              <w:rPr>
                <w:rStyle w:val="SourceText"/>
              </w:rPr>
              <w:t>isEmergencyCandidate</w:t>
            </w:r>
            <w:r>
              <w:rPr/>
              <w:t xml:space="preserve"> ni </w:t>
            </w:r>
            <w:r>
              <w:rPr>
                <w:rStyle w:val="SourceText"/>
              </w:rPr>
              <w:t>isCritical</w:t>
            </w:r>
            <w:r>
              <w:rPr/>
              <w:t>.</w:t>
            </w:r>
          </w:p>
        </w:tc>
      </w:tr>
      <w:tr>
        <w:trPr/>
        <w:tc>
          <w:tcPr>
            <w:tcW w:w="198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Esquema de IA</w:t>
            </w:r>
          </w:p>
        </w:tc>
        <w:tc>
          <w:tcPr>
            <w:tcW w:w="236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unit backend</w:t>
            </w:r>
          </w:p>
        </w:tc>
        <w:tc>
          <w:tcPr>
            <w:tcW w:w="69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El </w:t>
            </w:r>
            <w:r>
              <w:rPr>
                <w:rStyle w:val="SourceText"/>
              </w:rPr>
              <w:t>responseSchema</w:t>
            </w:r>
            <w:r>
              <w:rPr/>
              <w:t xml:space="preserve"> enviado a Gemini no contiene campos de evaluación.</w:t>
            </w:r>
          </w:p>
        </w:tc>
      </w:tr>
      <w:tr>
        <w:trPr/>
        <w:tc>
          <w:tcPr>
            <w:tcW w:w="198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Acceso a la ayuda</w:t>
            </w:r>
          </w:p>
        </w:tc>
        <w:tc>
          <w:tcPr>
            <w:tcW w:w="236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widget tests</w:t>
            </w:r>
          </w:p>
        </w:tc>
        <w:tc>
          <w:tcPr>
            <w:tcW w:w="69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Botón "Ajuda urgente" en todas las pantallas principales, a 1 toque; pantalla que se puede cerrar; funciona sin red.</w:t>
            </w:r>
          </w:p>
        </w:tc>
      </w:tr>
      <w:tr>
        <w:trPr/>
        <w:tc>
          <w:tcPr>
            <w:tcW w:w="198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Aviso contextual</w:t>
            </w:r>
          </w:p>
        </w:tc>
        <w:tc>
          <w:tcPr>
            <w:tcW w:w="236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widget tests</w:t>
            </w:r>
          </w:p>
        </w:tc>
        <w:tc>
          <w:tcPr>
            <w:tcW w:w="69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Intensidad 5 o texto de alarma muestran </w:t>
            </w:r>
            <w:r>
              <w:rPr>
                <w:rStyle w:val="Strong"/>
              </w:rPr>
              <w:t>la misma</w:t>
            </w:r>
            <w:r>
              <w:rPr/>
              <w:t xml:space="preserve"> tarjeta genérica, sin nombre de condición.</w:t>
            </w:r>
          </w:p>
        </w:tc>
      </w:tr>
      <w:tr>
        <w:trPr/>
        <w:tc>
          <w:tcPr>
            <w:tcW w:w="198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Registro de seguridad</w:t>
            </w:r>
          </w:p>
        </w:tc>
        <w:tc>
          <w:tcPr>
            <w:tcW w:w="236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e2e + RLS</w:t>
            </w:r>
          </w:p>
        </w:tc>
        <w:tc>
          <w:tcPr>
            <w:tcW w:w="69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rStyle w:val="SourceText"/>
              </w:rPr>
              <w:t>safety-event</w:t>
            </w:r>
            <w:r>
              <w:rPr/>
              <w:t xml:space="preserve"> responde 201 con sesión, sin sesión y con token vencido.</w:t>
            </w:r>
          </w:p>
        </w:tc>
      </w:tr>
      <w:tr>
        <w:trPr/>
        <w:tc>
          <w:tcPr>
            <w:tcW w:w="198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Migración 0015</w:t>
            </w:r>
          </w:p>
        </w:tc>
        <w:tc>
          <w:tcPr>
            <w:tcW w:w="236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RLS + staging</w:t>
            </w:r>
          </w:p>
        </w:tc>
        <w:tc>
          <w:tcPr>
            <w:tcW w:w="69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Idempotente; los datos históricos siguen disponibles en la exportación.</w:t>
            </w:r>
          </w:p>
        </w:tc>
      </w:tr>
      <w:tr>
        <w:trPr/>
        <w:tc>
          <w:tcPr>
            <w:tcW w:w="198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Versiones viejas de la app</w:t>
            </w:r>
          </w:p>
        </w:tc>
        <w:tc>
          <w:tcPr>
            <w:tcW w:w="236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manual</w:t>
            </w:r>
          </w:p>
        </w:tc>
        <w:tc>
          <w:tcPr>
            <w:tcW w:w="69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 xml:space="preserve">La versión publicada no falla con </w:t>
            </w:r>
            <w:r>
              <w:rPr>
                <w:rStyle w:val="SourceText"/>
              </w:rPr>
              <w:t>careDisposition: null</w:t>
            </w:r>
            <w:r>
              <w:rPr/>
              <w:t>, o muestra "actualizar".</w:t>
            </w:r>
          </w:p>
        </w:tc>
      </w:tr>
      <w:tr>
        <w:trPr/>
        <w:tc>
          <w:tcPr>
            <w:tcW w:w="198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Sesión en vivo</w:t>
            </w:r>
          </w:p>
        </w:tc>
        <w:tc>
          <w:tcPr>
            <w:tcW w:w="236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simulador + backend local con RLS</w:t>
            </w:r>
          </w:p>
        </w:tc>
        <w:tc>
          <w:tcPr>
            <w:tcW w:w="699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Recorrido completo de un registro con lectura de pantallas y capturas, como en la fase 11.</w:t>
            </w:r>
          </w:p>
        </w:tc>
      </w:tr>
      <w:tr>
        <w:trPr/>
        <w:tc>
          <w:tcPr>
            <w:tcW w:w="1983"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Batería de agentes</w:t>
            </w:r>
          </w:p>
        </w:tc>
        <w:tc>
          <w:tcPr>
            <w:tcW w:w="2366"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rStyle w:val="SourceText"/>
              </w:rPr>
              <w:t>npm run test:battery</w:t>
            </w:r>
          </w:p>
        </w:tc>
        <w:tc>
          <w:tcPr>
            <w:tcW w:w="6990"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Nuevas métricas (F7).</w:t>
            </w:r>
          </w:p>
        </w:tc>
      </w:tr>
    </w:tbl>
    <w:p>
      <w:pPr>
        <w:pStyle w:val="HorizontalLine"/>
        <w:bidi w:val="0"/>
        <w:rPr/>
      </w:pPr>
      <w:r>
        <w:rPr/>
      </w:r>
    </w:p>
    <w:p>
      <w:pPr>
        <w:pStyle w:val="Heading2"/>
        <w:bidi w:val="0"/>
        <w:rPr/>
      </w:pPr>
      <w:r>
        <w:rPr/>
        <w:t>6. Riesgos</w:t>
      </w:r>
    </w:p>
    <w:tbl>
      <w:tblPr>
        <w:tblW w:w="5000" w:type="pct"/>
        <w:jc w:val="left"/>
        <w:tblInd w:w="75" w:type="dxa"/>
        <w:tblLayout w:type="fixed"/>
        <w:tblCellMar>
          <w:top w:w="75" w:type="dxa"/>
          <w:left w:w="75" w:type="dxa"/>
          <w:bottom w:w="75" w:type="dxa"/>
          <w:right w:w="75" w:type="dxa"/>
        </w:tblCellMar>
      </w:tblPr>
      <w:tblGrid>
        <w:gridCol w:w="4153"/>
        <w:gridCol w:w="1380"/>
        <w:gridCol w:w="5806"/>
      </w:tblGrid>
      <w:tr>
        <w:trPr>
          <w:tblHeader w:val="true"/>
        </w:trPr>
        <w:tc>
          <w:tcPr>
            <w:tcW w:w="4153"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Riesgo</w:t>
            </w:r>
          </w:p>
        </w:tc>
        <w:tc>
          <w:tcPr>
            <w:tcW w:w="1380"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Impacto</w:t>
            </w:r>
          </w:p>
        </w:tc>
        <w:tc>
          <w:tcPr>
            <w:tcW w:w="5806"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Mitigación</w:t>
            </w:r>
          </w:p>
        </w:tc>
      </w:tr>
      <w:tr>
        <w:trPr/>
        <w:tc>
          <w:tcPr>
            <w:tcW w:w="415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La propuesta de valor depende de "decirle al usuario qué tan urgente es lo que siente".</w:t>
            </w:r>
          </w:p>
        </w:tc>
        <w:tc>
          <w:tcPr>
            <w:tcW w:w="138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w:t>
            </w:r>
          </w:p>
        </w:tc>
        <w:tc>
          <w:tcPr>
            <w:tcW w:w="580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Es una decisión de negocio (§7). Si es así: lanzar el diario ahora y desarrollar el triaje como producto regulado aparte o con un socio.</w:t>
            </w:r>
          </w:p>
        </w:tc>
      </w:tr>
      <w:tr>
        <w:trPr/>
        <w:tc>
          <w:tcPr>
            <w:tcW w:w="415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Usuarios actuales acostumbrados a la recomendación.</w:t>
            </w:r>
          </w:p>
        </w:tc>
        <w:tc>
          <w:tcPr>
            <w:tcW w:w="138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580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Comunicado en la app y bloque estático claro; insights de patrones como reemplazo de valor.</w:t>
            </w:r>
          </w:p>
        </w:tc>
      </w:tr>
      <w:tr>
        <w:trPr/>
        <w:tc>
          <w:tcPr>
            <w:tcW w:w="415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Versiones viejas de la app sin mecanismo de versión mínima.</w:t>
            </w:r>
          </w:p>
        </w:tc>
        <w:tc>
          <w:tcPr>
            <w:tcW w:w="138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580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F6: crear el mecanismo antes de quitar campos de la API.</w:t>
            </w:r>
          </w:p>
        </w:tc>
      </w:tr>
      <w:tr>
        <w:trPr/>
        <w:tc>
          <w:tcPr>
            <w:tcW w:w="415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Pérdida de "precisión" percibida al quitar la IA clínica.</w:t>
            </w:r>
          </w:p>
        </w:tc>
        <w:tc>
          <w:tcPr>
            <w:tcW w:w="138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Medio</w:t>
            </w:r>
          </w:p>
        </w:tc>
        <w:tc>
          <w:tcPr>
            <w:tcW w:w="580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La IA sigue organizando y resumiendo el diario; mejor diseño de insights.</w:t>
            </w:r>
          </w:p>
        </w:tc>
      </w:tr>
      <w:tr>
        <w:trPr/>
        <w:tc>
          <w:tcPr>
            <w:tcW w:w="4153"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Datos ya enviados a Gemini por API key.</w:t>
            </w:r>
          </w:p>
        </w:tc>
        <w:tc>
          <w:tcPr>
            <w:tcW w:w="1380"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Alto (privacidad)</w:t>
            </w:r>
          </w:p>
        </w:tc>
        <w:tc>
          <w:tcPr>
            <w:tcW w:w="5806"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F9: revisar el plan contratado, la retención y el DPA; evaluar si corresponde notificar.</w:t>
            </w:r>
          </w:p>
        </w:tc>
      </w:tr>
      <w:tr>
        <w:trPr/>
        <w:tc>
          <w:tcPr>
            <w:tcW w:w="4153"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Contenido con autores no verificados ya publicado.</w:t>
            </w:r>
          </w:p>
        </w:tc>
        <w:tc>
          <w:tcPr>
            <w:tcW w:w="1380"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Alto (legal)</w:t>
            </w:r>
          </w:p>
        </w:tc>
        <w:tc>
          <w:tcPr>
            <w:tcW w:w="5806"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F0 en la semana 1; revisión legal sobre posibles comunicaciones.</w:t>
            </w:r>
          </w:p>
        </w:tc>
      </w:tr>
    </w:tbl>
    <w:p>
      <w:pPr>
        <w:pStyle w:val="HorizontalLine"/>
        <w:bidi w:val="0"/>
        <w:rPr/>
      </w:pPr>
      <w:r>
        <w:rPr/>
      </w:r>
    </w:p>
    <w:p>
      <w:pPr>
        <w:pStyle w:val="Heading2"/>
        <w:bidi w:val="0"/>
        <w:rPr/>
      </w:pPr>
      <w:r>
        <w:rPr/>
        <w:t>7. Decisiones pendientes del cliente</w:t>
      </w:r>
    </w:p>
    <w:p>
      <w:pPr>
        <w:pStyle w:val="BodyText"/>
        <w:numPr>
          <w:ilvl w:val="0"/>
          <w:numId w:val="9"/>
        </w:numPr>
        <w:tabs>
          <w:tab w:val="clear" w:pos="1134"/>
          <w:tab w:val="left" w:pos="709" w:leader="none"/>
        </w:tabs>
        <w:bidi w:val="0"/>
        <w:spacing w:before="0" w:after="0"/>
        <w:ind w:hanging="283" w:left="709"/>
        <w:rPr/>
      </w:pPr>
      <w:r>
        <w:rPr>
          <w:rStyle w:val="Strong"/>
        </w:rPr>
        <w:t>Propuesta de valor:</w:t>
      </w:r>
      <w:r>
        <w:rPr/>
        <w:t xml:space="preserve"> ¿se acepta que la app no indique urgencia? Si no, hay que definir la estrategia del producto regulado o del socio.</w:t>
      </w:r>
    </w:p>
    <w:p>
      <w:pPr>
        <w:pStyle w:val="BodyText"/>
        <w:numPr>
          <w:ilvl w:val="0"/>
          <w:numId w:val="9"/>
        </w:numPr>
        <w:tabs>
          <w:tab w:val="clear" w:pos="1134"/>
          <w:tab w:val="left" w:pos="709" w:leader="none"/>
        </w:tabs>
        <w:bidi w:val="0"/>
        <w:spacing w:before="0" w:after="0"/>
        <w:ind w:hanging="283" w:left="709"/>
        <w:rPr/>
      </w:pPr>
      <w:r>
        <w:rPr>
          <w:rStyle w:val="Strong"/>
        </w:rPr>
        <w:t>Autores de artículos:</w:t>
      </w:r>
      <w:r>
        <w:rPr/>
        <w:t xml:space="preserve"> ¿existen contratos con los profesionales citados? Si no, se eliminan (F0).</w:t>
      </w:r>
    </w:p>
    <w:p>
      <w:pPr>
        <w:pStyle w:val="BodyText"/>
        <w:numPr>
          <w:ilvl w:val="0"/>
          <w:numId w:val="9"/>
        </w:numPr>
        <w:tabs>
          <w:tab w:val="clear" w:pos="1134"/>
          <w:tab w:val="left" w:pos="709" w:leader="none"/>
        </w:tabs>
        <w:bidi w:val="0"/>
        <w:spacing w:before="0" w:after="0"/>
        <w:ind w:hanging="283" w:left="709"/>
        <w:rPr/>
      </w:pPr>
      <w:r>
        <w:rPr>
          <w:rStyle w:val="Strong"/>
        </w:rPr>
        <w:t>Proveedor de IA:</w:t>
      </w:r>
      <w:r>
        <w:rPr/>
        <w:t xml:space="preserve"> ¿se migra a Vertex AI con región Brasil/UE, o se declara la transferencia internacional?</w:t>
      </w:r>
    </w:p>
    <w:p>
      <w:pPr>
        <w:pStyle w:val="BodyText"/>
        <w:numPr>
          <w:ilvl w:val="0"/>
          <w:numId w:val="9"/>
        </w:numPr>
        <w:tabs>
          <w:tab w:val="clear" w:pos="1134"/>
          <w:tab w:val="left" w:pos="709" w:leader="none"/>
        </w:tabs>
        <w:bidi w:val="0"/>
        <w:spacing w:before="0" w:after="0"/>
        <w:ind w:hanging="283" w:left="709"/>
        <w:rPr/>
      </w:pPr>
      <w:r>
        <w:rPr>
          <w:rStyle w:val="Strong"/>
        </w:rPr>
        <w:t>Fase 14:</w:t>
      </w:r>
      <w:r>
        <w:rPr/>
        <w:t xml:space="preserve"> ¿interpretación de exámenes con un socio regulado, o solo transcripción?</w:t>
      </w:r>
    </w:p>
    <w:p>
      <w:pPr>
        <w:pStyle w:val="BodyText"/>
        <w:numPr>
          <w:ilvl w:val="0"/>
          <w:numId w:val="9"/>
        </w:numPr>
        <w:tabs>
          <w:tab w:val="clear" w:pos="1134"/>
          <w:tab w:val="left" w:pos="709" w:leader="none"/>
        </w:tabs>
        <w:bidi w:val="0"/>
        <w:spacing w:before="0" w:after="0"/>
        <w:ind w:hanging="283" w:left="709"/>
        <w:rPr/>
      </w:pPr>
      <w:r>
        <w:rPr>
          <w:rStyle w:val="Strong"/>
        </w:rPr>
        <w:t>Nombre comercial:</w:t>
      </w:r>
      <w:r>
        <w:rPr/>
        <w:t xml:space="preserve"> ¿se mantiene "CheckUp" en la ficha de tienda?</w:t>
      </w:r>
    </w:p>
    <w:p>
      <w:pPr>
        <w:pStyle w:val="BodyText"/>
        <w:numPr>
          <w:ilvl w:val="0"/>
          <w:numId w:val="9"/>
        </w:numPr>
        <w:tabs>
          <w:tab w:val="clear" w:pos="1134"/>
          <w:tab w:val="left" w:pos="709" w:leader="none"/>
        </w:tabs>
        <w:bidi w:val="0"/>
        <w:ind w:hanging="283" w:left="709"/>
        <w:rPr/>
      </w:pPr>
      <w:r>
        <w:rPr>
          <w:rStyle w:val="Strong"/>
        </w:rPr>
        <w:t>Consultor regulatorio:</w:t>
      </w:r>
      <w:r>
        <w:rPr/>
        <w:t xml:space="preserve"> quién y cuándo, para validar antes del lanzamiento.</w:t>
      </w:r>
    </w:p>
    <w:p>
      <w:pPr>
        <w:pStyle w:val="HorizontalLine"/>
        <w:bidi w:val="0"/>
        <w:rPr/>
      </w:pPr>
      <w:r>
        <w:rPr/>
      </w:r>
    </w:p>
    <w:p>
      <w:pPr>
        <w:pStyle w:val="Heading2"/>
        <w:bidi w:val="0"/>
        <w:rPr/>
      </w:pPr>
      <w:r>
        <w:rPr/>
        <w:t>Apéndice A. Trazabilidad auditoría → frente</w:t>
      </w:r>
    </w:p>
    <w:tbl>
      <w:tblPr>
        <w:tblW w:w="5000" w:type="pct"/>
        <w:jc w:val="left"/>
        <w:tblInd w:w="75" w:type="dxa"/>
        <w:tblLayout w:type="fixed"/>
        <w:tblCellMar>
          <w:top w:w="75" w:type="dxa"/>
          <w:left w:w="75" w:type="dxa"/>
          <w:bottom w:w="75" w:type="dxa"/>
          <w:right w:w="75" w:type="dxa"/>
        </w:tblCellMar>
      </w:tblPr>
      <w:tblGrid>
        <w:gridCol w:w="1437"/>
        <w:gridCol w:w="9901"/>
      </w:tblGrid>
      <w:tr>
        <w:trPr>
          <w:tblHeader w:val="true"/>
        </w:trPr>
        <w:tc>
          <w:tcPr>
            <w:tcW w:w="1437" w:type="dxa"/>
            <w:tcBorders>
              <w:top w:val="single" w:sz="6" w:space="0" w:color="CBD5E1"/>
              <w:left w:val="single" w:sz="6"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Frente</w:t>
            </w:r>
          </w:p>
        </w:tc>
        <w:tc>
          <w:tcPr>
            <w:tcW w:w="9901" w:type="dxa"/>
            <w:tcBorders>
              <w:top w:val="single" w:sz="6" w:space="0" w:color="CBD5E1"/>
              <w:left w:val="single" w:sz="2" w:space="0" w:color="CBD5E1"/>
              <w:bottom w:val="single" w:sz="2" w:space="0" w:color="CBD5E1"/>
              <w:right w:val="single" w:sz="6" w:space="0" w:color="CBD5E1"/>
            </w:tcBorders>
            <w:vAlign w:val="center"/>
          </w:tcPr>
          <w:p>
            <w:pPr>
              <w:pStyle w:val="TableHeading"/>
              <w:suppressLineNumbers/>
              <w:shd w:fill="0F3B66" w:val="clear"/>
              <w:bidi w:val="0"/>
              <w:spacing w:before="0" w:after="283"/>
              <w:jc w:val="left"/>
              <w:rPr/>
            </w:pPr>
            <w:r>
              <w:rPr/>
              <w:t>IDs de la auditoría</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F0</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C-19, C-20, C-21</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F1</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L-01…L-07, C-05</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F2</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C-01…C-41 (excepto C-07…C-10, C-18, C-19, C-20, C-21)</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F3</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B-03, B-04, B-14, B-15, C-07…C-10, I-05, §4</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F4</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B-01, B-02, B-09…B-13, B-18, C-18</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F5</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B-05…B-08, B-16, D-07</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F6</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I-01…I-04</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F7</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D-01…D-07</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F8</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§5 de la auditoría</w:t>
            </w:r>
          </w:p>
        </w:tc>
      </w:tr>
      <w:tr>
        <w:trPr/>
        <w:tc>
          <w:tcPr>
            <w:tcW w:w="1437" w:type="dxa"/>
            <w:tcBorders>
              <w:left w:val="single" w:sz="6" w:space="0" w:color="CBD5E1"/>
              <w:bottom w:val="single" w:sz="2" w:space="0" w:color="CBD5E1"/>
              <w:right w:val="single" w:sz="6" w:space="0" w:color="CBD5E1"/>
            </w:tcBorders>
            <w:vAlign w:val="center"/>
          </w:tcPr>
          <w:p>
            <w:pPr>
              <w:pStyle w:val="TableContents"/>
              <w:bidi w:val="0"/>
              <w:spacing w:before="0" w:after="283"/>
              <w:rPr/>
            </w:pPr>
            <w:r>
              <w:rPr/>
              <w:t>F9</w:t>
            </w:r>
          </w:p>
        </w:tc>
        <w:tc>
          <w:tcPr>
            <w:tcW w:w="9901" w:type="dxa"/>
            <w:tcBorders>
              <w:left w:val="single" w:sz="2" w:space="0" w:color="CBD5E1"/>
              <w:bottom w:val="single" w:sz="2" w:space="0" w:color="CBD5E1"/>
              <w:right w:val="single" w:sz="6" w:space="0" w:color="CBD5E1"/>
            </w:tcBorders>
            <w:vAlign w:val="center"/>
          </w:tcPr>
          <w:p>
            <w:pPr>
              <w:pStyle w:val="TableContents"/>
              <w:bidi w:val="0"/>
              <w:spacing w:before="0" w:after="283"/>
              <w:rPr/>
            </w:pPr>
            <w:r>
              <w:rPr/>
              <w:t>§6 de la auditoría</w:t>
            </w:r>
          </w:p>
        </w:tc>
      </w:tr>
      <w:tr>
        <w:trPr/>
        <w:tc>
          <w:tcPr>
            <w:tcW w:w="1437" w:type="dxa"/>
            <w:tcBorders>
              <w:left w:val="single" w:sz="6" w:space="0" w:color="CBD5E1"/>
              <w:bottom w:val="single" w:sz="6" w:space="0" w:color="CBD5E1"/>
              <w:right w:val="single" w:sz="6" w:space="0" w:color="CBD5E1"/>
            </w:tcBorders>
            <w:vAlign w:val="center"/>
          </w:tcPr>
          <w:p>
            <w:pPr>
              <w:pStyle w:val="TableContents"/>
              <w:bidi w:val="0"/>
              <w:spacing w:before="0" w:after="283"/>
              <w:rPr/>
            </w:pPr>
            <w:r>
              <w:rPr/>
              <w:t>F10</w:t>
            </w:r>
          </w:p>
        </w:tc>
        <w:tc>
          <w:tcPr>
            <w:tcW w:w="9901" w:type="dxa"/>
            <w:tcBorders>
              <w:left w:val="single" w:sz="2" w:space="0" w:color="CBD5E1"/>
              <w:bottom w:val="single" w:sz="6" w:space="0" w:color="CBD5E1"/>
              <w:right w:val="single" w:sz="6" w:space="0" w:color="CBD5E1"/>
            </w:tcBorders>
            <w:vAlign w:val="center"/>
          </w:tcPr>
          <w:p>
            <w:pPr>
              <w:pStyle w:val="TableContents"/>
              <w:bidi w:val="0"/>
              <w:spacing w:before="0" w:after="283"/>
              <w:rPr/>
            </w:pPr>
            <w:r>
              <w:rPr/>
              <w:t>I-06, §6 Tiendas</w:t>
            </w:r>
          </w:p>
        </w:tc>
      </w:tr>
    </w:tbl>
    <w:p>
      <w:pPr>
        <w:pStyle w:val="BodyText"/>
        <w:bidi w:val="0"/>
        <w:spacing w:before="0" w:after="283"/>
        <w:rPr/>
      </w:pPr>
      <w:r>
        <w:rPr/>
        <w:t xml:space="preserve">El detalle línea por línea de cada hallazgo, con el texto actual y el propuesto, está en </w:t>
      </w:r>
      <w:r>
        <w:rPr>
          <w:rStyle w:val="SourceText"/>
        </w:rPr>
        <w:t>ANEXO-AUDITORIA-USO-PREVISTO.md</w:t>
      </w:r>
      <w:r>
        <w:rPr/>
        <w:t xml:space="preserve"> (entregado junto con este plan).</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altName w:val="Arial"/>
    <w:charset w:val="01"/>
    <w:family w:val="auto"/>
    <w:pitch w:val="default"/>
  </w:font>
  <w:font w:name="Menlo">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pt-BR" w:eastAsia="zh-CN" w:bidi="hi-IN"/>
      </w:rPr>
    </w:rPrDefault>
    <w:pPrDefault>
      <w:pPr>
        <w:suppressAutoHyphens w:val="true"/>
      </w:pPr>
    </w:pPrDefault>
  </w:docDefaults>
  <w:style w:type="paragraph" w:styleId="Normal">
    <w:name w:val="Normal"/>
    <w:qFormat/>
    <w:pPr>
      <w:widowControl w:val="false"/>
      <w:bidi w:val="0"/>
      <w:spacing w:lineRule="auto" w:line="348"/>
    </w:pPr>
    <w:rPr>
      <w:rFonts w:ascii="Helvetica Neue;Arial;sans-serif" w:hAnsi="Helvetica Neue;Arial;sans-serif" w:eastAsia="Helvetica Neue;Arial;sans-serif" w:cs="Helvetica Neue;Arial;sans-serif"/>
      <w:color w:val="1E293B"/>
      <w:sz w:val="21"/>
      <w:szCs w:val="21"/>
      <w:lang w:val="pt-BR" w:eastAsia="zh-CN" w:bidi="hi-IN"/>
    </w:rPr>
  </w:style>
  <w:style w:type="paragraph" w:styleId="Heading1">
    <w:name w:val="heading 1"/>
    <w:basedOn w:val="Heading"/>
    <w:next w:val="BodyText"/>
    <w:qFormat/>
    <w:pPr>
      <w:pBdr>
        <w:bottom w:val="single" w:sz="18" w:space="5" w:color="0E8AC8"/>
      </w:pBdr>
    </w:pPr>
    <w:rPr>
      <w:rFonts w:ascii="Helvetica Neue;Arial;sans-serif" w:hAnsi="Helvetica Neue;Arial;sans-serif" w:eastAsia="Helvetica Neue;Arial;sans-serif" w:cs="Helvetica Neue;Arial;sans-serif"/>
      <w:b/>
      <w:bCs/>
      <w:color w:val="0F3B66"/>
      <w:sz w:val="44"/>
      <w:szCs w:val="44"/>
    </w:rPr>
  </w:style>
  <w:style w:type="paragraph" w:styleId="Heading2">
    <w:name w:val="heading 2"/>
    <w:basedOn w:val="Heading"/>
    <w:next w:val="BodyText"/>
    <w:qFormat/>
    <w:pPr>
      <w:spacing w:before="330" w:after="120"/>
      <w:outlineLvl w:val="1"/>
    </w:pPr>
    <w:rPr>
      <w:rFonts w:ascii="Helvetica Neue;Arial;sans-serif" w:hAnsi="Helvetica Neue;Arial;sans-serif" w:eastAsia="Helvetica Neue;Arial;sans-serif" w:cs="Helvetica Neue;Arial;sans-serif"/>
      <w:b/>
      <w:bCs/>
      <w:color w:val="0F3B66"/>
      <w:sz w:val="30"/>
      <w:szCs w:val="30"/>
    </w:rPr>
  </w:style>
  <w:style w:type="paragraph" w:styleId="Heading3">
    <w:name w:val="heading 3"/>
    <w:basedOn w:val="Heading"/>
    <w:next w:val="BodyText"/>
    <w:qFormat/>
    <w:pPr>
      <w:spacing w:before="140" w:after="120"/>
      <w:outlineLvl w:val="2"/>
    </w:pPr>
    <w:rPr>
      <w:rFonts w:ascii="Helvetica Neue;Arial;sans-serif" w:hAnsi="Helvetica Neue;Arial;sans-serif" w:eastAsia="Helvetica Neue;Arial;sans-serif" w:cs="Helvetica Neue;Arial;sans-serif"/>
      <w:b/>
      <w:bCs/>
      <w:color w:val="0E5E8A"/>
      <w:sz w:val="25"/>
      <w:szCs w:val="25"/>
    </w:rPr>
  </w:style>
  <w:style w:type="paragraph" w:styleId="Heading4">
    <w:name w:val="heading 4"/>
    <w:basedOn w:val="Heading"/>
    <w:next w:val="BodyText"/>
    <w:qFormat/>
    <w:pPr>
      <w:spacing w:before="120" w:after="120"/>
      <w:outlineLvl w:val="3"/>
    </w:pPr>
    <w:rPr>
      <w:rFonts w:ascii="Helvetica Neue;Arial;sans-serif" w:hAnsi="Helvetica Neue;Arial;sans-serif" w:eastAsia="Helvetica Neue;Arial;sans-serif" w:cs="Helvetica Neue;Arial;sans-serif"/>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Menlo;monospace" w:hAnsi="Menlo;monospace" w:eastAsia="Menlo;monospace" w:cs="Menlo;monospace"/>
      <w:sz w:val="17"/>
      <w:szCs w:val="17"/>
      <w:shd w:fill="F1F5F9" w:val="clear"/>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rFonts w:ascii="Helvetica Neue;Arial;sans-serif" w:hAnsi="Helvetica Neue;Arial;sans-serif" w:eastAsia="Helvetica Neue;Arial;sans-serif" w:cs="Helvetica Neue;Arial;sans-serif"/>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rFonts w:ascii="Helvetica Neue;Arial;sans-serif" w:hAnsi="Helvetica Neue;Arial;sans-serif" w:eastAsia="Helvetica Neue;Arial;sans-serif" w:cs="Helvetica Neue;Arial;sans-serif"/>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24" w:space="9" w:color="0E8AC8"/>
      </w:pBdr>
      <w:shd w:fill="EEF6FB" w:val="clear"/>
      <w:spacing w:before="150" w:after="150"/>
      <w:ind w:hanging="0" w:left="150" w:right="150"/>
    </w:pPr>
    <w:rPr/>
  </w:style>
  <w:style w:type="paragraph" w:styleId="TableHeading">
    <w:name w:val="Table Heading"/>
    <w:basedOn w:val="TableContents"/>
    <w:qFormat/>
    <w:pPr>
      <w:suppressLineNumbers/>
      <w:shd w:fill="0F3B66" w:val="clear"/>
      <w:jc w:val="left"/>
    </w:pPr>
    <w:rPr>
      <w:rFonts w:ascii="Helvetica Neue;Arial;sans-serif" w:hAnsi="Helvetica Neue;Arial;sans-serif" w:eastAsia="Helvetica Neue;Arial;sans-serif" w:cs="Helvetica Neue;Arial;sans-serif"/>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DualisCheckUp: Plan Técnico de Reposicionamiento a Bienestar</dc:title>
</cp:coreProperties>
</file>

<file path=docProps/custom.xml><?xml version="1.0" encoding="utf-8"?>
<Properties xmlns="http://schemas.openxmlformats.org/officeDocument/2006/custom-properties" xmlns:vt="http://schemas.openxmlformats.org/officeDocument/2006/docPropsVTypes"/>
</file>